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1021"/>
        <w:bidiVisual/>
        <w:tblW w:w="9072" w:type="dxa"/>
        <w:tblLayout w:type="fixed"/>
        <w:tblLook w:val="0000" w:firstRow="0" w:lastRow="0" w:firstColumn="0" w:lastColumn="0" w:noHBand="0" w:noVBand="0"/>
      </w:tblPr>
      <w:tblGrid>
        <w:gridCol w:w="3392"/>
        <w:gridCol w:w="2596"/>
        <w:gridCol w:w="3084"/>
      </w:tblGrid>
      <w:tr w:rsidR="002B2120" w:rsidRPr="00D97065" w:rsidTr="002B2120">
        <w:trPr>
          <w:cantSplit/>
        </w:trPr>
        <w:tc>
          <w:tcPr>
            <w:tcW w:w="3392" w:type="dxa"/>
            <w:tcBorders>
              <w:top w:val="nil"/>
              <w:left w:val="nil"/>
              <w:bottom w:val="nil"/>
              <w:right w:val="nil"/>
            </w:tcBorders>
            <w:vAlign w:val="center"/>
          </w:tcPr>
          <w:p w:rsidR="002B2120" w:rsidRPr="006702C1" w:rsidRDefault="002B2120" w:rsidP="00CB4B14">
            <w:pPr>
              <w:spacing w:line="360" w:lineRule="auto"/>
              <w:jc w:val="center"/>
              <w:rPr>
                <w:rFonts w:cs="David"/>
                <w:b/>
                <w:bCs/>
                <w:sz w:val="24"/>
                <w:szCs w:val="24"/>
              </w:rPr>
            </w:pPr>
            <w:r w:rsidRPr="006702C1">
              <w:rPr>
                <w:rFonts w:cs="David"/>
                <w:b/>
                <w:bCs/>
                <w:sz w:val="24"/>
                <w:szCs w:val="24"/>
                <w:rtl/>
              </w:rPr>
              <w:t>בנק ישראל</w:t>
            </w:r>
          </w:p>
          <w:p w:rsidR="002B2120" w:rsidRPr="006702C1" w:rsidRDefault="002B2120" w:rsidP="00CB4B14">
            <w:pPr>
              <w:spacing w:line="360" w:lineRule="auto"/>
              <w:ind w:right="-101"/>
              <w:jc w:val="center"/>
              <w:rPr>
                <w:sz w:val="24"/>
                <w:szCs w:val="24"/>
              </w:rPr>
            </w:pPr>
            <w:r w:rsidRPr="006702C1">
              <w:rPr>
                <w:rFonts w:cs="David"/>
                <w:sz w:val="24"/>
                <w:szCs w:val="24"/>
                <w:rtl/>
              </w:rPr>
              <w:t>דוברות והסברה כלכלית</w:t>
            </w:r>
          </w:p>
        </w:tc>
        <w:tc>
          <w:tcPr>
            <w:tcW w:w="2596" w:type="dxa"/>
            <w:tcBorders>
              <w:top w:val="nil"/>
              <w:left w:val="nil"/>
              <w:bottom w:val="nil"/>
              <w:right w:val="nil"/>
            </w:tcBorders>
          </w:tcPr>
          <w:p w:rsidR="002B2120" w:rsidRPr="00D97065" w:rsidRDefault="002B2120" w:rsidP="00CB4B14">
            <w:pPr>
              <w:jc w:val="center"/>
              <w:rPr>
                <w:sz w:val="24"/>
                <w:szCs w:val="24"/>
              </w:rPr>
            </w:pPr>
            <w:r w:rsidRPr="00D97065">
              <w:rPr>
                <w:noProof/>
              </w:rPr>
              <w:drawing>
                <wp:inline distT="0" distB="0" distL="0" distR="0" wp14:anchorId="4B2A06C7" wp14:editId="2652E0BA">
                  <wp:extent cx="975360" cy="975360"/>
                  <wp:effectExtent l="0" t="0" r="0" b="0"/>
                  <wp:docPr id="1" name="Picture 1" descr="\\portals\DavWWWRoot\sites\boi\about\Mitug\DocList\Logo Bank of Israel 2 color\Logo Bank of Israel 2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rtals\DavWWWRoot\sites\boi\about\Mitug\DocList\Logo Bank of Israel 2 color\Logo Bank of Israel 2 colo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5360" cy="975360"/>
                          </a:xfrm>
                          <a:prstGeom prst="rect">
                            <a:avLst/>
                          </a:prstGeom>
                          <a:noFill/>
                          <a:ln>
                            <a:noFill/>
                          </a:ln>
                        </pic:spPr>
                      </pic:pic>
                    </a:graphicData>
                  </a:graphic>
                </wp:inline>
              </w:drawing>
            </w:r>
          </w:p>
        </w:tc>
        <w:tc>
          <w:tcPr>
            <w:tcW w:w="3084" w:type="dxa"/>
            <w:tcBorders>
              <w:top w:val="nil"/>
              <w:left w:val="nil"/>
              <w:bottom w:val="nil"/>
              <w:right w:val="nil"/>
            </w:tcBorders>
            <w:vAlign w:val="center"/>
          </w:tcPr>
          <w:p w:rsidR="002B2120" w:rsidRPr="00D97065" w:rsidRDefault="002B2120" w:rsidP="002B2120">
            <w:pPr>
              <w:spacing w:line="480" w:lineRule="auto"/>
              <w:jc w:val="right"/>
              <w:rPr>
                <w:rFonts w:cs="David"/>
                <w:sz w:val="24"/>
                <w:szCs w:val="24"/>
                <w:highlight w:val="yellow"/>
                <w:rtl/>
              </w:rPr>
            </w:pPr>
            <w:r w:rsidRPr="00D97065">
              <w:rPr>
                <w:rFonts w:cs="David" w:hint="eastAsia"/>
                <w:sz w:val="24"/>
                <w:szCs w:val="24"/>
                <w:highlight w:val="yellow"/>
                <w:rtl/>
              </w:rPr>
              <w:t>‏</w:t>
            </w:r>
            <w:r w:rsidRPr="00D97065">
              <w:rPr>
                <w:rFonts w:cs="David"/>
                <w:sz w:val="24"/>
                <w:szCs w:val="24"/>
                <w:rtl/>
              </w:rPr>
              <w:t xml:space="preserve">ירושלים, </w:t>
            </w:r>
            <w:r w:rsidRPr="00D97065">
              <w:rPr>
                <w:rFonts w:cs="David" w:hint="cs"/>
                <w:sz w:val="24"/>
                <w:szCs w:val="24"/>
                <w:rtl/>
              </w:rPr>
              <w:t>כ"</w:t>
            </w:r>
            <w:r>
              <w:rPr>
                <w:rFonts w:cs="David" w:hint="cs"/>
                <w:sz w:val="24"/>
                <w:szCs w:val="24"/>
                <w:rtl/>
              </w:rPr>
              <w:t>ט</w:t>
            </w:r>
            <w:r w:rsidRPr="00D97065">
              <w:rPr>
                <w:rFonts w:cs="David"/>
                <w:sz w:val="24"/>
                <w:szCs w:val="24"/>
                <w:rtl/>
              </w:rPr>
              <w:t xml:space="preserve"> </w:t>
            </w:r>
            <w:r w:rsidRPr="00D97065">
              <w:rPr>
                <w:rFonts w:cs="David" w:hint="cs"/>
                <w:sz w:val="24"/>
                <w:szCs w:val="24"/>
                <w:rtl/>
              </w:rPr>
              <w:t>באדר א'</w:t>
            </w:r>
            <w:r w:rsidRPr="00D97065">
              <w:rPr>
                <w:rFonts w:cs="David"/>
                <w:sz w:val="24"/>
                <w:szCs w:val="24"/>
                <w:rtl/>
              </w:rPr>
              <w:t>, תשפ"</w:t>
            </w:r>
            <w:r w:rsidRPr="00D97065">
              <w:rPr>
                <w:rFonts w:cs="David" w:hint="cs"/>
                <w:sz w:val="24"/>
                <w:szCs w:val="24"/>
                <w:rtl/>
              </w:rPr>
              <w:t>ב</w:t>
            </w:r>
          </w:p>
          <w:p w:rsidR="002B2120" w:rsidRPr="00D97065" w:rsidRDefault="002B2120" w:rsidP="002B2120">
            <w:pPr>
              <w:spacing w:line="480" w:lineRule="auto"/>
              <w:jc w:val="right"/>
              <w:rPr>
                <w:rFonts w:cs="David"/>
                <w:sz w:val="24"/>
                <w:szCs w:val="24"/>
                <w:highlight w:val="yellow"/>
              </w:rPr>
            </w:pPr>
            <w:r w:rsidRPr="00D97065">
              <w:rPr>
                <w:rFonts w:cs="David" w:hint="eastAsia"/>
                <w:sz w:val="24"/>
                <w:szCs w:val="24"/>
                <w:highlight w:val="yellow"/>
                <w:rtl/>
              </w:rPr>
              <w:t>‏‏</w:t>
            </w:r>
            <w:r w:rsidRPr="00D97065">
              <w:rPr>
                <w:rFonts w:cs="David" w:hint="cs"/>
                <w:sz w:val="24"/>
                <w:szCs w:val="24"/>
                <w:highlight w:val="yellow"/>
                <w:rtl/>
              </w:rPr>
              <w:t>‏‏</w:t>
            </w:r>
            <w:r w:rsidRPr="00D97065">
              <w:rPr>
                <w:rFonts w:cs="David" w:hint="eastAsia"/>
                <w:sz w:val="24"/>
                <w:szCs w:val="24"/>
                <w:highlight w:val="yellow"/>
                <w:rtl/>
              </w:rPr>
              <w:t>‏</w:t>
            </w:r>
            <w:r>
              <w:rPr>
                <w:rFonts w:cs="David" w:hint="cs"/>
                <w:sz w:val="24"/>
                <w:szCs w:val="24"/>
                <w:rtl/>
              </w:rPr>
              <w:t>2</w:t>
            </w:r>
            <w:r w:rsidRPr="00D97065">
              <w:rPr>
                <w:rFonts w:cs="David" w:hint="cs"/>
                <w:sz w:val="24"/>
                <w:szCs w:val="24"/>
                <w:rtl/>
              </w:rPr>
              <w:t xml:space="preserve"> במרץ</w:t>
            </w:r>
            <w:r w:rsidRPr="00D97065">
              <w:rPr>
                <w:rFonts w:cs="David"/>
                <w:sz w:val="24"/>
                <w:szCs w:val="24"/>
                <w:rtl/>
              </w:rPr>
              <w:t>, 202</w:t>
            </w:r>
            <w:r w:rsidRPr="00D97065">
              <w:rPr>
                <w:rFonts w:cs="David" w:hint="cs"/>
                <w:sz w:val="24"/>
                <w:szCs w:val="24"/>
                <w:rtl/>
              </w:rPr>
              <w:t>2</w:t>
            </w:r>
          </w:p>
        </w:tc>
      </w:tr>
    </w:tbl>
    <w:p w:rsidR="002B2120" w:rsidRDefault="002B2120" w:rsidP="002B2120">
      <w:pPr>
        <w:spacing w:line="360" w:lineRule="auto"/>
        <w:rPr>
          <w:rFonts w:cs="David"/>
          <w:sz w:val="24"/>
          <w:szCs w:val="24"/>
          <w:rtl/>
        </w:rPr>
      </w:pPr>
    </w:p>
    <w:p w:rsidR="002B2120" w:rsidRPr="002B2120" w:rsidRDefault="002B2120" w:rsidP="002B2120">
      <w:pPr>
        <w:spacing w:line="360" w:lineRule="auto"/>
        <w:rPr>
          <w:rFonts w:cs="David"/>
          <w:sz w:val="24"/>
          <w:szCs w:val="24"/>
          <w:rtl/>
        </w:rPr>
      </w:pPr>
      <w:bookmarkStart w:id="0" w:name="_GoBack"/>
      <w:bookmarkEnd w:id="0"/>
      <w:r w:rsidRPr="008259C0">
        <w:rPr>
          <w:rFonts w:cs="David" w:hint="cs"/>
          <w:sz w:val="24"/>
          <w:szCs w:val="24"/>
          <w:rtl/>
        </w:rPr>
        <w:t>הודעה לעיתונות:</w:t>
      </w:r>
    </w:p>
    <w:p w:rsidR="00F1480E" w:rsidRPr="002B2120" w:rsidRDefault="00F1480E" w:rsidP="002B2120">
      <w:pPr>
        <w:spacing w:after="120" w:line="360" w:lineRule="auto"/>
        <w:jc w:val="center"/>
        <w:rPr>
          <w:rFonts w:ascii="David" w:hAnsi="David" w:cs="David"/>
          <w:b/>
          <w:bCs/>
          <w:sz w:val="28"/>
          <w:szCs w:val="28"/>
          <w:rtl/>
        </w:rPr>
      </w:pPr>
      <w:r w:rsidRPr="002B2120">
        <w:rPr>
          <w:rFonts w:ascii="David" w:hAnsi="David" w:cs="David"/>
          <w:b/>
          <w:bCs/>
          <w:sz w:val="28"/>
          <w:szCs w:val="28"/>
          <w:rtl/>
        </w:rPr>
        <w:t>השפעות פוטנציאליות של הנפקת שק</w:t>
      </w:r>
      <w:r w:rsidR="00564B6F" w:rsidRPr="002B2120">
        <w:rPr>
          <w:rFonts w:ascii="David" w:hAnsi="David" w:cs="David" w:hint="cs"/>
          <w:b/>
          <w:bCs/>
          <w:sz w:val="28"/>
          <w:szCs w:val="28"/>
          <w:rtl/>
        </w:rPr>
        <w:t>ל דיגיטלי</w:t>
      </w:r>
      <w:r w:rsidRPr="002B2120">
        <w:rPr>
          <w:rFonts w:ascii="David" w:hAnsi="David" w:cs="David"/>
          <w:b/>
          <w:bCs/>
          <w:sz w:val="28"/>
          <w:szCs w:val="28"/>
          <w:rtl/>
        </w:rPr>
        <w:t xml:space="preserve"> על מערכת הבנקאות בישראל</w:t>
      </w:r>
    </w:p>
    <w:p w:rsidR="00564B6F" w:rsidRDefault="00564B6F" w:rsidP="00A13F64">
      <w:pPr>
        <w:pStyle w:val="ad"/>
        <w:numPr>
          <w:ilvl w:val="0"/>
          <w:numId w:val="1"/>
        </w:numPr>
        <w:spacing w:after="120" w:line="360" w:lineRule="auto"/>
        <w:jc w:val="both"/>
        <w:rPr>
          <w:rFonts w:ascii="David" w:hAnsi="David" w:cs="David"/>
          <w:sz w:val="24"/>
          <w:szCs w:val="24"/>
        </w:rPr>
      </w:pPr>
      <w:r w:rsidRPr="00564B6F">
        <w:rPr>
          <w:rFonts w:ascii="David" w:hAnsi="David" w:cs="David" w:hint="cs"/>
          <w:sz w:val="24"/>
          <w:szCs w:val="24"/>
          <w:rtl/>
        </w:rPr>
        <w:t xml:space="preserve">במסגרת </w:t>
      </w:r>
      <w:r w:rsidRPr="00545557">
        <w:rPr>
          <w:rFonts w:ascii="David" w:hAnsi="David" w:cs="David" w:hint="cs"/>
          <w:sz w:val="24"/>
          <w:szCs w:val="24"/>
          <w:rtl/>
        </w:rPr>
        <w:t xml:space="preserve">בניית תכנית הפעולה להנפקה אפשרית של שקל דיגיטלי, </w:t>
      </w:r>
      <w:r>
        <w:rPr>
          <w:rFonts w:ascii="David" w:hAnsi="David" w:cs="David" w:hint="cs"/>
          <w:sz w:val="24"/>
          <w:szCs w:val="24"/>
          <w:rtl/>
        </w:rPr>
        <w:t xml:space="preserve">ובדומה לבנקים מרכזיים אחרים, </w:t>
      </w:r>
      <w:r w:rsidRPr="00564B6F">
        <w:rPr>
          <w:rFonts w:ascii="David" w:hAnsi="David" w:cs="David" w:hint="cs"/>
          <w:sz w:val="24"/>
          <w:szCs w:val="24"/>
          <w:rtl/>
        </w:rPr>
        <w:t xml:space="preserve">בנק ישראל </w:t>
      </w:r>
      <w:r w:rsidR="00166E2B">
        <w:rPr>
          <w:rFonts w:ascii="David" w:hAnsi="David" w:cs="David" w:hint="cs"/>
          <w:sz w:val="24"/>
          <w:szCs w:val="24"/>
          <w:rtl/>
        </w:rPr>
        <w:t>ניתח את</w:t>
      </w:r>
      <w:r w:rsidRPr="00564B6F">
        <w:rPr>
          <w:rFonts w:ascii="David" w:hAnsi="David" w:cs="David" w:hint="cs"/>
          <w:sz w:val="24"/>
          <w:szCs w:val="24"/>
          <w:rtl/>
        </w:rPr>
        <w:t xml:space="preserve"> ההשפעה האפשרית של הנפקת </w:t>
      </w:r>
      <w:r>
        <w:rPr>
          <w:rFonts w:ascii="David" w:hAnsi="David" w:cs="David" w:hint="cs"/>
          <w:sz w:val="24"/>
          <w:szCs w:val="24"/>
          <w:rtl/>
        </w:rPr>
        <w:t xml:space="preserve">מטבע דיגיטלי </w:t>
      </w:r>
      <w:r w:rsidR="001E1894">
        <w:rPr>
          <w:rFonts w:ascii="David" w:hAnsi="David" w:cs="David" w:hint="cs"/>
          <w:sz w:val="24"/>
          <w:szCs w:val="24"/>
          <w:rtl/>
        </w:rPr>
        <w:t>של</w:t>
      </w:r>
      <w:r>
        <w:rPr>
          <w:rFonts w:ascii="David" w:hAnsi="David" w:cs="David" w:hint="cs"/>
          <w:sz w:val="24"/>
          <w:szCs w:val="24"/>
          <w:rtl/>
        </w:rPr>
        <w:t xml:space="preserve"> הבנק המרכזי</w:t>
      </w:r>
      <w:r w:rsidRPr="00564B6F">
        <w:rPr>
          <w:rFonts w:ascii="David" w:hAnsi="David" w:cs="David" w:hint="cs"/>
          <w:sz w:val="24"/>
          <w:szCs w:val="24"/>
          <w:rtl/>
        </w:rPr>
        <w:t xml:space="preserve"> על יציבות המערכת הבנקאית, ועל יכולתה להמשיך ולבצע את תפקידה כמתווכת הפיננסית במשק. </w:t>
      </w:r>
    </w:p>
    <w:p w:rsidR="00166E2B" w:rsidRPr="00564B6F" w:rsidRDefault="00166E2B" w:rsidP="00166E2B">
      <w:pPr>
        <w:pStyle w:val="ad"/>
        <w:numPr>
          <w:ilvl w:val="0"/>
          <w:numId w:val="1"/>
        </w:numPr>
        <w:spacing w:after="120" w:line="360" w:lineRule="auto"/>
        <w:jc w:val="both"/>
        <w:rPr>
          <w:rFonts w:ascii="David" w:hAnsi="David" w:cs="David"/>
          <w:sz w:val="24"/>
          <w:szCs w:val="24"/>
          <w:rtl/>
        </w:rPr>
      </w:pPr>
      <w:r w:rsidRPr="00564B6F">
        <w:rPr>
          <w:rFonts w:ascii="David" w:hAnsi="David" w:cs="David"/>
          <w:sz w:val="24"/>
          <w:szCs w:val="24"/>
          <w:rtl/>
        </w:rPr>
        <w:t xml:space="preserve">הניתוח </w:t>
      </w:r>
      <w:r>
        <w:rPr>
          <w:rFonts w:ascii="David" w:hAnsi="David" w:cs="David" w:hint="cs"/>
          <w:sz w:val="24"/>
          <w:szCs w:val="24"/>
          <w:rtl/>
        </w:rPr>
        <w:t>שביצע בנק ישראל</w:t>
      </w:r>
      <w:r w:rsidRPr="00564B6F">
        <w:rPr>
          <w:rFonts w:ascii="David" w:hAnsi="David" w:cs="David"/>
          <w:sz w:val="24"/>
          <w:szCs w:val="24"/>
          <w:rtl/>
        </w:rPr>
        <w:t xml:space="preserve"> מראה שתחת הנחות מקובלות לגבי היקף התחלופה בין פיקדונות הציבור לבין </w:t>
      </w:r>
      <w:r>
        <w:rPr>
          <w:rFonts w:ascii="David" w:hAnsi="David" w:cs="David" w:hint="cs"/>
          <w:sz w:val="24"/>
          <w:szCs w:val="24"/>
          <w:rtl/>
        </w:rPr>
        <w:t>השקל הדיגיטלי, הפגיעה ברווחיות</w:t>
      </w:r>
      <w:r w:rsidRPr="00564B6F">
        <w:rPr>
          <w:rFonts w:ascii="David" w:hAnsi="David" w:cs="David"/>
          <w:sz w:val="24"/>
          <w:szCs w:val="24"/>
          <w:rtl/>
        </w:rPr>
        <w:t xml:space="preserve"> לא צפויה להביא לשחיקה משמעותית בתוצאות העסקיות של מערכת הבנקאות, ביציבותה</w:t>
      </w:r>
      <w:r>
        <w:rPr>
          <w:rFonts w:ascii="David" w:hAnsi="David" w:cs="David" w:hint="cs"/>
          <w:sz w:val="24"/>
          <w:szCs w:val="24"/>
          <w:rtl/>
        </w:rPr>
        <w:t xml:space="preserve">, </w:t>
      </w:r>
      <w:r w:rsidRPr="00564B6F">
        <w:rPr>
          <w:rFonts w:ascii="David" w:hAnsi="David" w:cs="David"/>
          <w:sz w:val="24"/>
          <w:szCs w:val="24"/>
          <w:rtl/>
        </w:rPr>
        <w:t>או ביכולתה להעניק אשראי ולמלא את התפקידים הקלאסיים של מערכת בנקאות במשק מודרני.</w:t>
      </w:r>
    </w:p>
    <w:p w:rsidR="00166E2B" w:rsidRDefault="00564B6F" w:rsidP="00A13F64">
      <w:pPr>
        <w:pStyle w:val="ad"/>
        <w:numPr>
          <w:ilvl w:val="0"/>
          <w:numId w:val="1"/>
        </w:numPr>
        <w:spacing w:after="120" w:line="360" w:lineRule="auto"/>
        <w:jc w:val="both"/>
        <w:rPr>
          <w:rFonts w:ascii="David" w:hAnsi="David" w:cs="David"/>
          <w:sz w:val="24"/>
          <w:szCs w:val="24"/>
        </w:rPr>
      </w:pPr>
      <w:r w:rsidRPr="00166E2B">
        <w:rPr>
          <w:rFonts w:ascii="David" w:hAnsi="David" w:cs="David"/>
          <w:sz w:val="24"/>
          <w:szCs w:val="24"/>
          <w:rtl/>
        </w:rPr>
        <w:t xml:space="preserve">מעבר של היקף מסוים של פיקדונות הציבור אל </w:t>
      </w:r>
      <w:r w:rsidRPr="00166E2B">
        <w:rPr>
          <w:rFonts w:ascii="David" w:hAnsi="David" w:cs="David" w:hint="cs"/>
          <w:sz w:val="24"/>
          <w:szCs w:val="24"/>
          <w:rtl/>
        </w:rPr>
        <w:t>השקל הדיגיטלי</w:t>
      </w:r>
      <w:r w:rsidRPr="00166E2B">
        <w:rPr>
          <w:rFonts w:ascii="David" w:hAnsi="David" w:cs="David"/>
          <w:sz w:val="24"/>
          <w:szCs w:val="24"/>
          <w:rtl/>
        </w:rPr>
        <w:t xml:space="preserve"> מייצר השפעות שונות על המאזנים של מערכת הבנקאות ושל בנק ישראל</w:t>
      </w:r>
      <w:r w:rsidR="001E1894" w:rsidRPr="00166E2B">
        <w:rPr>
          <w:rFonts w:ascii="David" w:hAnsi="David" w:cs="David"/>
          <w:sz w:val="24"/>
          <w:szCs w:val="24"/>
          <w:rtl/>
        </w:rPr>
        <w:t>.</w:t>
      </w:r>
      <w:r w:rsidRPr="00166E2B">
        <w:rPr>
          <w:rFonts w:ascii="David" w:hAnsi="David" w:cs="David"/>
          <w:sz w:val="24"/>
          <w:szCs w:val="24"/>
          <w:rtl/>
        </w:rPr>
        <w:t xml:space="preserve"> תחת הנחה שמערכת הבנקאות </w:t>
      </w:r>
      <w:r w:rsidR="003237BA" w:rsidRPr="00166E2B">
        <w:rPr>
          <w:rFonts w:ascii="David" w:hAnsi="David" w:cs="David" w:hint="eastAsia"/>
          <w:sz w:val="24"/>
          <w:szCs w:val="24"/>
          <w:rtl/>
        </w:rPr>
        <w:t>ת</w:t>
      </w:r>
      <w:r w:rsidR="003237BA" w:rsidRPr="00166E2B">
        <w:rPr>
          <w:rFonts w:ascii="David" w:hAnsi="David" w:cs="David"/>
          <w:sz w:val="24"/>
          <w:szCs w:val="24"/>
          <w:rtl/>
        </w:rPr>
        <w:t xml:space="preserve">נסה </w:t>
      </w:r>
      <w:r w:rsidRPr="00166E2B">
        <w:rPr>
          <w:rFonts w:ascii="David" w:hAnsi="David" w:cs="David"/>
          <w:sz w:val="24"/>
          <w:szCs w:val="24"/>
          <w:rtl/>
        </w:rPr>
        <w:t>לשמור על תיק האשראי לציבור בהיקף שטרם הנפקת השק</w:t>
      </w:r>
      <w:r w:rsidRPr="00166E2B">
        <w:rPr>
          <w:rFonts w:ascii="David" w:hAnsi="David" w:cs="David" w:hint="eastAsia"/>
          <w:sz w:val="24"/>
          <w:szCs w:val="24"/>
          <w:rtl/>
        </w:rPr>
        <w:t>ל</w:t>
      </w:r>
      <w:r w:rsidRPr="00166E2B">
        <w:rPr>
          <w:rFonts w:ascii="David" w:hAnsi="David" w:cs="David"/>
          <w:sz w:val="24"/>
          <w:szCs w:val="24"/>
          <w:rtl/>
        </w:rPr>
        <w:t xml:space="preserve"> </w:t>
      </w:r>
      <w:r w:rsidRPr="00166E2B">
        <w:rPr>
          <w:rFonts w:ascii="David" w:hAnsi="David" w:cs="David" w:hint="eastAsia"/>
          <w:sz w:val="24"/>
          <w:szCs w:val="24"/>
          <w:rtl/>
        </w:rPr>
        <w:t>הדיגיטלי</w:t>
      </w:r>
      <w:r w:rsidRPr="00166E2B">
        <w:rPr>
          <w:rFonts w:ascii="David" w:hAnsi="David" w:cs="David"/>
          <w:sz w:val="24"/>
          <w:szCs w:val="24"/>
          <w:rtl/>
        </w:rPr>
        <w:t>, יחסי הנזילות של הבנקים נשחקים</w:t>
      </w:r>
      <w:r w:rsidR="003237BA" w:rsidRPr="00166E2B">
        <w:rPr>
          <w:rFonts w:ascii="David" w:hAnsi="David" w:cs="David"/>
          <w:sz w:val="24"/>
          <w:szCs w:val="24"/>
          <w:rtl/>
        </w:rPr>
        <w:t xml:space="preserve"> </w:t>
      </w:r>
      <w:r w:rsidR="003237BA" w:rsidRPr="00166E2B">
        <w:rPr>
          <w:rFonts w:ascii="David" w:hAnsi="David" w:cs="David" w:hint="eastAsia"/>
          <w:sz w:val="24"/>
          <w:szCs w:val="24"/>
          <w:rtl/>
        </w:rPr>
        <w:t>בצורה</w:t>
      </w:r>
      <w:r w:rsidR="003237BA" w:rsidRPr="00166E2B">
        <w:rPr>
          <w:rFonts w:ascii="David" w:hAnsi="David" w:cs="David"/>
          <w:sz w:val="24"/>
          <w:szCs w:val="24"/>
          <w:rtl/>
        </w:rPr>
        <w:t xml:space="preserve"> </w:t>
      </w:r>
      <w:r w:rsidR="003237BA" w:rsidRPr="00166E2B">
        <w:rPr>
          <w:rFonts w:ascii="David" w:hAnsi="David" w:cs="David" w:hint="eastAsia"/>
          <w:sz w:val="24"/>
          <w:szCs w:val="24"/>
          <w:rtl/>
        </w:rPr>
        <w:t>מסוימת</w:t>
      </w:r>
      <w:r w:rsidRPr="00166E2B">
        <w:rPr>
          <w:rFonts w:ascii="David" w:hAnsi="David" w:cs="David"/>
          <w:sz w:val="24"/>
          <w:szCs w:val="24"/>
          <w:rtl/>
        </w:rPr>
        <w:t xml:space="preserve">, ומעבר של היקפים גדולים מפיקדונות הציבור לשקל הדיגיטלי </w:t>
      </w:r>
      <w:r w:rsidR="003237BA" w:rsidRPr="00166E2B">
        <w:rPr>
          <w:rFonts w:ascii="David" w:hAnsi="David" w:cs="David" w:hint="eastAsia"/>
          <w:sz w:val="24"/>
          <w:szCs w:val="24"/>
          <w:rtl/>
        </w:rPr>
        <w:t>יחייב</w:t>
      </w:r>
      <w:r w:rsidR="003237BA" w:rsidRPr="00166E2B">
        <w:rPr>
          <w:rFonts w:ascii="David" w:hAnsi="David" w:cs="David"/>
          <w:sz w:val="24"/>
          <w:szCs w:val="24"/>
          <w:rtl/>
        </w:rPr>
        <w:t xml:space="preserve"> </w:t>
      </w:r>
      <w:r w:rsidRPr="00166E2B">
        <w:rPr>
          <w:rFonts w:ascii="David" w:hAnsi="David" w:cs="David" w:hint="eastAsia"/>
          <w:sz w:val="24"/>
          <w:szCs w:val="24"/>
          <w:rtl/>
        </w:rPr>
        <w:t>את</w:t>
      </w:r>
      <w:r w:rsidRPr="00166E2B">
        <w:rPr>
          <w:rFonts w:ascii="David" w:hAnsi="David" w:cs="David"/>
          <w:sz w:val="24"/>
          <w:szCs w:val="24"/>
          <w:rtl/>
        </w:rPr>
        <w:t xml:space="preserve"> מערכת הבנקאות לנקוט בצעדים שונים כדי לשמור על יחסי נזילות נאותים. הירידה בהיקף פיקדונות הציבור </w:t>
      </w:r>
      <w:r w:rsidR="003237BA" w:rsidRPr="00166E2B">
        <w:rPr>
          <w:rFonts w:ascii="David" w:hAnsi="David" w:cs="David" w:hint="eastAsia"/>
          <w:sz w:val="24"/>
          <w:szCs w:val="24"/>
          <w:rtl/>
        </w:rPr>
        <w:t>צפוי</w:t>
      </w:r>
      <w:r w:rsidR="00545557">
        <w:rPr>
          <w:rFonts w:ascii="David" w:hAnsi="David" w:cs="David" w:hint="cs"/>
          <w:sz w:val="24"/>
          <w:szCs w:val="24"/>
          <w:rtl/>
        </w:rPr>
        <w:t>ה</w:t>
      </w:r>
      <w:r w:rsidR="003237BA" w:rsidRPr="00166E2B">
        <w:rPr>
          <w:rFonts w:ascii="David" w:hAnsi="David" w:cs="David"/>
          <w:sz w:val="24"/>
          <w:szCs w:val="24"/>
          <w:rtl/>
        </w:rPr>
        <w:t xml:space="preserve"> </w:t>
      </w:r>
      <w:r w:rsidR="003237BA" w:rsidRPr="00166E2B">
        <w:rPr>
          <w:rFonts w:ascii="David" w:hAnsi="David" w:cs="David" w:hint="eastAsia"/>
          <w:sz w:val="24"/>
          <w:szCs w:val="24"/>
          <w:rtl/>
        </w:rPr>
        <w:t>להביא</w:t>
      </w:r>
      <w:r w:rsidR="003237BA" w:rsidRPr="00166E2B">
        <w:rPr>
          <w:rFonts w:ascii="David" w:hAnsi="David" w:cs="David"/>
          <w:sz w:val="24"/>
          <w:szCs w:val="24"/>
          <w:rtl/>
        </w:rPr>
        <w:t xml:space="preserve"> </w:t>
      </w:r>
      <w:r w:rsidRPr="00166E2B">
        <w:rPr>
          <w:rFonts w:ascii="David" w:hAnsi="David" w:cs="David"/>
          <w:sz w:val="24"/>
          <w:szCs w:val="24"/>
          <w:rtl/>
        </w:rPr>
        <w:t xml:space="preserve">לגידול </w:t>
      </w:r>
      <w:r w:rsidR="003237BA" w:rsidRPr="00166E2B">
        <w:rPr>
          <w:rFonts w:ascii="David" w:hAnsi="David" w:cs="David" w:hint="eastAsia"/>
          <w:sz w:val="24"/>
          <w:szCs w:val="24"/>
          <w:rtl/>
        </w:rPr>
        <w:t>מסוים</w:t>
      </w:r>
      <w:r w:rsidR="003237BA" w:rsidRPr="00166E2B">
        <w:rPr>
          <w:rFonts w:ascii="David" w:hAnsi="David" w:cs="David"/>
          <w:sz w:val="24"/>
          <w:szCs w:val="24"/>
          <w:rtl/>
        </w:rPr>
        <w:t xml:space="preserve"> </w:t>
      </w:r>
      <w:r w:rsidRPr="00166E2B">
        <w:rPr>
          <w:rFonts w:ascii="David" w:hAnsi="David" w:cs="David"/>
          <w:sz w:val="24"/>
          <w:szCs w:val="24"/>
          <w:rtl/>
        </w:rPr>
        <w:t xml:space="preserve">בהוצאות הריבית, ולשחיקה ברווח הנקי של מערכת הבנקאות. </w:t>
      </w:r>
    </w:p>
    <w:p w:rsidR="00D17ABA" w:rsidRPr="00166E2B" w:rsidRDefault="00D17ABA" w:rsidP="00A13F64">
      <w:pPr>
        <w:pStyle w:val="ad"/>
        <w:numPr>
          <w:ilvl w:val="0"/>
          <w:numId w:val="1"/>
        </w:numPr>
        <w:spacing w:after="120" w:line="360" w:lineRule="auto"/>
        <w:jc w:val="both"/>
        <w:rPr>
          <w:rFonts w:ascii="David" w:hAnsi="David" w:cs="David"/>
          <w:sz w:val="24"/>
          <w:szCs w:val="24"/>
        </w:rPr>
      </w:pPr>
      <w:r>
        <w:rPr>
          <w:rFonts w:ascii="David" w:hAnsi="David" w:cs="David" w:hint="cs"/>
          <w:sz w:val="24"/>
          <w:szCs w:val="24"/>
          <w:rtl/>
        </w:rPr>
        <w:t xml:space="preserve">נדגיש, כי </w:t>
      </w:r>
      <w:r w:rsidRPr="000521DB">
        <w:rPr>
          <w:rFonts w:ascii="David" w:hAnsi="David" w:cs="David"/>
          <w:sz w:val="24"/>
          <w:szCs w:val="24"/>
          <w:rtl/>
        </w:rPr>
        <w:t>בדומה לבנקים מרכזיים רבים אחרים,  בנק ישראל טרם החליט האם בכוונתו להנפיק מטבע דיגיטלי.</w:t>
      </w:r>
    </w:p>
    <w:p w:rsidR="001E1894" w:rsidRDefault="001E1894" w:rsidP="004579FC">
      <w:pPr>
        <w:spacing w:after="120" w:line="360" w:lineRule="auto"/>
        <w:jc w:val="both"/>
        <w:rPr>
          <w:rFonts w:ascii="David" w:hAnsi="David" w:cs="David"/>
          <w:sz w:val="24"/>
          <w:szCs w:val="24"/>
          <w:rtl/>
        </w:rPr>
      </w:pPr>
    </w:p>
    <w:p w:rsidR="0049310E" w:rsidRDefault="003C7CBD" w:rsidP="004579FC">
      <w:pPr>
        <w:spacing w:after="120" w:line="360" w:lineRule="auto"/>
        <w:jc w:val="both"/>
        <w:rPr>
          <w:rFonts w:ascii="David" w:hAnsi="David" w:cs="David"/>
          <w:sz w:val="24"/>
          <w:szCs w:val="24"/>
          <w:rtl/>
        </w:rPr>
      </w:pPr>
      <w:r>
        <w:rPr>
          <w:rFonts w:ascii="David" w:hAnsi="David" w:cs="David" w:hint="cs"/>
          <w:sz w:val="24"/>
          <w:szCs w:val="24"/>
          <w:rtl/>
        </w:rPr>
        <w:t xml:space="preserve">בדומה לבנקים מרכזיים רבים בעולם, בנק ישראל בונה תכנית פעולה להנפקה אפשרית של </w:t>
      </w:r>
      <w:r w:rsidRPr="00A15E64">
        <w:rPr>
          <w:rFonts w:ascii="David" w:hAnsi="David" w:cs="David"/>
          <w:sz w:val="24"/>
          <w:szCs w:val="24"/>
          <w:rtl/>
        </w:rPr>
        <w:t xml:space="preserve">מטבע דיגיטלי של הבנק המרכזי </w:t>
      </w:r>
      <w:r>
        <w:rPr>
          <w:rFonts w:ascii="David" w:hAnsi="David" w:cs="David" w:hint="cs"/>
          <w:sz w:val="24"/>
          <w:szCs w:val="24"/>
          <w:rtl/>
        </w:rPr>
        <w:t>(</w:t>
      </w:r>
      <w:r w:rsidRPr="00A15E64">
        <w:rPr>
          <w:rFonts w:ascii="David" w:hAnsi="David" w:cs="David"/>
          <w:sz w:val="24"/>
          <w:szCs w:val="24"/>
        </w:rPr>
        <w:t>CBDC</w:t>
      </w:r>
      <w:r>
        <w:rPr>
          <w:rFonts w:ascii="David" w:hAnsi="David" w:cs="David" w:hint="cs"/>
          <w:sz w:val="24"/>
          <w:szCs w:val="24"/>
          <w:rtl/>
        </w:rPr>
        <w:t>)</w:t>
      </w:r>
      <w:r w:rsidRPr="00A15E64">
        <w:rPr>
          <w:rFonts w:ascii="David" w:hAnsi="David" w:cs="David"/>
          <w:sz w:val="24"/>
          <w:szCs w:val="24"/>
          <w:rtl/>
        </w:rPr>
        <w:t xml:space="preserve"> או </w:t>
      </w:r>
      <w:r>
        <w:rPr>
          <w:rFonts w:ascii="David" w:hAnsi="David" w:cs="David" w:hint="cs"/>
          <w:sz w:val="24"/>
          <w:szCs w:val="24"/>
          <w:rtl/>
        </w:rPr>
        <w:t xml:space="preserve">שקל דיגיטלי (להלן </w:t>
      </w:r>
      <w:r>
        <w:rPr>
          <w:rFonts w:ascii="David" w:hAnsi="David" w:cs="David"/>
          <w:sz w:val="24"/>
          <w:szCs w:val="24"/>
          <w:rtl/>
        </w:rPr>
        <w:t>–</w:t>
      </w:r>
      <w:r>
        <w:rPr>
          <w:rFonts w:ascii="David" w:hAnsi="David" w:cs="David" w:hint="cs"/>
          <w:sz w:val="24"/>
          <w:szCs w:val="24"/>
          <w:rtl/>
        </w:rPr>
        <w:t xml:space="preserve"> '</w:t>
      </w:r>
      <w:r w:rsidRPr="00612734">
        <w:rPr>
          <w:rFonts w:ascii="David" w:hAnsi="David" w:cs="David" w:hint="cs"/>
          <w:b/>
          <w:bCs/>
          <w:sz w:val="24"/>
          <w:szCs w:val="24"/>
          <w:rtl/>
        </w:rPr>
        <w:t>שק"ד</w:t>
      </w:r>
      <w:r>
        <w:rPr>
          <w:rFonts w:ascii="David" w:hAnsi="David" w:cs="David" w:hint="cs"/>
          <w:sz w:val="24"/>
          <w:szCs w:val="24"/>
          <w:rtl/>
        </w:rPr>
        <w:t xml:space="preserve">'). </w:t>
      </w:r>
      <w:r w:rsidRPr="003C7CBD">
        <w:rPr>
          <w:rFonts w:ascii="David" w:hAnsi="David" w:cs="David"/>
          <w:sz w:val="24"/>
          <w:szCs w:val="24"/>
          <w:rtl/>
        </w:rPr>
        <w:t xml:space="preserve">בחודש מאי 2021 פרסמה ועדת ההיגוי </w:t>
      </w:r>
      <w:r w:rsidR="00A729A7">
        <w:rPr>
          <w:rFonts w:ascii="David" w:hAnsi="David" w:cs="David" w:hint="cs"/>
          <w:sz w:val="24"/>
          <w:szCs w:val="24"/>
          <w:rtl/>
        </w:rPr>
        <w:t xml:space="preserve">של בנק ישראל </w:t>
      </w:r>
      <w:r w:rsidRPr="003C7CBD">
        <w:rPr>
          <w:rFonts w:ascii="David" w:hAnsi="David" w:cs="David"/>
          <w:sz w:val="24"/>
          <w:szCs w:val="24"/>
          <w:rtl/>
        </w:rPr>
        <w:t>להנפקה אפשרית של שקל דיגיטלי את המסמך - "</w:t>
      </w:r>
      <w:hyperlink r:id="rId8" w:history="1">
        <w:r w:rsidRPr="001E1894">
          <w:rPr>
            <w:rStyle w:val="Hyperlink"/>
            <w:rFonts w:ascii="David" w:hAnsi="David" w:cs="David"/>
            <w:sz w:val="24"/>
            <w:szCs w:val="24"/>
            <w:rtl/>
          </w:rPr>
          <w:t>שקל דיגיטלי של בנק ישראל – תועלות אפשריות, טיוטת מודל וסוגיות לבחינה</w:t>
        </w:r>
      </w:hyperlink>
      <w:r w:rsidRPr="003C7CBD">
        <w:rPr>
          <w:rFonts w:ascii="David" w:hAnsi="David" w:cs="David"/>
          <w:sz w:val="24"/>
          <w:szCs w:val="24"/>
          <w:rtl/>
        </w:rPr>
        <w:t>"</w:t>
      </w:r>
      <w:r w:rsidR="00962A9E">
        <w:rPr>
          <w:rFonts w:ascii="David" w:hAnsi="David" w:cs="David" w:hint="cs"/>
          <w:sz w:val="24"/>
          <w:szCs w:val="24"/>
          <w:rtl/>
        </w:rPr>
        <w:t>, ש</w:t>
      </w:r>
      <w:r w:rsidRPr="003C7CBD">
        <w:rPr>
          <w:rFonts w:ascii="David" w:hAnsi="David" w:cs="David"/>
          <w:sz w:val="24"/>
          <w:szCs w:val="24"/>
          <w:rtl/>
        </w:rPr>
        <w:t>תיאר את המוטיבציות שזיהתה ועדת ההיגוי להנפקה אפשרית של שק</w:t>
      </w:r>
      <w:r w:rsidR="00810A63">
        <w:rPr>
          <w:rFonts w:ascii="David" w:hAnsi="David" w:cs="David" w:hint="cs"/>
          <w:sz w:val="24"/>
          <w:szCs w:val="24"/>
          <w:rtl/>
        </w:rPr>
        <w:t>"ד</w:t>
      </w:r>
      <w:r w:rsidRPr="003C7CBD">
        <w:rPr>
          <w:rFonts w:ascii="David" w:hAnsi="David" w:cs="David"/>
          <w:sz w:val="24"/>
          <w:szCs w:val="24"/>
          <w:rtl/>
        </w:rPr>
        <w:t>, הציג טיוטת מודל לדיון, ופירט את הסוגיות העיקריות העומדות לבחינה</w:t>
      </w:r>
      <w:r w:rsidR="00A729A7">
        <w:rPr>
          <w:rFonts w:ascii="David" w:hAnsi="David" w:cs="David" w:hint="cs"/>
          <w:sz w:val="24"/>
          <w:szCs w:val="24"/>
          <w:rtl/>
        </w:rPr>
        <w:t>.</w:t>
      </w:r>
      <w:r w:rsidR="00722723">
        <w:rPr>
          <w:rFonts w:ascii="David" w:hAnsi="David" w:cs="David" w:hint="cs"/>
          <w:sz w:val="24"/>
          <w:szCs w:val="24"/>
          <w:rtl/>
        </w:rPr>
        <w:t xml:space="preserve"> </w:t>
      </w:r>
      <w:r w:rsidR="00A729A7">
        <w:rPr>
          <w:rFonts w:ascii="David" w:hAnsi="David" w:cs="David" w:hint="cs"/>
          <w:sz w:val="24"/>
          <w:szCs w:val="24"/>
          <w:rtl/>
        </w:rPr>
        <w:t>אחת מסוגיות אלו הינה ההשפעה של הנפקת שק"ד על</w:t>
      </w:r>
      <w:r w:rsidR="00A729A7" w:rsidRPr="00A729A7">
        <w:rPr>
          <w:rFonts w:ascii="David" w:hAnsi="David" w:cs="David"/>
          <w:sz w:val="24"/>
          <w:szCs w:val="24"/>
          <w:rtl/>
        </w:rPr>
        <w:t xml:space="preserve"> יציבות המערכת הפיננסית בכלל, ועל יציבות מערכת הבנקאות בפרט, כמו גם על יכולתה להמשיך ולבצע את תפקידה כמתווכת פיננסית במשק</w:t>
      </w:r>
      <w:r w:rsidRPr="003C7CBD">
        <w:rPr>
          <w:rFonts w:ascii="David" w:hAnsi="David" w:cs="David"/>
          <w:sz w:val="24"/>
          <w:szCs w:val="24"/>
          <w:rtl/>
        </w:rPr>
        <w:t>.</w:t>
      </w:r>
    </w:p>
    <w:p w:rsidR="00962A9E" w:rsidRDefault="002327D0" w:rsidP="00D17ABA">
      <w:pPr>
        <w:spacing w:after="120" w:line="360" w:lineRule="auto"/>
        <w:jc w:val="both"/>
        <w:rPr>
          <w:rFonts w:ascii="David" w:hAnsi="David" w:cs="David"/>
          <w:sz w:val="24"/>
          <w:szCs w:val="24"/>
          <w:rtl/>
        </w:rPr>
      </w:pPr>
      <w:r>
        <w:rPr>
          <w:rFonts w:ascii="David" w:hAnsi="David" w:cs="David" w:hint="cs"/>
          <w:sz w:val="24"/>
          <w:szCs w:val="24"/>
          <w:rtl/>
        </w:rPr>
        <w:t>ככל שהציבור יאמץ א</w:t>
      </w:r>
      <w:r w:rsidR="00A729A7">
        <w:rPr>
          <w:rFonts w:ascii="David" w:hAnsi="David" w:cs="David" w:hint="cs"/>
          <w:sz w:val="24"/>
          <w:szCs w:val="24"/>
          <w:rtl/>
        </w:rPr>
        <w:t>ת</w:t>
      </w:r>
      <w:r>
        <w:rPr>
          <w:rFonts w:ascii="David" w:hAnsi="David" w:cs="David" w:hint="cs"/>
          <w:sz w:val="24"/>
          <w:szCs w:val="24"/>
          <w:rtl/>
        </w:rPr>
        <w:t xml:space="preserve"> השק"ד כ</w:t>
      </w:r>
      <w:r w:rsidR="00A729A7">
        <w:rPr>
          <w:rFonts w:ascii="David" w:hAnsi="David" w:cs="David" w:hint="cs"/>
          <w:sz w:val="24"/>
          <w:szCs w:val="24"/>
          <w:rtl/>
        </w:rPr>
        <w:t>ת</w:t>
      </w:r>
      <w:r>
        <w:rPr>
          <w:rFonts w:ascii="David" w:hAnsi="David" w:cs="David" w:hint="cs"/>
          <w:sz w:val="24"/>
          <w:szCs w:val="24"/>
          <w:rtl/>
        </w:rPr>
        <w:t>חליף למזומן, לא צפויות להיות לכ</w:t>
      </w:r>
      <w:r w:rsidR="00627920">
        <w:rPr>
          <w:rFonts w:ascii="David" w:hAnsi="David" w:cs="David" w:hint="cs"/>
          <w:sz w:val="24"/>
          <w:szCs w:val="24"/>
          <w:rtl/>
        </w:rPr>
        <w:t>ך השפעות</w:t>
      </w:r>
      <w:r w:rsidR="003237BA">
        <w:rPr>
          <w:rFonts w:ascii="David" w:hAnsi="David" w:cs="David" w:hint="cs"/>
          <w:sz w:val="24"/>
          <w:szCs w:val="24"/>
          <w:rtl/>
        </w:rPr>
        <w:t xml:space="preserve"> מהותיות</w:t>
      </w:r>
      <w:r w:rsidR="00627920">
        <w:rPr>
          <w:rFonts w:ascii="David" w:hAnsi="David" w:cs="David" w:hint="cs"/>
          <w:sz w:val="24"/>
          <w:szCs w:val="24"/>
          <w:rtl/>
        </w:rPr>
        <w:t xml:space="preserve"> על </w:t>
      </w:r>
      <w:r w:rsidR="00A729A7">
        <w:rPr>
          <w:rFonts w:ascii="David" w:hAnsi="David" w:cs="David" w:hint="cs"/>
          <w:sz w:val="24"/>
          <w:szCs w:val="24"/>
          <w:rtl/>
        </w:rPr>
        <w:t>מערכת הבנקאות</w:t>
      </w:r>
      <w:r w:rsidR="00627920">
        <w:rPr>
          <w:rFonts w:ascii="David" w:hAnsi="David" w:cs="David" w:hint="cs"/>
          <w:sz w:val="24"/>
          <w:szCs w:val="24"/>
          <w:rtl/>
        </w:rPr>
        <w:t xml:space="preserve">. אולם, </w:t>
      </w:r>
      <w:r w:rsidR="00E96E84">
        <w:rPr>
          <w:rFonts w:ascii="David" w:hAnsi="David" w:cs="David" w:hint="cs"/>
          <w:sz w:val="24"/>
          <w:szCs w:val="24"/>
          <w:rtl/>
        </w:rPr>
        <w:t xml:space="preserve">למעבר אפשרי של </w:t>
      </w:r>
      <w:r w:rsidR="00E96E84" w:rsidRPr="0038772E">
        <w:rPr>
          <w:rFonts w:ascii="David" w:hAnsi="David" w:cs="David" w:hint="cs"/>
          <w:sz w:val="24"/>
          <w:szCs w:val="24"/>
          <w:rtl/>
        </w:rPr>
        <w:t xml:space="preserve">חלק מפיקדונות </w:t>
      </w:r>
      <w:r w:rsidR="00E96E84">
        <w:rPr>
          <w:rFonts w:ascii="David" w:hAnsi="David" w:cs="David" w:hint="cs"/>
          <w:sz w:val="24"/>
          <w:szCs w:val="24"/>
          <w:rtl/>
        </w:rPr>
        <w:t>הציבור אל השק</w:t>
      </w:r>
      <w:r w:rsidR="00E96E84">
        <w:rPr>
          <w:rFonts w:ascii="David" w:hAnsi="David" w:cs="David"/>
          <w:sz w:val="24"/>
          <w:szCs w:val="24"/>
          <w:rtl/>
        </w:rPr>
        <w:t>"</w:t>
      </w:r>
      <w:r w:rsidR="00E96E84">
        <w:rPr>
          <w:rFonts w:ascii="David" w:hAnsi="David" w:cs="David" w:hint="cs"/>
          <w:sz w:val="24"/>
          <w:szCs w:val="24"/>
          <w:rtl/>
        </w:rPr>
        <w:t xml:space="preserve">ד </w:t>
      </w:r>
      <w:r>
        <w:rPr>
          <w:rFonts w:ascii="David" w:hAnsi="David" w:cs="David" w:hint="cs"/>
          <w:sz w:val="24"/>
          <w:szCs w:val="24"/>
          <w:rtl/>
        </w:rPr>
        <w:t>עשויה</w:t>
      </w:r>
      <w:r w:rsidR="00E96E84" w:rsidRPr="001C25B7">
        <w:rPr>
          <w:rFonts w:ascii="David" w:hAnsi="David" w:cs="David"/>
          <w:sz w:val="24"/>
          <w:szCs w:val="24"/>
          <w:rtl/>
        </w:rPr>
        <w:t xml:space="preserve"> להיות השפעה מהותית </w:t>
      </w:r>
      <w:r w:rsidR="00E96E84">
        <w:rPr>
          <w:rFonts w:ascii="David" w:hAnsi="David" w:cs="David" w:hint="cs"/>
          <w:sz w:val="24"/>
          <w:szCs w:val="24"/>
          <w:rtl/>
        </w:rPr>
        <w:t xml:space="preserve">על: (1) </w:t>
      </w:r>
      <w:r w:rsidR="001E1894">
        <w:rPr>
          <w:rFonts w:ascii="David" w:hAnsi="David" w:cs="David" w:hint="cs"/>
          <w:sz w:val="24"/>
          <w:szCs w:val="24"/>
          <w:rtl/>
        </w:rPr>
        <w:t>ה</w:t>
      </w:r>
      <w:r w:rsidR="00E96E84">
        <w:rPr>
          <w:rFonts w:ascii="David" w:hAnsi="David" w:cs="David" w:hint="cs"/>
          <w:sz w:val="24"/>
          <w:szCs w:val="24"/>
          <w:rtl/>
        </w:rPr>
        <w:t>מבנה ו</w:t>
      </w:r>
      <w:r w:rsidR="001E1894">
        <w:rPr>
          <w:rFonts w:ascii="David" w:hAnsi="David" w:cs="David" w:hint="cs"/>
          <w:sz w:val="24"/>
          <w:szCs w:val="24"/>
          <w:rtl/>
        </w:rPr>
        <w:t>ה</w:t>
      </w:r>
      <w:r w:rsidR="00E96E84">
        <w:rPr>
          <w:rFonts w:ascii="David" w:hAnsi="David" w:cs="David" w:hint="cs"/>
          <w:sz w:val="24"/>
          <w:szCs w:val="24"/>
          <w:rtl/>
        </w:rPr>
        <w:t xml:space="preserve">איכות המקורות של מערכת הבנקאות; (2) עלויות המימון של </w:t>
      </w:r>
      <w:r w:rsidR="00E96E84">
        <w:rPr>
          <w:rFonts w:ascii="David" w:hAnsi="David" w:cs="David" w:hint="cs"/>
          <w:sz w:val="24"/>
          <w:szCs w:val="24"/>
          <w:rtl/>
        </w:rPr>
        <w:lastRenderedPageBreak/>
        <w:t>מערכת הבנקאות; (3) היקף האשראי הבנקאי לציבור ומחירו; ועוד. ליציאה של פיקדונות הציבור אל השק</w:t>
      </w:r>
      <w:r w:rsidR="00E96E84">
        <w:rPr>
          <w:rFonts w:ascii="David" w:hAnsi="David" w:cs="David"/>
          <w:sz w:val="24"/>
          <w:szCs w:val="24"/>
          <w:rtl/>
        </w:rPr>
        <w:t>"</w:t>
      </w:r>
      <w:r w:rsidR="00E96E84">
        <w:rPr>
          <w:rFonts w:ascii="David" w:hAnsi="David" w:cs="David" w:hint="cs"/>
          <w:sz w:val="24"/>
          <w:szCs w:val="24"/>
          <w:rtl/>
        </w:rPr>
        <w:t>ד ישנן גם השפעות ישירות והשפעות פוטנציאליות על מאזן בנק ישראל.</w:t>
      </w:r>
      <w:r w:rsidR="00722723">
        <w:rPr>
          <w:rFonts w:ascii="David" w:hAnsi="David" w:cs="David" w:hint="cs"/>
          <w:sz w:val="24"/>
          <w:szCs w:val="24"/>
          <w:rtl/>
        </w:rPr>
        <w:t xml:space="preserve"> </w:t>
      </w:r>
      <w:r w:rsidR="00A729A7">
        <w:rPr>
          <w:rFonts w:ascii="David" w:hAnsi="David" w:cs="David" w:hint="cs"/>
          <w:sz w:val="24"/>
          <w:szCs w:val="24"/>
          <w:rtl/>
        </w:rPr>
        <w:t>סוגי</w:t>
      </w:r>
      <w:r w:rsidR="00105CB2">
        <w:rPr>
          <w:rFonts w:ascii="David" w:hAnsi="David" w:cs="David" w:hint="cs"/>
          <w:sz w:val="24"/>
          <w:szCs w:val="24"/>
          <w:rtl/>
        </w:rPr>
        <w:t>ות אלו</w:t>
      </w:r>
      <w:r w:rsidR="00A729A7">
        <w:rPr>
          <w:rFonts w:ascii="David" w:hAnsi="David" w:cs="David" w:hint="cs"/>
          <w:sz w:val="24"/>
          <w:szCs w:val="24"/>
          <w:rtl/>
        </w:rPr>
        <w:t xml:space="preserve"> נבחנ</w:t>
      </w:r>
      <w:r w:rsidR="00105CB2">
        <w:rPr>
          <w:rFonts w:ascii="David" w:hAnsi="David" w:cs="David" w:hint="cs"/>
          <w:sz w:val="24"/>
          <w:szCs w:val="24"/>
          <w:rtl/>
        </w:rPr>
        <w:t>ו</w:t>
      </w:r>
      <w:r w:rsidR="00A729A7">
        <w:rPr>
          <w:rFonts w:ascii="David" w:hAnsi="David" w:cs="David" w:hint="cs"/>
          <w:sz w:val="24"/>
          <w:szCs w:val="24"/>
          <w:rtl/>
        </w:rPr>
        <w:t xml:space="preserve">ת בימים אלו בבנק ישראל, </w:t>
      </w:r>
      <w:r w:rsidR="004579FC">
        <w:rPr>
          <w:rFonts w:ascii="David" w:hAnsi="David" w:cs="David" w:hint="cs"/>
          <w:sz w:val="24"/>
          <w:szCs w:val="24"/>
          <w:rtl/>
        </w:rPr>
        <w:t xml:space="preserve">ובמסגרת זו </w:t>
      </w:r>
      <w:r w:rsidR="003237BA">
        <w:rPr>
          <w:rFonts w:ascii="David" w:hAnsi="David" w:cs="David" w:hint="cs"/>
          <w:sz w:val="24"/>
          <w:szCs w:val="24"/>
          <w:rtl/>
        </w:rPr>
        <w:t xml:space="preserve">המסמך </w:t>
      </w:r>
      <w:r w:rsidR="004579FC">
        <w:rPr>
          <w:rFonts w:ascii="David" w:hAnsi="David" w:cs="David" w:hint="cs"/>
          <w:sz w:val="24"/>
          <w:szCs w:val="24"/>
          <w:rtl/>
        </w:rPr>
        <w:t>המתפרסם היום מציג גישה אפשרית אחת לבחינתן</w:t>
      </w:r>
      <w:r w:rsidR="00E96E84">
        <w:rPr>
          <w:rFonts w:ascii="David" w:hAnsi="David" w:cs="David" w:hint="cs"/>
          <w:sz w:val="24"/>
          <w:szCs w:val="24"/>
          <w:rtl/>
        </w:rPr>
        <w:t xml:space="preserve">. </w:t>
      </w:r>
      <w:r w:rsidR="00722723">
        <w:rPr>
          <w:rFonts w:ascii="David" w:hAnsi="David" w:cs="David" w:hint="cs"/>
          <w:sz w:val="24"/>
          <w:szCs w:val="24"/>
          <w:rtl/>
        </w:rPr>
        <w:t xml:space="preserve">מסמכים דומים פורסמו על ידי בנקים מרכזיים מובילים בעולם. </w:t>
      </w:r>
    </w:p>
    <w:p w:rsidR="00722723" w:rsidRDefault="00962A9E" w:rsidP="00A13F64">
      <w:pPr>
        <w:spacing w:after="120" w:line="360" w:lineRule="auto"/>
        <w:jc w:val="both"/>
        <w:rPr>
          <w:rFonts w:ascii="David" w:hAnsi="David" w:cs="David"/>
          <w:sz w:val="24"/>
          <w:szCs w:val="24"/>
          <w:rtl/>
        </w:rPr>
      </w:pPr>
      <w:r>
        <w:rPr>
          <w:rFonts w:ascii="David" w:hAnsi="David" w:cs="David" w:hint="cs"/>
          <w:sz w:val="24"/>
          <w:szCs w:val="24"/>
          <w:rtl/>
        </w:rPr>
        <w:t xml:space="preserve">במסגרת </w:t>
      </w:r>
      <w:r w:rsidR="002327D0">
        <w:rPr>
          <w:rFonts w:ascii="David" w:hAnsi="David" w:cs="David" w:hint="cs"/>
          <w:sz w:val="24"/>
          <w:szCs w:val="24"/>
          <w:rtl/>
        </w:rPr>
        <w:t>ה</w:t>
      </w:r>
      <w:r w:rsidR="00810A63">
        <w:rPr>
          <w:rFonts w:ascii="David" w:hAnsi="David" w:cs="David" w:hint="cs"/>
          <w:sz w:val="24"/>
          <w:szCs w:val="24"/>
          <w:rtl/>
        </w:rPr>
        <w:t>מסמך</w:t>
      </w:r>
      <w:r>
        <w:rPr>
          <w:rFonts w:ascii="David" w:hAnsi="David" w:cs="David" w:hint="cs"/>
          <w:sz w:val="24"/>
          <w:szCs w:val="24"/>
          <w:rtl/>
        </w:rPr>
        <w:t xml:space="preserve"> </w:t>
      </w:r>
      <w:r w:rsidR="003268DA">
        <w:rPr>
          <w:rFonts w:ascii="David" w:hAnsi="David" w:cs="David" w:hint="cs"/>
          <w:sz w:val="24"/>
          <w:szCs w:val="24"/>
          <w:rtl/>
        </w:rPr>
        <w:t>מוצגים</w:t>
      </w:r>
      <w:r w:rsidR="003C7CBD">
        <w:rPr>
          <w:rFonts w:ascii="David" w:hAnsi="David" w:cs="David" w:hint="cs"/>
          <w:sz w:val="24"/>
          <w:szCs w:val="24"/>
          <w:rtl/>
        </w:rPr>
        <w:t xml:space="preserve"> תרחישים כלליים </w:t>
      </w:r>
      <w:r>
        <w:rPr>
          <w:rFonts w:ascii="David" w:hAnsi="David" w:cs="David" w:hint="cs"/>
          <w:sz w:val="24"/>
          <w:szCs w:val="24"/>
          <w:rtl/>
        </w:rPr>
        <w:t>המנתחים</w:t>
      </w:r>
      <w:r w:rsidR="003C7CBD">
        <w:rPr>
          <w:rFonts w:ascii="David" w:hAnsi="David" w:cs="David" w:hint="cs"/>
          <w:sz w:val="24"/>
          <w:szCs w:val="24"/>
          <w:rtl/>
        </w:rPr>
        <w:t xml:space="preserve"> את </w:t>
      </w:r>
      <w:r w:rsidR="0049310E">
        <w:rPr>
          <w:rFonts w:ascii="David" w:hAnsi="David" w:cs="David" w:hint="cs"/>
          <w:sz w:val="24"/>
          <w:szCs w:val="24"/>
          <w:rtl/>
        </w:rPr>
        <w:t>ה</w:t>
      </w:r>
      <w:r w:rsidR="003C7CBD">
        <w:rPr>
          <w:rFonts w:ascii="David" w:hAnsi="David" w:cs="David" w:hint="cs"/>
          <w:sz w:val="24"/>
          <w:szCs w:val="24"/>
          <w:rtl/>
        </w:rPr>
        <w:t>השפעות</w:t>
      </w:r>
      <w:r w:rsidR="003268DA">
        <w:rPr>
          <w:rFonts w:ascii="David" w:hAnsi="David" w:cs="David" w:hint="cs"/>
          <w:sz w:val="24"/>
          <w:szCs w:val="24"/>
          <w:rtl/>
        </w:rPr>
        <w:t xml:space="preserve"> הפוטנציאליות מהנפקת שק"ד</w:t>
      </w:r>
      <w:r w:rsidR="003C7CBD">
        <w:rPr>
          <w:rFonts w:ascii="David" w:hAnsi="David" w:cs="David" w:hint="cs"/>
          <w:sz w:val="24"/>
          <w:szCs w:val="24"/>
          <w:rtl/>
        </w:rPr>
        <w:t xml:space="preserve"> על מאזן מערכת הבנקאות בישראל, ובהתאם גם על מאזן בנק ישראל. בנוסף, </w:t>
      </w:r>
      <w:r w:rsidR="003268DA">
        <w:rPr>
          <w:rFonts w:ascii="David" w:hAnsi="David" w:cs="David" w:hint="cs"/>
          <w:sz w:val="24"/>
          <w:szCs w:val="24"/>
          <w:rtl/>
        </w:rPr>
        <w:t xml:space="preserve">מוצגת במסמך </w:t>
      </w:r>
      <w:r w:rsidR="003C7CBD">
        <w:rPr>
          <w:rFonts w:ascii="David" w:hAnsi="David" w:cs="David" w:hint="cs"/>
          <w:sz w:val="24"/>
          <w:szCs w:val="24"/>
          <w:rtl/>
        </w:rPr>
        <w:t xml:space="preserve">סימולציה </w:t>
      </w:r>
      <w:r w:rsidR="003268DA">
        <w:rPr>
          <w:rFonts w:ascii="David" w:hAnsi="David" w:cs="David" w:hint="cs"/>
          <w:sz w:val="24"/>
          <w:szCs w:val="24"/>
          <w:rtl/>
        </w:rPr>
        <w:t xml:space="preserve">אשר גובשה </w:t>
      </w:r>
      <w:r w:rsidR="003C7CBD">
        <w:rPr>
          <w:rFonts w:ascii="David" w:hAnsi="David" w:cs="David" w:hint="cs"/>
          <w:sz w:val="24"/>
          <w:szCs w:val="24"/>
          <w:rtl/>
        </w:rPr>
        <w:t>במטרה לבחון את אופי ו</w:t>
      </w:r>
      <w:r w:rsidR="003268DA">
        <w:rPr>
          <w:rFonts w:ascii="David" w:hAnsi="David" w:cs="David" w:hint="cs"/>
          <w:sz w:val="24"/>
          <w:szCs w:val="24"/>
          <w:rtl/>
        </w:rPr>
        <w:t xml:space="preserve">את </w:t>
      </w:r>
      <w:r w:rsidR="003C7CBD">
        <w:rPr>
          <w:rFonts w:ascii="David" w:hAnsi="David" w:cs="David" w:hint="cs"/>
          <w:sz w:val="24"/>
          <w:szCs w:val="24"/>
          <w:rtl/>
        </w:rPr>
        <w:t>עוצמת ההשפעות האפשריות על התוצאות העסקיות ו</w:t>
      </w:r>
      <w:r w:rsidR="001E1894">
        <w:rPr>
          <w:rFonts w:ascii="David" w:hAnsi="David" w:cs="David" w:hint="cs"/>
          <w:sz w:val="24"/>
          <w:szCs w:val="24"/>
          <w:rtl/>
        </w:rPr>
        <w:t xml:space="preserve">על </w:t>
      </w:r>
      <w:r w:rsidR="003C7CBD">
        <w:rPr>
          <w:rFonts w:ascii="David" w:hAnsi="David" w:cs="David" w:hint="cs"/>
          <w:sz w:val="24"/>
          <w:szCs w:val="24"/>
          <w:rtl/>
        </w:rPr>
        <w:t xml:space="preserve">מדדים עיקריים של מערכת הבנקאות. </w:t>
      </w:r>
      <w:r w:rsidR="00FF6CAD" w:rsidRPr="00FF6CAD">
        <w:rPr>
          <w:rFonts w:ascii="David" w:hAnsi="David" w:cs="David"/>
          <w:sz w:val="24"/>
          <w:szCs w:val="24"/>
          <w:rtl/>
        </w:rPr>
        <w:t xml:space="preserve">המסמך אינו לוקח בחשבון שינויים אפשריים שמערכת הבנקאות יכולה לעשות כדי להתאים את המודל העסקי שלה לעולמות הכסף המתחדשים. בנוסף, </w:t>
      </w:r>
      <w:r w:rsidR="003237BA">
        <w:rPr>
          <w:rFonts w:ascii="David" w:hAnsi="David" w:cs="David" w:hint="cs"/>
          <w:sz w:val="24"/>
          <w:szCs w:val="24"/>
          <w:rtl/>
        </w:rPr>
        <w:t xml:space="preserve">ראוי להדגיש כי </w:t>
      </w:r>
      <w:r w:rsidR="00FF6CAD" w:rsidRPr="00FF6CAD">
        <w:rPr>
          <w:rFonts w:ascii="David" w:hAnsi="David" w:cs="David"/>
          <w:sz w:val="24"/>
          <w:szCs w:val="24"/>
          <w:rtl/>
        </w:rPr>
        <w:t>הוא אינו מהווה ניתוח כולל של מכלול ההשפעות האפשריות של הנפקת שק"ד על מערכת הבנקאות, המערכת הפיננסית והמשק כולו</w:t>
      </w:r>
      <w:r w:rsidR="00FF6CAD">
        <w:rPr>
          <w:rFonts w:ascii="David" w:hAnsi="David" w:cs="David" w:hint="cs"/>
          <w:sz w:val="24"/>
          <w:szCs w:val="24"/>
          <w:rtl/>
        </w:rPr>
        <w:t xml:space="preserve">. </w:t>
      </w:r>
      <w:r w:rsidR="00FF6CAD" w:rsidRPr="00FF6CAD">
        <w:rPr>
          <w:rFonts w:ascii="David" w:hAnsi="David" w:cs="David"/>
          <w:sz w:val="24"/>
          <w:szCs w:val="24"/>
          <w:rtl/>
        </w:rPr>
        <w:t xml:space="preserve">רוב הנתונים </w:t>
      </w:r>
      <w:r w:rsidR="00FF6CAD">
        <w:rPr>
          <w:rFonts w:ascii="David" w:hAnsi="David" w:cs="David" w:hint="cs"/>
          <w:sz w:val="24"/>
          <w:szCs w:val="24"/>
          <w:rtl/>
        </w:rPr>
        <w:t xml:space="preserve">עליהם מתבסס המסמך הם </w:t>
      </w:r>
      <w:r w:rsidR="00FF6CAD" w:rsidRPr="00FF6CAD">
        <w:rPr>
          <w:rFonts w:ascii="David" w:hAnsi="David" w:cs="David"/>
          <w:sz w:val="24"/>
          <w:szCs w:val="24"/>
          <w:rtl/>
        </w:rPr>
        <w:t xml:space="preserve">נתונים שנתיים של שנת 2020, </w:t>
      </w:r>
      <w:r w:rsidR="00FF6CAD">
        <w:rPr>
          <w:rFonts w:ascii="David" w:hAnsi="David" w:cs="David" w:hint="cs"/>
          <w:sz w:val="24"/>
          <w:szCs w:val="24"/>
          <w:rtl/>
        </w:rPr>
        <w:t xml:space="preserve">האחרונים שהיו </w:t>
      </w:r>
      <w:r w:rsidR="00FF6CAD" w:rsidRPr="00FF6CAD">
        <w:rPr>
          <w:rFonts w:ascii="David" w:hAnsi="David" w:cs="David"/>
          <w:sz w:val="24"/>
          <w:szCs w:val="24"/>
          <w:rtl/>
        </w:rPr>
        <w:t>זמינים במועד ביצוע הניתוח. חשוב לציין כי שנ</w:t>
      </w:r>
      <w:r w:rsidR="003268DA">
        <w:rPr>
          <w:rFonts w:ascii="David" w:hAnsi="David" w:cs="David" w:hint="cs"/>
          <w:sz w:val="24"/>
          <w:szCs w:val="24"/>
          <w:rtl/>
        </w:rPr>
        <w:t>ת 2020</w:t>
      </w:r>
      <w:r w:rsidR="00FF6CAD" w:rsidRPr="00FF6CAD">
        <w:rPr>
          <w:rFonts w:ascii="David" w:hAnsi="David" w:cs="David"/>
          <w:sz w:val="24"/>
          <w:szCs w:val="24"/>
          <w:rtl/>
        </w:rPr>
        <w:t>, בה החל משבר הקורונה, הינה שנה ייחודית הן מבחינת הצעדים המוניטאריים שנקט בנק ישראל, והשלכותיהם על מאזן בנק ישראל ומאזני מערכת הבנקאות, והן מבחינת שוק האשראי והתוצאות העסקיות של מערכת הבנקאות. תוצאות התרחישים והסימולציה מושפעות מכך</w:t>
      </w:r>
      <w:r w:rsidR="001E1894">
        <w:rPr>
          <w:rFonts w:ascii="David" w:hAnsi="David" w:cs="David" w:hint="cs"/>
          <w:sz w:val="24"/>
          <w:szCs w:val="24"/>
          <w:rtl/>
        </w:rPr>
        <w:t>,</w:t>
      </w:r>
      <w:r w:rsidR="00FF6CAD" w:rsidRPr="00FF6CAD">
        <w:rPr>
          <w:rFonts w:ascii="David" w:hAnsi="David" w:cs="David"/>
          <w:sz w:val="24"/>
          <w:szCs w:val="24"/>
          <w:rtl/>
        </w:rPr>
        <w:t xml:space="preserve"> ויש לקחת זאת בחשבון בע</w:t>
      </w:r>
      <w:r w:rsidR="002327D0">
        <w:rPr>
          <w:rFonts w:ascii="David" w:hAnsi="David" w:cs="David"/>
          <w:sz w:val="24"/>
          <w:szCs w:val="24"/>
          <w:rtl/>
        </w:rPr>
        <w:t>ת ניתוח התוצאות המוצגות במסמך</w:t>
      </w:r>
      <w:r w:rsidR="00FF6CAD" w:rsidRPr="00FF6CAD">
        <w:rPr>
          <w:rFonts w:ascii="David" w:hAnsi="David" w:cs="David"/>
          <w:sz w:val="24"/>
          <w:szCs w:val="24"/>
          <w:rtl/>
        </w:rPr>
        <w:t>. גם סביבת הריבית הנמוכה משליכה על תוצאות הניתוח.</w:t>
      </w:r>
      <w:r w:rsidR="003237BA">
        <w:rPr>
          <w:rFonts w:ascii="David" w:hAnsi="David" w:cs="David" w:hint="cs"/>
          <w:sz w:val="24"/>
          <w:szCs w:val="24"/>
          <w:rtl/>
        </w:rPr>
        <w:t xml:space="preserve"> </w:t>
      </w:r>
    </w:p>
    <w:p w:rsidR="003237BA" w:rsidRDefault="003237BA" w:rsidP="001E1894">
      <w:pPr>
        <w:spacing w:after="120" w:line="360" w:lineRule="auto"/>
        <w:jc w:val="both"/>
        <w:rPr>
          <w:rFonts w:ascii="David" w:hAnsi="David" w:cs="David"/>
          <w:sz w:val="24"/>
          <w:szCs w:val="24"/>
          <w:rtl/>
        </w:rPr>
      </w:pPr>
      <w:r>
        <w:rPr>
          <w:rFonts w:ascii="David" w:hAnsi="David" w:cs="David" w:hint="cs"/>
          <w:sz w:val="24"/>
          <w:szCs w:val="24"/>
          <w:rtl/>
        </w:rPr>
        <w:t>עיקרי הממצאים:</w:t>
      </w:r>
    </w:p>
    <w:p w:rsidR="00AB5319" w:rsidRDefault="0049310E" w:rsidP="001E1894">
      <w:pPr>
        <w:spacing w:after="120" w:line="360" w:lineRule="auto"/>
        <w:jc w:val="both"/>
        <w:rPr>
          <w:rFonts w:ascii="David" w:hAnsi="David" w:cs="David"/>
          <w:sz w:val="24"/>
          <w:szCs w:val="24"/>
          <w:rtl/>
        </w:rPr>
      </w:pPr>
      <w:r>
        <w:rPr>
          <w:rFonts w:ascii="David" w:hAnsi="David" w:cs="David" w:hint="cs"/>
          <w:sz w:val="24"/>
          <w:szCs w:val="24"/>
          <w:rtl/>
        </w:rPr>
        <w:t xml:space="preserve">מעבר של היקף מסוים של </w:t>
      </w:r>
      <w:r w:rsidR="002327D0">
        <w:rPr>
          <w:rFonts w:ascii="David" w:hAnsi="David" w:cs="David" w:hint="cs"/>
          <w:sz w:val="24"/>
          <w:szCs w:val="24"/>
          <w:rtl/>
        </w:rPr>
        <w:t>פיקדונות</w:t>
      </w:r>
      <w:r>
        <w:rPr>
          <w:rFonts w:ascii="David" w:hAnsi="David" w:cs="David" w:hint="cs"/>
          <w:sz w:val="24"/>
          <w:szCs w:val="24"/>
          <w:rtl/>
        </w:rPr>
        <w:t xml:space="preserve"> הציבור אל מערכת השק"ד מייצר השפעות שונות על המאזנים של מערכת הבנקאות ושל בנק ישראל; המאזן של מערכת הבנקאות מצטמצם, בשל ירידה בסעיף "</w:t>
      </w:r>
      <w:r w:rsidR="002327D0">
        <w:rPr>
          <w:rFonts w:ascii="David" w:hAnsi="David" w:cs="David" w:hint="cs"/>
          <w:sz w:val="24"/>
          <w:szCs w:val="24"/>
          <w:rtl/>
        </w:rPr>
        <w:t>פיקדונות</w:t>
      </w:r>
      <w:r>
        <w:rPr>
          <w:rFonts w:ascii="David" w:hAnsi="David" w:cs="David" w:hint="cs"/>
          <w:sz w:val="24"/>
          <w:szCs w:val="24"/>
          <w:rtl/>
        </w:rPr>
        <w:t xml:space="preserve"> הציבור" </w:t>
      </w:r>
      <w:r w:rsidR="00810A63">
        <w:rPr>
          <w:rFonts w:ascii="David" w:hAnsi="David" w:cs="David" w:hint="cs"/>
          <w:sz w:val="24"/>
          <w:szCs w:val="24"/>
          <w:rtl/>
        </w:rPr>
        <w:t xml:space="preserve">בצד </w:t>
      </w:r>
      <w:r>
        <w:rPr>
          <w:rFonts w:ascii="David" w:hAnsi="David" w:cs="David" w:hint="cs"/>
          <w:sz w:val="24"/>
          <w:szCs w:val="24"/>
          <w:rtl/>
        </w:rPr>
        <w:t>ההתחייבויות</w:t>
      </w:r>
      <w:r w:rsidR="001E1894">
        <w:rPr>
          <w:rFonts w:ascii="David" w:hAnsi="David" w:cs="David" w:hint="cs"/>
          <w:sz w:val="24"/>
          <w:szCs w:val="24"/>
          <w:rtl/>
        </w:rPr>
        <w:t>,</w:t>
      </w:r>
      <w:r>
        <w:rPr>
          <w:rFonts w:ascii="David" w:hAnsi="David" w:cs="David" w:hint="cs"/>
          <w:sz w:val="24"/>
          <w:szCs w:val="24"/>
          <w:rtl/>
        </w:rPr>
        <w:t xml:space="preserve"> וירידה בסעיף "</w:t>
      </w:r>
      <w:r w:rsidR="002327D0">
        <w:rPr>
          <w:rFonts w:ascii="David" w:hAnsi="David" w:cs="David" w:hint="cs"/>
          <w:sz w:val="24"/>
          <w:szCs w:val="24"/>
          <w:rtl/>
        </w:rPr>
        <w:t>פיקדונות</w:t>
      </w:r>
      <w:r w:rsidR="0039292A">
        <w:rPr>
          <w:rFonts w:ascii="David" w:hAnsi="David" w:cs="David" w:hint="cs"/>
          <w:sz w:val="24"/>
          <w:szCs w:val="24"/>
          <w:rtl/>
        </w:rPr>
        <w:t xml:space="preserve"> בבנק ישראל" בצד הנכסים. הניתוח בנייר מראה </w:t>
      </w:r>
      <w:r w:rsidR="003268DA">
        <w:rPr>
          <w:rFonts w:ascii="David" w:hAnsi="David" w:cs="David" w:hint="cs"/>
          <w:sz w:val="24"/>
          <w:szCs w:val="24"/>
          <w:rtl/>
        </w:rPr>
        <w:t xml:space="preserve">כי התפתחויות אלו במאזן, </w:t>
      </w:r>
      <w:r w:rsidR="0039292A">
        <w:rPr>
          <w:rFonts w:ascii="David" w:hAnsi="David" w:cs="David" w:hint="cs"/>
          <w:sz w:val="24"/>
          <w:szCs w:val="24"/>
          <w:rtl/>
        </w:rPr>
        <w:t xml:space="preserve">תחת הנחה שמערכת הבנקאות מנסה </w:t>
      </w:r>
      <w:r w:rsidR="0039292A" w:rsidRPr="0039292A">
        <w:rPr>
          <w:rFonts w:ascii="David" w:hAnsi="David" w:cs="David"/>
          <w:sz w:val="24"/>
          <w:szCs w:val="24"/>
          <w:rtl/>
        </w:rPr>
        <w:t>לשמור על תיק האשראי לציבור בהיקף שטרם הנפקת השק"ד</w:t>
      </w:r>
      <w:r w:rsidR="0039292A">
        <w:rPr>
          <w:rFonts w:ascii="David" w:hAnsi="David" w:cs="David" w:hint="cs"/>
          <w:sz w:val="24"/>
          <w:szCs w:val="24"/>
          <w:rtl/>
        </w:rPr>
        <w:t>, שוחקות</w:t>
      </w:r>
      <w:r w:rsidR="003237BA">
        <w:rPr>
          <w:rFonts w:ascii="David" w:hAnsi="David" w:cs="David" w:hint="cs"/>
          <w:sz w:val="24"/>
          <w:szCs w:val="24"/>
          <w:rtl/>
        </w:rPr>
        <w:t xml:space="preserve"> בצורה מסויימת</w:t>
      </w:r>
      <w:r w:rsidR="0039292A">
        <w:rPr>
          <w:rFonts w:ascii="David" w:hAnsi="David" w:cs="David" w:hint="cs"/>
          <w:sz w:val="24"/>
          <w:szCs w:val="24"/>
          <w:rtl/>
        </w:rPr>
        <w:t xml:space="preserve"> את יחסי הנזילות של הבנקים.</w:t>
      </w:r>
      <w:r w:rsidR="003268DA">
        <w:rPr>
          <w:rFonts w:ascii="David" w:hAnsi="David" w:cs="David" w:hint="cs"/>
          <w:sz w:val="24"/>
          <w:szCs w:val="24"/>
          <w:rtl/>
        </w:rPr>
        <w:t xml:space="preserve"> </w:t>
      </w:r>
      <w:r w:rsidR="00322E8F">
        <w:rPr>
          <w:rFonts w:ascii="David" w:hAnsi="David" w:cs="David" w:hint="cs"/>
          <w:sz w:val="24"/>
          <w:szCs w:val="24"/>
          <w:rtl/>
        </w:rPr>
        <w:t>למעבר של ה</w:t>
      </w:r>
      <w:r w:rsidR="003268DA">
        <w:rPr>
          <w:rFonts w:ascii="David" w:hAnsi="David" w:cs="David" w:hint="cs"/>
          <w:sz w:val="24"/>
          <w:szCs w:val="24"/>
          <w:rtl/>
        </w:rPr>
        <w:t xml:space="preserve">יקפים גדולים יותר </w:t>
      </w:r>
      <w:r w:rsidR="00F9487F">
        <w:rPr>
          <w:rFonts w:ascii="David" w:hAnsi="David" w:cs="David" w:hint="cs"/>
          <w:sz w:val="24"/>
          <w:szCs w:val="24"/>
          <w:rtl/>
        </w:rPr>
        <w:t>מפיקדונות הציבור אל השק"ד</w:t>
      </w:r>
      <w:r w:rsidR="0039292A">
        <w:rPr>
          <w:rFonts w:ascii="David" w:hAnsi="David" w:cs="David" w:hint="cs"/>
          <w:sz w:val="24"/>
          <w:szCs w:val="24"/>
          <w:rtl/>
        </w:rPr>
        <w:t xml:space="preserve"> </w:t>
      </w:r>
      <w:r w:rsidR="00F9487F">
        <w:rPr>
          <w:rFonts w:ascii="David" w:hAnsi="David" w:cs="David" w:hint="cs"/>
          <w:sz w:val="24"/>
          <w:szCs w:val="24"/>
          <w:rtl/>
        </w:rPr>
        <w:t xml:space="preserve">קיים פוטנציאל לשחיקה משמעותית </w:t>
      </w:r>
      <w:r w:rsidR="0039292A">
        <w:rPr>
          <w:rFonts w:ascii="David" w:hAnsi="David" w:cs="David" w:hint="cs"/>
          <w:sz w:val="24"/>
          <w:szCs w:val="24"/>
          <w:rtl/>
        </w:rPr>
        <w:t>ביחסי הנזילות</w:t>
      </w:r>
      <w:r w:rsidR="001E1894">
        <w:rPr>
          <w:rFonts w:ascii="David" w:hAnsi="David" w:cs="David" w:hint="cs"/>
          <w:sz w:val="24"/>
          <w:szCs w:val="24"/>
          <w:rtl/>
        </w:rPr>
        <w:t>,</w:t>
      </w:r>
      <w:r w:rsidR="0039292A">
        <w:rPr>
          <w:rFonts w:ascii="David" w:hAnsi="David" w:cs="David" w:hint="cs"/>
          <w:sz w:val="24"/>
          <w:szCs w:val="24"/>
          <w:rtl/>
        </w:rPr>
        <w:t xml:space="preserve"> </w:t>
      </w:r>
      <w:r w:rsidR="00322E8F">
        <w:rPr>
          <w:rFonts w:ascii="David" w:hAnsi="David" w:cs="David" w:hint="cs"/>
          <w:sz w:val="24"/>
          <w:szCs w:val="24"/>
          <w:rtl/>
        </w:rPr>
        <w:t xml:space="preserve">אשר </w:t>
      </w:r>
      <w:r w:rsidR="0039292A">
        <w:rPr>
          <w:rFonts w:ascii="David" w:hAnsi="David" w:cs="David" w:hint="cs"/>
          <w:sz w:val="24"/>
          <w:szCs w:val="24"/>
          <w:rtl/>
        </w:rPr>
        <w:t>מחייב את מערכת הבנקא</w:t>
      </w:r>
      <w:r w:rsidR="003268DA">
        <w:rPr>
          <w:rFonts w:ascii="David" w:hAnsi="David" w:cs="David" w:hint="cs"/>
          <w:sz w:val="24"/>
          <w:szCs w:val="24"/>
          <w:rtl/>
        </w:rPr>
        <w:t>ו</w:t>
      </w:r>
      <w:r w:rsidR="0039292A">
        <w:rPr>
          <w:rFonts w:ascii="David" w:hAnsi="David" w:cs="David" w:hint="cs"/>
          <w:sz w:val="24"/>
          <w:szCs w:val="24"/>
          <w:rtl/>
        </w:rPr>
        <w:t>ת לנקוט בצעדים שונים</w:t>
      </w:r>
      <w:r w:rsidR="0039292A" w:rsidRPr="0039292A">
        <w:rPr>
          <w:rFonts w:ascii="David" w:hAnsi="David" w:cs="David" w:hint="cs"/>
          <w:sz w:val="24"/>
          <w:szCs w:val="24"/>
          <w:rtl/>
        </w:rPr>
        <w:t xml:space="preserve"> </w:t>
      </w:r>
      <w:r w:rsidR="0039292A">
        <w:rPr>
          <w:rFonts w:ascii="David" w:hAnsi="David" w:cs="David" w:hint="cs"/>
          <w:sz w:val="24"/>
          <w:szCs w:val="24"/>
          <w:rtl/>
        </w:rPr>
        <w:t>כדי ל</w:t>
      </w:r>
      <w:r w:rsidR="003268DA">
        <w:rPr>
          <w:rFonts w:ascii="David" w:hAnsi="David" w:cs="David" w:hint="cs"/>
          <w:sz w:val="24"/>
          <w:szCs w:val="24"/>
          <w:rtl/>
        </w:rPr>
        <w:t>שמור על יחסי נזילות נאותים</w:t>
      </w:r>
      <w:r w:rsidR="0039292A">
        <w:rPr>
          <w:rFonts w:ascii="David" w:hAnsi="David" w:cs="David" w:hint="cs"/>
          <w:sz w:val="24"/>
          <w:szCs w:val="24"/>
          <w:rtl/>
        </w:rPr>
        <w:t>; במסמך מוצג ניתוח של צעדים אפשריים</w:t>
      </w:r>
      <w:r w:rsidR="00810A63">
        <w:rPr>
          <w:rFonts w:ascii="David" w:hAnsi="David" w:cs="David" w:hint="cs"/>
          <w:sz w:val="24"/>
          <w:szCs w:val="24"/>
          <w:rtl/>
        </w:rPr>
        <w:t>,</w:t>
      </w:r>
      <w:r w:rsidR="0039292A">
        <w:rPr>
          <w:rFonts w:ascii="David" w:hAnsi="David" w:cs="David" w:hint="cs"/>
          <w:sz w:val="24"/>
          <w:szCs w:val="24"/>
          <w:rtl/>
        </w:rPr>
        <w:t xml:space="preserve"> ו</w:t>
      </w:r>
      <w:r w:rsidR="00322E8F">
        <w:rPr>
          <w:rFonts w:ascii="David" w:hAnsi="David" w:cs="David" w:hint="cs"/>
          <w:sz w:val="24"/>
          <w:szCs w:val="24"/>
          <w:rtl/>
        </w:rPr>
        <w:t xml:space="preserve">כן מוצגות </w:t>
      </w:r>
      <w:r w:rsidR="0039292A">
        <w:rPr>
          <w:rFonts w:ascii="David" w:hAnsi="David" w:cs="David" w:hint="cs"/>
          <w:sz w:val="24"/>
          <w:szCs w:val="24"/>
          <w:rtl/>
        </w:rPr>
        <w:t>ההשלכות של צעדים אלו על התוצאות העסקיות של מערכת</w:t>
      </w:r>
      <w:r w:rsidR="00322E8F">
        <w:rPr>
          <w:rFonts w:ascii="David" w:hAnsi="David" w:cs="David" w:hint="cs"/>
          <w:sz w:val="24"/>
          <w:szCs w:val="24"/>
          <w:rtl/>
        </w:rPr>
        <w:t xml:space="preserve"> הבנקאות</w:t>
      </w:r>
      <w:r w:rsidR="0039292A">
        <w:rPr>
          <w:rFonts w:ascii="David" w:hAnsi="David" w:cs="David" w:hint="cs"/>
          <w:sz w:val="24"/>
          <w:szCs w:val="24"/>
          <w:rtl/>
        </w:rPr>
        <w:t xml:space="preserve">. </w:t>
      </w:r>
    </w:p>
    <w:p w:rsidR="0049310E" w:rsidRDefault="00322E8F" w:rsidP="001E1894">
      <w:pPr>
        <w:spacing w:after="120" w:line="360" w:lineRule="auto"/>
        <w:jc w:val="both"/>
        <w:rPr>
          <w:rFonts w:ascii="David" w:hAnsi="David" w:cs="David"/>
          <w:sz w:val="24"/>
          <w:szCs w:val="24"/>
          <w:rtl/>
        </w:rPr>
      </w:pPr>
      <w:r>
        <w:rPr>
          <w:rFonts w:ascii="David" w:hAnsi="David" w:cs="David" w:hint="cs"/>
          <w:sz w:val="24"/>
          <w:szCs w:val="24"/>
          <w:rtl/>
        </w:rPr>
        <w:t xml:space="preserve">הנפקת השק"ד מביאה גם לשינוי בהרכבו של </w:t>
      </w:r>
      <w:r w:rsidR="00FA7997">
        <w:rPr>
          <w:rFonts w:ascii="David" w:hAnsi="David" w:cs="David" w:hint="cs"/>
          <w:sz w:val="24"/>
          <w:szCs w:val="24"/>
          <w:rtl/>
        </w:rPr>
        <w:t>מאזן בנק ישראל</w:t>
      </w:r>
      <w:r w:rsidR="00810A63">
        <w:rPr>
          <w:rFonts w:ascii="David" w:hAnsi="David" w:cs="David" w:hint="cs"/>
          <w:sz w:val="24"/>
          <w:szCs w:val="24"/>
          <w:rtl/>
        </w:rPr>
        <w:t>:</w:t>
      </w:r>
      <w:r w:rsidR="00FA7997" w:rsidRPr="00FA7997">
        <w:rPr>
          <w:rFonts w:ascii="David" w:hAnsi="David" w:cs="David"/>
          <w:sz w:val="24"/>
          <w:szCs w:val="24"/>
          <w:rtl/>
        </w:rPr>
        <w:t xml:space="preserve"> לצד ההתחייבויות יתווסף סעיף שק"ד (שהינו למעשה תוספת לסך </w:t>
      </w:r>
      <w:r w:rsidR="00FA7997">
        <w:rPr>
          <w:rFonts w:ascii="David" w:hAnsi="David" w:cs="David" w:hint="cs"/>
          <w:sz w:val="24"/>
          <w:szCs w:val="24"/>
          <w:rtl/>
        </w:rPr>
        <w:t>המזומן</w:t>
      </w:r>
      <w:r w:rsidR="00FA7997" w:rsidRPr="00FA7997">
        <w:rPr>
          <w:rFonts w:ascii="David" w:hAnsi="David" w:cs="David"/>
          <w:sz w:val="24"/>
          <w:szCs w:val="24"/>
          <w:rtl/>
        </w:rPr>
        <w:t xml:space="preserve"> במחזור)</w:t>
      </w:r>
      <w:r w:rsidR="00FA7997">
        <w:rPr>
          <w:rFonts w:ascii="David" w:hAnsi="David" w:cs="David" w:hint="cs"/>
          <w:sz w:val="24"/>
          <w:szCs w:val="24"/>
          <w:rtl/>
        </w:rPr>
        <w:t xml:space="preserve">, ובמקביל קטן </w:t>
      </w:r>
      <w:r w:rsidR="00FA7997" w:rsidRPr="00FA7997">
        <w:rPr>
          <w:rFonts w:ascii="David" w:hAnsi="David" w:cs="David"/>
          <w:sz w:val="24"/>
          <w:szCs w:val="24"/>
          <w:rtl/>
        </w:rPr>
        <w:t xml:space="preserve"> סעיף הפיקדונות המוניטאריים</w:t>
      </w:r>
      <w:r w:rsidR="001E1894">
        <w:rPr>
          <w:rFonts w:ascii="David" w:hAnsi="David" w:cs="David" w:hint="cs"/>
          <w:sz w:val="24"/>
          <w:szCs w:val="24"/>
          <w:rtl/>
        </w:rPr>
        <w:t>;</w:t>
      </w:r>
      <w:r w:rsidR="00FA7997">
        <w:rPr>
          <w:rFonts w:ascii="David" w:hAnsi="David" w:cs="David" w:hint="cs"/>
          <w:sz w:val="24"/>
          <w:szCs w:val="24"/>
          <w:rtl/>
        </w:rPr>
        <w:t xml:space="preserve"> בהיקפים גדולים יותר של מעבר של </w:t>
      </w:r>
      <w:r w:rsidR="002327D0">
        <w:rPr>
          <w:rFonts w:ascii="David" w:hAnsi="David" w:cs="David" w:hint="cs"/>
          <w:sz w:val="24"/>
          <w:szCs w:val="24"/>
          <w:rtl/>
        </w:rPr>
        <w:t>פיקדונות</w:t>
      </w:r>
      <w:r w:rsidR="00FA7997">
        <w:rPr>
          <w:rFonts w:ascii="David" w:hAnsi="David" w:cs="David" w:hint="cs"/>
          <w:sz w:val="24"/>
          <w:szCs w:val="24"/>
          <w:rtl/>
        </w:rPr>
        <w:t xml:space="preserve"> </w:t>
      </w:r>
      <w:r>
        <w:rPr>
          <w:rFonts w:ascii="David" w:hAnsi="David" w:cs="David" w:hint="cs"/>
          <w:sz w:val="24"/>
          <w:szCs w:val="24"/>
          <w:rtl/>
        </w:rPr>
        <w:t xml:space="preserve">הציבור </w:t>
      </w:r>
      <w:r w:rsidR="003268DA">
        <w:rPr>
          <w:rFonts w:ascii="David" w:hAnsi="David" w:cs="David" w:hint="cs"/>
          <w:sz w:val="24"/>
          <w:szCs w:val="24"/>
          <w:rtl/>
        </w:rPr>
        <w:t>א</w:t>
      </w:r>
      <w:r w:rsidR="00FA7997">
        <w:rPr>
          <w:rFonts w:ascii="David" w:hAnsi="David" w:cs="David" w:hint="cs"/>
          <w:sz w:val="24"/>
          <w:szCs w:val="24"/>
          <w:rtl/>
        </w:rPr>
        <w:t xml:space="preserve">ל </w:t>
      </w:r>
      <w:r w:rsidR="003268DA">
        <w:rPr>
          <w:rFonts w:ascii="David" w:hAnsi="David" w:cs="David" w:hint="cs"/>
          <w:sz w:val="24"/>
          <w:szCs w:val="24"/>
          <w:rtl/>
        </w:rPr>
        <w:t>ה</w:t>
      </w:r>
      <w:r w:rsidR="00FA7997">
        <w:rPr>
          <w:rFonts w:ascii="David" w:hAnsi="David" w:cs="David" w:hint="cs"/>
          <w:sz w:val="24"/>
          <w:szCs w:val="24"/>
          <w:rtl/>
        </w:rPr>
        <w:t xml:space="preserve">שק"ד, </w:t>
      </w:r>
      <w:r w:rsidR="002327D0">
        <w:rPr>
          <w:rFonts w:ascii="David" w:hAnsi="David" w:cs="David" w:hint="cs"/>
          <w:sz w:val="24"/>
          <w:szCs w:val="24"/>
          <w:rtl/>
        </w:rPr>
        <w:t>בנק ישראל עשוי ל</w:t>
      </w:r>
      <w:r>
        <w:rPr>
          <w:rFonts w:ascii="David" w:hAnsi="David" w:cs="David" w:hint="cs"/>
          <w:sz w:val="24"/>
          <w:szCs w:val="24"/>
          <w:rtl/>
        </w:rPr>
        <w:t>נקוט ב</w:t>
      </w:r>
      <w:r w:rsidR="002327D0">
        <w:rPr>
          <w:rFonts w:ascii="David" w:hAnsi="David" w:cs="David" w:hint="cs"/>
          <w:sz w:val="24"/>
          <w:szCs w:val="24"/>
          <w:rtl/>
        </w:rPr>
        <w:t xml:space="preserve">צעדים </w:t>
      </w:r>
      <w:r>
        <w:rPr>
          <w:rFonts w:ascii="David" w:hAnsi="David" w:cs="David" w:hint="cs"/>
          <w:sz w:val="24"/>
          <w:szCs w:val="24"/>
          <w:rtl/>
        </w:rPr>
        <w:t>שיביאו להתרחבות המאזן שלו</w:t>
      </w:r>
      <w:r w:rsidR="00810A63">
        <w:rPr>
          <w:rFonts w:ascii="David" w:hAnsi="David" w:cs="David" w:hint="cs"/>
          <w:sz w:val="24"/>
          <w:szCs w:val="24"/>
          <w:rtl/>
        </w:rPr>
        <w:t xml:space="preserve">; למשל, </w:t>
      </w:r>
      <w:r w:rsidR="00FA7997">
        <w:rPr>
          <w:rFonts w:ascii="David" w:hAnsi="David" w:cs="David" w:hint="cs"/>
          <w:sz w:val="24"/>
          <w:szCs w:val="24"/>
          <w:rtl/>
        </w:rPr>
        <w:t xml:space="preserve">מוצג במסמך תרחיש בו בנק ישראל מעניק הלוואות למערכת הבנקאות. </w:t>
      </w:r>
    </w:p>
    <w:p w:rsidR="003C7CBD" w:rsidRPr="00FF6CAD" w:rsidRDefault="00810A63" w:rsidP="003237BA">
      <w:pPr>
        <w:spacing w:after="120" w:line="360" w:lineRule="auto"/>
        <w:jc w:val="both"/>
        <w:rPr>
          <w:rFonts w:ascii="David" w:hAnsi="David" w:cs="David"/>
          <w:sz w:val="24"/>
          <w:szCs w:val="24"/>
          <w:rtl/>
        </w:rPr>
      </w:pPr>
      <w:r>
        <w:rPr>
          <w:rFonts w:ascii="David" w:hAnsi="David" w:cs="David" w:hint="cs"/>
          <w:sz w:val="24"/>
          <w:szCs w:val="24"/>
          <w:rtl/>
        </w:rPr>
        <w:t xml:space="preserve">הירידה בהיקף </w:t>
      </w:r>
      <w:r w:rsidR="002327D0">
        <w:rPr>
          <w:rFonts w:ascii="David" w:hAnsi="David" w:cs="David" w:hint="cs"/>
          <w:sz w:val="24"/>
          <w:szCs w:val="24"/>
          <w:rtl/>
        </w:rPr>
        <w:t>פיקדונו</w:t>
      </w:r>
      <w:r w:rsidR="002327D0">
        <w:rPr>
          <w:rFonts w:ascii="David" w:hAnsi="David" w:cs="David" w:hint="eastAsia"/>
          <w:sz w:val="24"/>
          <w:szCs w:val="24"/>
          <w:rtl/>
        </w:rPr>
        <w:t>ת</w:t>
      </w:r>
      <w:r>
        <w:rPr>
          <w:rFonts w:ascii="David" w:hAnsi="David" w:cs="David" w:hint="cs"/>
          <w:sz w:val="24"/>
          <w:szCs w:val="24"/>
          <w:rtl/>
        </w:rPr>
        <w:t xml:space="preserve"> </w:t>
      </w:r>
      <w:r w:rsidR="00BB2146">
        <w:rPr>
          <w:rFonts w:ascii="David" w:hAnsi="David" w:cs="David" w:hint="cs"/>
          <w:sz w:val="24"/>
          <w:szCs w:val="24"/>
          <w:rtl/>
        </w:rPr>
        <w:t xml:space="preserve">הציבור </w:t>
      </w:r>
      <w:r>
        <w:rPr>
          <w:rFonts w:ascii="David" w:hAnsi="David" w:cs="David" w:hint="cs"/>
          <w:sz w:val="24"/>
          <w:szCs w:val="24"/>
          <w:rtl/>
        </w:rPr>
        <w:t>מביאה ל</w:t>
      </w:r>
      <w:r w:rsidR="00E54733">
        <w:rPr>
          <w:rFonts w:ascii="David" w:hAnsi="David" w:cs="David" w:hint="cs"/>
          <w:sz w:val="24"/>
          <w:szCs w:val="24"/>
          <w:rtl/>
        </w:rPr>
        <w:t>גידול בהוצאות הריבית</w:t>
      </w:r>
      <w:r w:rsidR="001E1894">
        <w:rPr>
          <w:rFonts w:ascii="David" w:hAnsi="David" w:cs="David" w:hint="cs"/>
          <w:sz w:val="24"/>
          <w:szCs w:val="24"/>
          <w:rtl/>
        </w:rPr>
        <w:t xml:space="preserve"> - </w:t>
      </w:r>
      <w:r w:rsidR="00E54733">
        <w:rPr>
          <w:rFonts w:ascii="David" w:hAnsi="David" w:cs="David" w:hint="cs"/>
          <w:sz w:val="24"/>
          <w:szCs w:val="24"/>
          <w:rtl/>
        </w:rPr>
        <w:t xml:space="preserve"> ועל כ</w:t>
      </w:r>
      <w:r w:rsidR="001E1894">
        <w:rPr>
          <w:rFonts w:ascii="David" w:hAnsi="David" w:cs="David" w:hint="cs"/>
          <w:sz w:val="24"/>
          <w:szCs w:val="24"/>
          <w:rtl/>
        </w:rPr>
        <w:t>ן</w:t>
      </w:r>
      <w:r w:rsidR="00E54733">
        <w:rPr>
          <w:rFonts w:ascii="David" w:hAnsi="David" w:cs="David" w:hint="cs"/>
          <w:sz w:val="24"/>
          <w:szCs w:val="24"/>
          <w:rtl/>
        </w:rPr>
        <w:t xml:space="preserve"> לשחיקה ברווח הנקי</w:t>
      </w:r>
      <w:r w:rsidR="001E1894">
        <w:rPr>
          <w:rFonts w:ascii="David" w:hAnsi="David" w:cs="David" w:hint="cs"/>
          <w:sz w:val="24"/>
          <w:szCs w:val="24"/>
          <w:rtl/>
        </w:rPr>
        <w:t xml:space="preserve">  </w:t>
      </w:r>
      <w:r>
        <w:rPr>
          <w:rFonts w:ascii="David" w:hAnsi="David" w:cs="David" w:hint="cs"/>
          <w:sz w:val="24"/>
          <w:szCs w:val="24"/>
          <w:rtl/>
        </w:rPr>
        <w:t xml:space="preserve"> </w:t>
      </w:r>
      <w:r w:rsidR="00E54733">
        <w:rPr>
          <w:rFonts w:ascii="David" w:hAnsi="David" w:cs="David" w:hint="cs"/>
          <w:sz w:val="24"/>
          <w:szCs w:val="24"/>
          <w:rtl/>
        </w:rPr>
        <w:t>ב</w:t>
      </w:r>
      <w:r>
        <w:rPr>
          <w:rFonts w:ascii="David" w:hAnsi="David" w:cs="David" w:hint="cs"/>
          <w:sz w:val="24"/>
          <w:szCs w:val="24"/>
          <w:rtl/>
        </w:rPr>
        <w:t>מערכת הבנקא</w:t>
      </w:r>
      <w:r w:rsidR="00BB2146">
        <w:rPr>
          <w:rFonts w:ascii="David" w:hAnsi="David" w:cs="David" w:hint="cs"/>
          <w:sz w:val="24"/>
          <w:szCs w:val="24"/>
          <w:rtl/>
        </w:rPr>
        <w:t>ו</w:t>
      </w:r>
      <w:r>
        <w:rPr>
          <w:rFonts w:ascii="David" w:hAnsi="David" w:cs="David" w:hint="cs"/>
          <w:sz w:val="24"/>
          <w:szCs w:val="24"/>
          <w:rtl/>
        </w:rPr>
        <w:t>ת</w:t>
      </w:r>
      <w:r w:rsidR="003237BA">
        <w:rPr>
          <w:rFonts w:ascii="David" w:hAnsi="David" w:cs="David" w:hint="cs"/>
          <w:sz w:val="24"/>
          <w:szCs w:val="24"/>
          <w:rtl/>
        </w:rPr>
        <w:t xml:space="preserve"> - </w:t>
      </w:r>
      <w:r w:rsidR="00BB2146">
        <w:rPr>
          <w:rFonts w:ascii="David" w:hAnsi="David" w:cs="David" w:hint="cs"/>
          <w:sz w:val="24"/>
          <w:szCs w:val="24"/>
          <w:rtl/>
        </w:rPr>
        <w:t xml:space="preserve">וזאת </w:t>
      </w:r>
      <w:r>
        <w:rPr>
          <w:rFonts w:ascii="David" w:hAnsi="David" w:cs="David" w:hint="cs"/>
          <w:sz w:val="24"/>
          <w:szCs w:val="24"/>
          <w:rtl/>
        </w:rPr>
        <w:t>ממספר סיבות</w:t>
      </w:r>
      <w:r w:rsidR="00BB2146">
        <w:rPr>
          <w:rFonts w:ascii="David" w:hAnsi="David" w:cs="David" w:hint="cs"/>
          <w:sz w:val="24"/>
          <w:szCs w:val="24"/>
          <w:rtl/>
        </w:rPr>
        <w:t>:</w:t>
      </w:r>
      <w:r>
        <w:rPr>
          <w:rFonts w:ascii="David" w:hAnsi="David" w:cs="David" w:hint="cs"/>
          <w:sz w:val="24"/>
          <w:szCs w:val="24"/>
          <w:rtl/>
        </w:rPr>
        <w:t xml:space="preserve"> </w:t>
      </w:r>
      <w:r w:rsidR="00BB2146">
        <w:rPr>
          <w:rFonts w:ascii="David" w:hAnsi="David" w:cs="David" w:hint="cs"/>
          <w:sz w:val="24"/>
          <w:szCs w:val="24"/>
          <w:rtl/>
        </w:rPr>
        <w:t xml:space="preserve">צעדי </w:t>
      </w:r>
      <w:r>
        <w:rPr>
          <w:rFonts w:ascii="David" w:hAnsi="David" w:cs="David" w:hint="cs"/>
          <w:sz w:val="24"/>
          <w:szCs w:val="24"/>
          <w:rtl/>
        </w:rPr>
        <w:t xml:space="preserve">שימור </w:t>
      </w:r>
      <w:r w:rsidR="002327D0">
        <w:rPr>
          <w:rFonts w:ascii="David" w:hAnsi="David" w:cs="David" w:hint="cs"/>
          <w:sz w:val="24"/>
          <w:szCs w:val="24"/>
          <w:rtl/>
        </w:rPr>
        <w:t>פיקדונות</w:t>
      </w:r>
      <w:r>
        <w:rPr>
          <w:rFonts w:ascii="David" w:hAnsi="David" w:cs="David" w:hint="cs"/>
          <w:sz w:val="24"/>
          <w:szCs w:val="24"/>
          <w:rtl/>
        </w:rPr>
        <w:t xml:space="preserve"> באמצעות העלאת הריבית </w:t>
      </w:r>
      <w:r w:rsidR="00BB2146">
        <w:rPr>
          <w:rFonts w:ascii="David" w:hAnsi="David" w:cs="David" w:hint="cs"/>
          <w:sz w:val="24"/>
          <w:szCs w:val="24"/>
          <w:rtl/>
        </w:rPr>
        <w:t xml:space="preserve">המשולמת </w:t>
      </w:r>
      <w:r>
        <w:rPr>
          <w:rFonts w:ascii="David" w:hAnsi="David" w:cs="David" w:hint="cs"/>
          <w:sz w:val="24"/>
          <w:szCs w:val="24"/>
          <w:rtl/>
        </w:rPr>
        <w:t xml:space="preserve">עליהם, גיוס אג"ח בשוק ההון, קבלת הלוואות מבנק ישראל, או תמהיל של צעדים אלו. </w:t>
      </w:r>
      <w:r w:rsidRPr="003237BA">
        <w:rPr>
          <w:rFonts w:ascii="David" w:hAnsi="David" w:cs="David" w:hint="cs"/>
          <w:b/>
          <w:bCs/>
          <w:sz w:val="24"/>
          <w:szCs w:val="24"/>
          <w:rtl/>
        </w:rPr>
        <w:t>הניתוח במסמך מראה ש</w:t>
      </w:r>
      <w:r w:rsidR="003C7CBD" w:rsidRPr="003237BA">
        <w:rPr>
          <w:rFonts w:ascii="David" w:hAnsi="David" w:cs="David"/>
          <w:b/>
          <w:bCs/>
          <w:sz w:val="24"/>
          <w:szCs w:val="24"/>
          <w:rtl/>
        </w:rPr>
        <w:t xml:space="preserve">תחת </w:t>
      </w:r>
      <w:r w:rsidR="00BB2146" w:rsidRPr="003237BA">
        <w:rPr>
          <w:rFonts w:ascii="David" w:hAnsi="David" w:cs="David" w:hint="cs"/>
          <w:b/>
          <w:bCs/>
          <w:sz w:val="24"/>
          <w:szCs w:val="24"/>
          <w:rtl/>
        </w:rPr>
        <w:t>הנחות מקובלות</w:t>
      </w:r>
      <w:r w:rsidR="003C7CBD" w:rsidRPr="003237BA">
        <w:rPr>
          <w:rFonts w:ascii="David" w:hAnsi="David" w:cs="David"/>
          <w:b/>
          <w:bCs/>
          <w:sz w:val="24"/>
          <w:szCs w:val="24"/>
          <w:rtl/>
        </w:rPr>
        <w:t xml:space="preserve"> לגבי היקף התחלופה בין </w:t>
      </w:r>
      <w:r w:rsidR="003C7CBD" w:rsidRPr="003237BA">
        <w:rPr>
          <w:rFonts w:ascii="David" w:hAnsi="David" w:cs="David" w:hint="cs"/>
          <w:b/>
          <w:bCs/>
          <w:sz w:val="24"/>
          <w:szCs w:val="24"/>
          <w:rtl/>
        </w:rPr>
        <w:t>פיקדונות</w:t>
      </w:r>
      <w:r w:rsidR="003C7CBD" w:rsidRPr="003237BA">
        <w:rPr>
          <w:rFonts w:ascii="David" w:hAnsi="David" w:cs="David"/>
          <w:b/>
          <w:bCs/>
          <w:sz w:val="24"/>
          <w:szCs w:val="24"/>
          <w:rtl/>
        </w:rPr>
        <w:t xml:space="preserve"> </w:t>
      </w:r>
      <w:r w:rsidR="00BB2146" w:rsidRPr="003237BA">
        <w:rPr>
          <w:rFonts w:ascii="David" w:hAnsi="David" w:cs="David" w:hint="cs"/>
          <w:b/>
          <w:bCs/>
          <w:sz w:val="24"/>
          <w:szCs w:val="24"/>
          <w:rtl/>
        </w:rPr>
        <w:t xml:space="preserve">הציבור </w:t>
      </w:r>
      <w:r w:rsidR="003C7CBD" w:rsidRPr="003237BA">
        <w:rPr>
          <w:rFonts w:ascii="David" w:hAnsi="David" w:cs="David"/>
          <w:b/>
          <w:bCs/>
          <w:sz w:val="24"/>
          <w:szCs w:val="24"/>
          <w:rtl/>
        </w:rPr>
        <w:t>לבין שק"ד</w:t>
      </w:r>
      <w:r w:rsidR="003C7CBD" w:rsidRPr="003237BA">
        <w:rPr>
          <w:rFonts w:ascii="David" w:hAnsi="David" w:cs="David" w:hint="cs"/>
          <w:b/>
          <w:bCs/>
          <w:sz w:val="24"/>
          <w:szCs w:val="24"/>
          <w:rtl/>
        </w:rPr>
        <w:t xml:space="preserve">, </w:t>
      </w:r>
      <w:r w:rsidR="00FF6CAD" w:rsidRPr="003237BA">
        <w:rPr>
          <w:rFonts w:ascii="David" w:hAnsi="David" w:cs="David"/>
          <w:b/>
          <w:bCs/>
          <w:sz w:val="24"/>
          <w:szCs w:val="24"/>
          <w:rtl/>
        </w:rPr>
        <w:t xml:space="preserve">הנפקת </w:t>
      </w:r>
      <w:r w:rsidR="00FF6CAD" w:rsidRPr="003237BA">
        <w:rPr>
          <w:rFonts w:ascii="David" w:hAnsi="David" w:cs="David" w:hint="eastAsia"/>
          <w:b/>
          <w:bCs/>
          <w:sz w:val="24"/>
          <w:szCs w:val="24"/>
          <w:rtl/>
        </w:rPr>
        <w:t>שק</w:t>
      </w:r>
      <w:r w:rsidR="00FF6CAD" w:rsidRPr="003237BA">
        <w:rPr>
          <w:rFonts w:ascii="David" w:hAnsi="David" w:cs="David"/>
          <w:b/>
          <w:bCs/>
          <w:sz w:val="24"/>
          <w:szCs w:val="24"/>
          <w:rtl/>
        </w:rPr>
        <w:t xml:space="preserve">"ד </w:t>
      </w:r>
      <w:r w:rsidR="00627920" w:rsidRPr="003237BA">
        <w:rPr>
          <w:rFonts w:ascii="David" w:hAnsi="David" w:cs="David" w:hint="cs"/>
          <w:b/>
          <w:bCs/>
          <w:sz w:val="24"/>
          <w:szCs w:val="24"/>
          <w:rtl/>
        </w:rPr>
        <w:t xml:space="preserve">תפגע ברווחיות (איור 1), אולם </w:t>
      </w:r>
      <w:r w:rsidR="00FF6CAD" w:rsidRPr="003237BA">
        <w:rPr>
          <w:rFonts w:ascii="David" w:hAnsi="David" w:cs="David"/>
          <w:b/>
          <w:bCs/>
          <w:sz w:val="24"/>
          <w:szCs w:val="24"/>
          <w:rtl/>
        </w:rPr>
        <w:t>לא צפויה להביא ל</w:t>
      </w:r>
      <w:r w:rsidR="00FF6CAD" w:rsidRPr="003237BA">
        <w:rPr>
          <w:rFonts w:ascii="David" w:hAnsi="David" w:cs="David" w:hint="cs"/>
          <w:b/>
          <w:bCs/>
          <w:sz w:val="24"/>
          <w:szCs w:val="24"/>
          <w:rtl/>
        </w:rPr>
        <w:t xml:space="preserve">שחיקה </w:t>
      </w:r>
      <w:r w:rsidR="00FF6CAD" w:rsidRPr="003237BA">
        <w:rPr>
          <w:rFonts w:ascii="David" w:hAnsi="David" w:cs="David"/>
          <w:b/>
          <w:bCs/>
          <w:sz w:val="24"/>
          <w:szCs w:val="24"/>
          <w:rtl/>
        </w:rPr>
        <w:t xml:space="preserve">משמעותית בתוצאות העסקיות של </w:t>
      </w:r>
      <w:r w:rsidR="00FF6CAD" w:rsidRPr="003237BA">
        <w:rPr>
          <w:rFonts w:ascii="David" w:hAnsi="David" w:cs="David" w:hint="eastAsia"/>
          <w:b/>
          <w:bCs/>
          <w:sz w:val="24"/>
          <w:szCs w:val="24"/>
          <w:rtl/>
        </w:rPr>
        <w:t>מערכת</w:t>
      </w:r>
      <w:r w:rsidR="00FF6CAD" w:rsidRPr="003237BA">
        <w:rPr>
          <w:rFonts w:ascii="David" w:hAnsi="David" w:cs="David"/>
          <w:b/>
          <w:bCs/>
          <w:sz w:val="24"/>
          <w:szCs w:val="24"/>
          <w:rtl/>
        </w:rPr>
        <w:t xml:space="preserve"> </w:t>
      </w:r>
      <w:r w:rsidR="00FF6CAD" w:rsidRPr="003237BA">
        <w:rPr>
          <w:rFonts w:ascii="David" w:hAnsi="David" w:cs="David" w:hint="eastAsia"/>
          <w:b/>
          <w:bCs/>
          <w:sz w:val="24"/>
          <w:szCs w:val="24"/>
          <w:rtl/>
        </w:rPr>
        <w:t>הבנקאות</w:t>
      </w:r>
      <w:r w:rsidR="00FF6CAD" w:rsidRPr="003237BA">
        <w:rPr>
          <w:rFonts w:ascii="David" w:hAnsi="David" w:cs="David"/>
          <w:b/>
          <w:bCs/>
          <w:sz w:val="24"/>
          <w:szCs w:val="24"/>
          <w:rtl/>
        </w:rPr>
        <w:t>, ביציבות</w:t>
      </w:r>
      <w:r w:rsidR="00FF6CAD" w:rsidRPr="003237BA">
        <w:rPr>
          <w:rFonts w:ascii="David" w:hAnsi="David" w:cs="David" w:hint="cs"/>
          <w:b/>
          <w:bCs/>
          <w:sz w:val="24"/>
          <w:szCs w:val="24"/>
          <w:rtl/>
        </w:rPr>
        <w:t>ה (</w:t>
      </w:r>
      <w:r w:rsidR="00FF6CAD" w:rsidRPr="003237BA">
        <w:rPr>
          <w:rFonts w:ascii="David" w:hAnsi="David" w:cs="David"/>
          <w:b/>
          <w:bCs/>
          <w:sz w:val="24"/>
          <w:szCs w:val="24"/>
          <w:rtl/>
        </w:rPr>
        <w:t xml:space="preserve">בפרט, יחס הון עצמי רובד 1 נשאר ברמה </w:t>
      </w:r>
      <w:r w:rsidR="00FF6CAD" w:rsidRPr="003237BA">
        <w:rPr>
          <w:rFonts w:ascii="David" w:hAnsi="David" w:cs="David"/>
          <w:b/>
          <w:bCs/>
          <w:sz w:val="24"/>
          <w:szCs w:val="24"/>
          <w:rtl/>
        </w:rPr>
        <w:lastRenderedPageBreak/>
        <w:t>גבוהה</w:t>
      </w:r>
      <w:r w:rsidR="00FF6CAD" w:rsidRPr="003237BA">
        <w:rPr>
          <w:rFonts w:ascii="David" w:hAnsi="David" w:cs="David" w:hint="cs"/>
          <w:b/>
          <w:bCs/>
          <w:sz w:val="24"/>
          <w:szCs w:val="24"/>
          <w:rtl/>
        </w:rPr>
        <w:t>)</w:t>
      </w:r>
      <w:r w:rsidR="00FF6CAD" w:rsidRPr="003237BA">
        <w:rPr>
          <w:rFonts w:ascii="David" w:hAnsi="David" w:cs="David"/>
          <w:b/>
          <w:bCs/>
          <w:sz w:val="24"/>
          <w:szCs w:val="24"/>
          <w:rtl/>
        </w:rPr>
        <w:t>, או ביכולת</w:t>
      </w:r>
      <w:r w:rsidR="00FF6CAD" w:rsidRPr="003237BA">
        <w:rPr>
          <w:rFonts w:ascii="David" w:hAnsi="David" w:cs="David" w:hint="cs"/>
          <w:b/>
          <w:bCs/>
          <w:sz w:val="24"/>
          <w:szCs w:val="24"/>
          <w:rtl/>
        </w:rPr>
        <w:t>ה</w:t>
      </w:r>
      <w:r w:rsidR="00FF6CAD" w:rsidRPr="003237BA">
        <w:rPr>
          <w:rFonts w:ascii="David" w:hAnsi="David" w:cs="David"/>
          <w:b/>
          <w:bCs/>
          <w:sz w:val="24"/>
          <w:szCs w:val="24"/>
          <w:rtl/>
        </w:rPr>
        <w:t xml:space="preserve"> להעניק אשראי ולמלא את התפקידים הקלאסיים של מערכת בנקאות במשק מודרני.</w:t>
      </w:r>
      <w:r w:rsidR="003C7CBD" w:rsidRPr="003237BA">
        <w:rPr>
          <w:rFonts w:ascii="David" w:hAnsi="David" w:cs="David" w:hint="cs"/>
          <w:b/>
          <w:bCs/>
          <w:sz w:val="24"/>
          <w:szCs w:val="24"/>
          <w:rtl/>
        </w:rPr>
        <w:t xml:space="preserve"> </w:t>
      </w:r>
    </w:p>
    <w:p w:rsidR="003C7CBD" w:rsidRDefault="00FF6CAD" w:rsidP="008E3F46">
      <w:pPr>
        <w:spacing w:line="360" w:lineRule="auto"/>
        <w:jc w:val="both"/>
        <w:rPr>
          <w:rFonts w:ascii="David" w:hAnsi="David" w:cs="David"/>
          <w:sz w:val="24"/>
          <w:szCs w:val="24"/>
        </w:rPr>
      </w:pPr>
      <w:r>
        <w:rPr>
          <w:rFonts w:ascii="David" w:hAnsi="David" w:cs="David" w:hint="cs"/>
          <w:sz w:val="24"/>
          <w:szCs w:val="24"/>
          <w:rtl/>
        </w:rPr>
        <w:t xml:space="preserve">בנקים </w:t>
      </w:r>
      <w:r w:rsidR="003C7CBD">
        <w:rPr>
          <w:rFonts w:ascii="David" w:hAnsi="David" w:cs="David" w:hint="cs"/>
          <w:sz w:val="24"/>
          <w:szCs w:val="24"/>
          <w:rtl/>
        </w:rPr>
        <w:t xml:space="preserve">מרכזיים בעולם </w:t>
      </w:r>
      <w:r>
        <w:rPr>
          <w:rFonts w:ascii="David" w:hAnsi="David" w:cs="David" w:hint="cs"/>
          <w:sz w:val="24"/>
          <w:szCs w:val="24"/>
          <w:rtl/>
        </w:rPr>
        <w:t>דנים ב</w:t>
      </w:r>
      <w:r w:rsidR="003C7CBD">
        <w:rPr>
          <w:rFonts w:ascii="David" w:hAnsi="David" w:cs="David" w:hint="cs"/>
          <w:sz w:val="24"/>
          <w:szCs w:val="24"/>
          <w:rtl/>
        </w:rPr>
        <w:t xml:space="preserve">תכונות שמטבע דיגיטלי של הבנק המרכזי נדרש לקיים </w:t>
      </w:r>
      <w:r>
        <w:rPr>
          <w:rFonts w:ascii="David" w:hAnsi="David" w:cs="David" w:hint="cs"/>
          <w:sz w:val="24"/>
          <w:szCs w:val="24"/>
          <w:rtl/>
        </w:rPr>
        <w:t>ובמאפייניו</w:t>
      </w:r>
      <w:r w:rsidR="003C7CBD">
        <w:rPr>
          <w:rFonts w:ascii="David" w:hAnsi="David" w:cs="David" w:hint="cs"/>
          <w:sz w:val="24"/>
          <w:szCs w:val="24"/>
          <w:rtl/>
        </w:rPr>
        <w:t xml:space="preserve">. </w:t>
      </w:r>
      <w:r>
        <w:rPr>
          <w:rFonts w:ascii="David" w:hAnsi="David" w:cs="David" w:hint="cs"/>
          <w:sz w:val="24"/>
          <w:szCs w:val="24"/>
          <w:rtl/>
        </w:rPr>
        <w:t>בין השאר, נידון הצורך ב</w:t>
      </w:r>
      <w:r w:rsidR="003C7CBD">
        <w:rPr>
          <w:rFonts w:ascii="David" w:hAnsi="David" w:cs="David" w:hint="cs"/>
          <w:sz w:val="24"/>
          <w:szCs w:val="24"/>
          <w:rtl/>
        </w:rPr>
        <w:t>הגבל</w:t>
      </w:r>
      <w:r>
        <w:rPr>
          <w:rFonts w:ascii="David" w:hAnsi="David" w:cs="David" w:hint="cs"/>
          <w:sz w:val="24"/>
          <w:szCs w:val="24"/>
          <w:rtl/>
        </w:rPr>
        <w:t>ו</w:t>
      </w:r>
      <w:r w:rsidR="003C7CBD">
        <w:rPr>
          <w:rFonts w:ascii="David" w:hAnsi="David" w:cs="David" w:hint="cs"/>
          <w:sz w:val="24"/>
          <w:szCs w:val="24"/>
          <w:rtl/>
        </w:rPr>
        <w:t xml:space="preserve">ת </w:t>
      </w:r>
      <w:r>
        <w:rPr>
          <w:rFonts w:ascii="David" w:hAnsi="David" w:cs="David" w:hint="cs"/>
          <w:sz w:val="24"/>
          <w:szCs w:val="24"/>
          <w:rtl/>
        </w:rPr>
        <w:t xml:space="preserve">שונות שניתן יהיה להטיל על </w:t>
      </w:r>
      <w:r w:rsidR="003C7CBD">
        <w:rPr>
          <w:rFonts w:ascii="David" w:hAnsi="David" w:cs="David" w:hint="cs"/>
          <w:sz w:val="24"/>
          <w:szCs w:val="24"/>
          <w:rtl/>
        </w:rPr>
        <w:t xml:space="preserve">היקף השימוש במטבע דיגיטלי של הבנק המרכזי. קביעת הגבלה כזו יכולה להאיר באור חדש את הבחינה המוצגת במסמך זה וכן את הדיון בסוגיית </w:t>
      </w:r>
      <w:r w:rsidR="003C7CBD" w:rsidRPr="00EC331D">
        <w:rPr>
          <w:rFonts w:ascii="David" w:hAnsi="David" w:cs="David"/>
          <w:sz w:val="24"/>
          <w:szCs w:val="24"/>
        </w:rPr>
        <w:t>banking disintermediation</w:t>
      </w:r>
      <w:r w:rsidR="003C7CBD">
        <w:rPr>
          <w:rFonts w:ascii="David" w:hAnsi="David" w:cs="David" w:hint="cs"/>
          <w:sz w:val="24"/>
          <w:szCs w:val="24"/>
          <w:rtl/>
        </w:rPr>
        <w:t xml:space="preserve"> בכללותה. בנק ישראל ממשיך לבחון סוגיות נוספות שעולות במסגרת המחקר וההכנה </w:t>
      </w:r>
      <w:r w:rsidR="003C7CBD" w:rsidRPr="000521DB">
        <w:rPr>
          <w:rFonts w:ascii="David" w:hAnsi="David" w:cs="David"/>
          <w:sz w:val="24"/>
          <w:szCs w:val="24"/>
          <w:rtl/>
        </w:rPr>
        <w:t xml:space="preserve">לקראת הנפקה אפשרית של </w:t>
      </w:r>
      <w:r w:rsidR="003C7CBD">
        <w:rPr>
          <w:rFonts w:ascii="David" w:hAnsi="David" w:cs="David" w:hint="cs"/>
          <w:sz w:val="24"/>
          <w:szCs w:val="24"/>
          <w:rtl/>
        </w:rPr>
        <w:t xml:space="preserve">שק"ד </w:t>
      </w:r>
      <w:r w:rsidR="003C7CBD" w:rsidRPr="000521DB">
        <w:rPr>
          <w:rFonts w:ascii="David" w:hAnsi="David" w:cs="David"/>
          <w:sz w:val="24"/>
          <w:szCs w:val="24"/>
          <w:rtl/>
        </w:rPr>
        <w:t xml:space="preserve">בעתיד. </w:t>
      </w:r>
      <w:r w:rsidR="003C7CBD">
        <w:rPr>
          <w:rFonts w:ascii="David" w:hAnsi="David" w:cs="David" w:hint="cs"/>
          <w:sz w:val="24"/>
          <w:szCs w:val="24"/>
          <w:rtl/>
        </w:rPr>
        <w:t>נדגיש</w:t>
      </w:r>
      <w:r w:rsidR="001E1894">
        <w:rPr>
          <w:rFonts w:ascii="David" w:hAnsi="David" w:cs="David" w:hint="cs"/>
          <w:sz w:val="24"/>
          <w:szCs w:val="24"/>
          <w:rtl/>
        </w:rPr>
        <w:t>,</w:t>
      </w:r>
      <w:r w:rsidR="003C7CBD">
        <w:rPr>
          <w:rFonts w:ascii="David" w:hAnsi="David" w:cs="David" w:hint="cs"/>
          <w:sz w:val="24"/>
          <w:szCs w:val="24"/>
          <w:rtl/>
        </w:rPr>
        <w:t xml:space="preserve"> כי </w:t>
      </w:r>
      <w:r w:rsidR="003C7CBD" w:rsidRPr="000521DB">
        <w:rPr>
          <w:rFonts w:ascii="David" w:hAnsi="David" w:cs="David"/>
          <w:sz w:val="24"/>
          <w:szCs w:val="24"/>
          <w:rtl/>
        </w:rPr>
        <w:t>בדומה לבנקים מרכזיים רבים אחרים,  בנק ישראל טרם החליט האם בכוונתו להנפיק מטבע דיגיטלי.</w:t>
      </w:r>
    </w:p>
    <w:p w:rsidR="008E3F46" w:rsidRDefault="008E3F46" w:rsidP="008E3F46">
      <w:pPr>
        <w:spacing w:line="360" w:lineRule="auto"/>
        <w:jc w:val="both"/>
        <w:rPr>
          <w:rFonts w:ascii="David" w:hAnsi="David" w:cs="David"/>
          <w:sz w:val="24"/>
          <w:szCs w:val="24"/>
          <w:rtl/>
        </w:rPr>
      </w:pPr>
      <w:r>
        <w:rPr>
          <w:rFonts w:ascii="David" w:hAnsi="David" w:cs="David"/>
          <w:b/>
          <w:bCs/>
          <w:noProof/>
          <w:sz w:val="24"/>
          <w:szCs w:val="24"/>
          <w:rtl/>
        </w:rPr>
        <mc:AlternateContent>
          <mc:Choice Requires="wps">
            <w:drawing>
              <wp:inline distT="0" distB="0" distL="0" distR="0" wp14:anchorId="494EF6C6" wp14:editId="755DDFB8">
                <wp:extent cx="5040000" cy="552091"/>
                <wp:effectExtent l="0" t="0" r="8255" b="635"/>
                <wp:docPr id="40" name="תיבת טקסט 40"/>
                <wp:cNvGraphicFramePr/>
                <a:graphic xmlns:a="http://schemas.openxmlformats.org/drawingml/2006/main">
                  <a:graphicData uri="http://schemas.microsoft.com/office/word/2010/wordprocessingShape">
                    <wps:wsp>
                      <wps:cNvSpPr txBox="1"/>
                      <wps:spPr>
                        <a:xfrm>
                          <a:off x="0" y="0"/>
                          <a:ext cx="5040000" cy="552091"/>
                        </a:xfrm>
                        <a:prstGeom prst="rect">
                          <a:avLst/>
                        </a:prstGeom>
                        <a:solidFill>
                          <a:srgbClr val="DEEBF7"/>
                        </a:solidFill>
                        <a:ln w="6350">
                          <a:noFill/>
                        </a:ln>
                      </wps:spPr>
                      <wps:txbx>
                        <w:txbxContent>
                          <w:p w:rsidR="008E3F46" w:rsidRPr="00005BF3" w:rsidRDefault="008E3F46" w:rsidP="008E3F46">
                            <w:pPr>
                              <w:spacing w:after="0" w:line="240" w:lineRule="auto"/>
                              <w:jc w:val="center"/>
                              <w:rPr>
                                <w:rFonts w:ascii="David" w:hAnsi="David" w:cs="David"/>
                              </w:rPr>
                            </w:pPr>
                            <w:r w:rsidRPr="00005BF3">
                              <w:rPr>
                                <w:rFonts w:ascii="David" w:hAnsi="David" w:cs="David"/>
                                <w:rtl/>
                              </w:rPr>
                              <w:t xml:space="preserve">איור </w:t>
                            </w:r>
                            <w:r>
                              <w:rPr>
                                <w:rFonts w:ascii="David" w:hAnsi="David" w:cs="David" w:hint="cs"/>
                                <w:rtl/>
                              </w:rPr>
                              <w:t xml:space="preserve">1 </w:t>
                            </w:r>
                            <w:r w:rsidRPr="00005BF3">
                              <w:rPr>
                                <w:rFonts w:ascii="David" w:hAnsi="David" w:cs="David"/>
                                <w:rtl/>
                              </w:rPr>
                              <w:t xml:space="preserve">– </w:t>
                            </w:r>
                            <w:r>
                              <w:rPr>
                                <w:rFonts w:ascii="David" w:hAnsi="David" w:cs="David" w:hint="cs"/>
                                <w:rtl/>
                              </w:rPr>
                              <w:t xml:space="preserve">השחיקה ברווח של המערכת הבנקאית (על סמך נתוני שנת 2020) בתרחיש של מעבר של 80 מיליארד ₪ (תרחיש 1) או 160 מיליארד ₪ (תרחיש 2) של פיקדונות הציבור אל השק"ד, תחת הנחות שונות (ההנחות מפורטות במלואן במסמך).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inline>
            </w:drawing>
          </mc:Choice>
          <mc:Fallback>
            <w:pict>
              <v:shapetype w14:anchorId="494EF6C6" id="_x0000_t202" coordsize="21600,21600" o:spt="202" path="m,l,21600r21600,l21600,xe">
                <v:stroke joinstyle="miter"/>
                <v:path gradientshapeok="t" o:connecttype="rect"/>
              </v:shapetype>
              <v:shape id="תיבת טקסט 40" o:spid="_x0000_s1026" type="#_x0000_t202" style="width:396.85pt;height:4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" fillcolor="#deebf7" stroked="f" strokeweight=".5pt">
                <v:textbox>
                  <w:txbxContent>
                    <w:p w:rsidR="008E3F46" w:rsidRPr="00005BF3" w:rsidRDefault="008E3F46" w:rsidP="008E3F46">
                      <w:pPr>
                        <w:spacing w:after="0" w:line="240" w:lineRule="auto"/>
                        <w:jc w:val="center"/>
                        <w:rPr>
                          <w:rFonts w:ascii="David" w:hAnsi="David" w:cs="David"/>
                        </w:rPr>
                      </w:pPr>
                      <w:r w:rsidRPr="00005BF3">
                        <w:rPr>
                          <w:rFonts w:ascii="David" w:hAnsi="David" w:cs="David"/>
                          <w:rtl/>
                        </w:rPr>
                        <w:t xml:space="preserve">איור </w:t>
                      </w:r>
                      <w:r>
                        <w:rPr>
                          <w:rFonts w:ascii="David" w:hAnsi="David" w:cs="David" w:hint="cs"/>
                          <w:rtl/>
                        </w:rPr>
                        <w:t xml:space="preserve">1 </w:t>
                      </w:r>
                      <w:r w:rsidRPr="00005BF3">
                        <w:rPr>
                          <w:rFonts w:ascii="David" w:hAnsi="David" w:cs="David"/>
                          <w:rtl/>
                        </w:rPr>
                        <w:t xml:space="preserve">– </w:t>
                      </w:r>
                      <w:r>
                        <w:rPr>
                          <w:rFonts w:ascii="David" w:hAnsi="David" w:cs="David" w:hint="cs"/>
                          <w:rtl/>
                        </w:rPr>
                        <w:t xml:space="preserve">השחיקה ברווח של המערכת הבנקאית (על סמך נתוני שנת 2020) בתרחיש של מעבר של 80 מיליארד ₪ (תרחיש 1) או 160 מיליארד ₪ (תרחיש 2) של פיקדונות הציבור אל השק"ד, תחת הנחות שונות (ההנחות מפורטות במלואן במסמך). </w:t>
                      </w:r>
                    </w:p>
                  </w:txbxContent>
                </v:textbox>
                <w10:wrap anchorx="page"/>
                <w10:anchorlock/>
              </v:shape>
            </w:pict>
          </mc:Fallback>
        </mc:AlternateContent>
      </w:r>
    </w:p>
    <w:p w:rsidR="008E3F46" w:rsidRPr="00FF6CAD" w:rsidRDefault="008E3F46" w:rsidP="008E3F46">
      <w:pPr>
        <w:spacing w:line="360" w:lineRule="auto"/>
        <w:jc w:val="both"/>
        <w:rPr>
          <w:rFonts w:ascii="David" w:hAnsi="David" w:cs="David"/>
          <w:sz w:val="24"/>
          <w:szCs w:val="24"/>
        </w:rPr>
      </w:pPr>
      <w:r>
        <w:rPr>
          <w:rFonts w:ascii="David" w:hAnsi="David" w:cs="David"/>
          <w:noProof/>
          <w:sz w:val="24"/>
          <w:szCs w:val="24"/>
        </w:rPr>
        <w:drawing>
          <wp:inline distT="0" distB="0" distL="0" distR="0" wp14:anchorId="2D5C9539" wp14:editId="53D57D74">
            <wp:extent cx="5041900" cy="2487295"/>
            <wp:effectExtent l="0" t="0" r="6350" b="8255"/>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41900" cy="2487295"/>
                    </a:xfrm>
                    <a:prstGeom prst="rect">
                      <a:avLst/>
                    </a:prstGeom>
                    <a:noFill/>
                  </pic:spPr>
                </pic:pic>
              </a:graphicData>
            </a:graphic>
          </wp:inline>
        </w:drawing>
      </w:r>
    </w:p>
    <w:sectPr w:rsidR="008E3F46" w:rsidRPr="00FF6CAD" w:rsidSect="00A3206E">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75F1" w:rsidRDefault="008275F1" w:rsidP="003C7CBD">
      <w:pPr>
        <w:spacing w:after="0" w:line="240" w:lineRule="auto"/>
      </w:pPr>
      <w:r>
        <w:separator/>
      </w:r>
    </w:p>
  </w:endnote>
  <w:endnote w:type="continuationSeparator" w:id="0">
    <w:p w:rsidR="008275F1" w:rsidRDefault="008275F1" w:rsidP="003C7C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75F1" w:rsidRDefault="008275F1" w:rsidP="003C7CBD">
      <w:pPr>
        <w:spacing w:after="0" w:line="240" w:lineRule="auto"/>
      </w:pPr>
      <w:r>
        <w:separator/>
      </w:r>
    </w:p>
  </w:footnote>
  <w:footnote w:type="continuationSeparator" w:id="0">
    <w:p w:rsidR="008275F1" w:rsidRDefault="008275F1" w:rsidP="003C7C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653B39"/>
    <w:multiLevelType w:val="hybridMultilevel"/>
    <w:tmpl w:val="8C82B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CBD"/>
    <w:rsid w:val="00037D03"/>
    <w:rsid w:val="000700EB"/>
    <w:rsid w:val="000B0764"/>
    <w:rsid w:val="00105CB2"/>
    <w:rsid w:val="00166E2B"/>
    <w:rsid w:val="001E1894"/>
    <w:rsid w:val="002327D0"/>
    <w:rsid w:val="00233E54"/>
    <w:rsid w:val="0024174F"/>
    <w:rsid w:val="002B2120"/>
    <w:rsid w:val="002F31C2"/>
    <w:rsid w:val="00322E8F"/>
    <w:rsid w:val="003237BA"/>
    <w:rsid w:val="003268DA"/>
    <w:rsid w:val="0039292A"/>
    <w:rsid w:val="003B4FB5"/>
    <w:rsid w:val="003C75D7"/>
    <w:rsid w:val="003C7CBD"/>
    <w:rsid w:val="0042046B"/>
    <w:rsid w:val="004579FC"/>
    <w:rsid w:val="004638A1"/>
    <w:rsid w:val="0049310E"/>
    <w:rsid w:val="004E1735"/>
    <w:rsid w:val="004E3DD5"/>
    <w:rsid w:val="00545557"/>
    <w:rsid w:val="00564B6F"/>
    <w:rsid w:val="0056697B"/>
    <w:rsid w:val="00627920"/>
    <w:rsid w:val="0063130F"/>
    <w:rsid w:val="006662C9"/>
    <w:rsid w:val="00722723"/>
    <w:rsid w:val="007C5AA6"/>
    <w:rsid w:val="00810A63"/>
    <w:rsid w:val="00822619"/>
    <w:rsid w:val="008275F1"/>
    <w:rsid w:val="008E3F46"/>
    <w:rsid w:val="009159B7"/>
    <w:rsid w:val="00962A9E"/>
    <w:rsid w:val="009D78BC"/>
    <w:rsid w:val="00A13F64"/>
    <w:rsid w:val="00A3206E"/>
    <w:rsid w:val="00A67556"/>
    <w:rsid w:val="00A729A7"/>
    <w:rsid w:val="00AB5319"/>
    <w:rsid w:val="00BB2146"/>
    <w:rsid w:val="00C33F14"/>
    <w:rsid w:val="00D17ABA"/>
    <w:rsid w:val="00E203F9"/>
    <w:rsid w:val="00E25B9C"/>
    <w:rsid w:val="00E54733"/>
    <w:rsid w:val="00E96E84"/>
    <w:rsid w:val="00F1480E"/>
    <w:rsid w:val="00F16035"/>
    <w:rsid w:val="00F67DFC"/>
    <w:rsid w:val="00F9487F"/>
    <w:rsid w:val="00FA7997"/>
    <w:rsid w:val="00FE5133"/>
    <w:rsid w:val="00FF1EB0"/>
    <w:rsid w:val="00FF6CA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7A01B"/>
  <w15:chartTrackingRefBased/>
  <w15:docId w15:val="{B2AE50A2-643C-461A-AB91-B5B8F6B19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7CBD"/>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3C7CBD"/>
    <w:pPr>
      <w:spacing w:after="0" w:line="240" w:lineRule="auto"/>
    </w:pPr>
    <w:rPr>
      <w:sz w:val="20"/>
      <w:szCs w:val="20"/>
    </w:rPr>
  </w:style>
  <w:style w:type="character" w:customStyle="1" w:styleId="a4">
    <w:name w:val="טקסט הערת שוליים תו"/>
    <w:basedOn w:val="a0"/>
    <w:link w:val="a3"/>
    <w:uiPriority w:val="99"/>
    <w:semiHidden/>
    <w:rsid w:val="003C7CBD"/>
    <w:rPr>
      <w:sz w:val="20"/>
      <w:szCs w:val="20"/>
    </w:rPr>
  </w:style>
  <w:style w:type="character" w:styleId="a5">
    <w:name w:val="footnote reference"/>
    <w:basedOn w:val="a0"/>
    <w:uiPriority w:val="99"/>
    <w:semiHidden/>
    <w:unhideWhenUsed/>
    <w:rsid w:val="003C7CBD"/>
    <w:rPr>
      <w:vertAlign w:val="superscript"/>
    </w:rPr>
  </w:style>
  <w:style w:type="character" w:styleId="Hyperlink">
    <w:name w:val="Hyperlink"/>
    <w:basedOn w:val="a0"/>
    <w:uiPriority w:val="99"/>
    <w:unhideWhenUsed/>
    <w:rsid w:val="003C7CBD"/>
    <w:rPr>
      <w:color w:val="0000FF" w:themeColor="hyperlink"/>
      <w:u w:val="single"/>
    </w:rPr>
  </w:style>
  <w:style w:type="paragraph" w:styleId="a6">
    <w:name w:val="Balloon Text"/>
    <w:basedOn w:val="a"/>
    <w:link w:val="a7"/>
    <w:uiPriority w:val="99"/>
    <w:semiHidden/>
    <w:unhideWhenUsed/>
    <w:rsid w:val="00A729A7"/>
    <w:pPr>
      <w:spacing w:after="0" w:line="240" w:lineRule="auto"/>
    </w:pPr>
    <w:rPr>
      <w:rFonts w:ascii="Tahoma" w:hAnsi="Tahoma" w:cs="Tahoma"/>
      <w:sz w:val="18"/>
      <w:szCs w:val="18"/>
    </w:rPr>
  </w:style>
  <w:style w:type="character" w:customStyle="1" w:styleId="a7">
    <w:name w:val="טקסט בלונים תו"/>
    <w:basedOn w:val="a0"/>
    <w:link w:val="a6"/>
    <w:uiPriority w:val="99"/>
    <w:semiHidden/>
    <w:rsid w:val="00A729A7"/>
    <w:rPr>
      <w:rFonts w:ascii="Tahoma" w:hAnsi="Tahoma" w:cs="Tahoma"/>
      <w:sz w:val="18"/>
      <w:szCs w:val="18"/>
    </w:rPr>
  </w:style>
  <w:style w:type="character" w:styleId="a8">
    <w:name w:val="annotation reference"/>
    <w:basedOn w:val="a0"/>
    <w:uiPriority w:val="99"/>
    <w:semiHidden/>
    <w:unhideWhenUsed/>
    <w:rsid w:val="00A729A7"/>
    <w:rPr>
      <w:sz w:val="16"/>
      <w:szCs w:val="16"/>
    </w:rPr>
  </w:style>
  <w:style w:type="paragraph" w:styleId="a9">
    <w:name w:val="annotation text"/>
    <w:basedOn w:val="a"/>
    <w:link w:val="aa"/>
    <w:uiPriority w:val="99"/>
    <w:semiHidden/>
    <w:unhideWhenUsed/>
    <w:rsid w:val="00A729A7"/>
    <w:pPr>
      <w:spacing w:line="240" w:lineRule="auto"/>
    </w:pPr>
    <w:rPr>
      <w:sz w:val="20"/>
      <w:szCs w:val="20"/>
    </w:rPr>
  </w:style>
  <w:style w:type="character" w:customStyle="1" w:styleId="aa">
    <w:name w:val="טקסט הערה תו"/>
    <w:basedOn w:val="a0"/>
    <w:link w:val="a9"/>
    <w:uiPriority w:val="99"/>
    <w:semiHidden/>
    <w:rsid w:val="00A729A7"/>
    <w:rPr>
      <w:sz w:val="20"/>
      <w:szCs w:val="20"/>
    </w:rPr>
  </w:style>
  <w:style w:type="paragraph" w:styleId="ab">
    <w:name w:val="annotation subject"/>
    <w:basedOn w:val="a9"/>
    <w:next w:val="a9"/>
    <w:link w:val="ac"/>
    <w:uiPriority w:val="99"/>
    <w:semiHidden/>
    <w:unhideWhenUsed/>
    <w:rsid w:val="00A729A7"/>
    <w:rPr>
      <w:b/>
      <w:bCs/>
    </w:rPr>
  </w:style>
  <w:style w:type="character" w:customStyle="1" w:styleId="ac">
    <w:name w:val="נושא הערה תו"/>
    <w:basedOn w:val="aa"/>
    <w:link w:val="ab"/>
    <w:uiPriority w:val="99"/>
    <w:semiHidden/>
    <w:rsid w:val="00A729A7"/>
    <w:rPr>
      <w:b/>
      <w:bCs/>
      <w:sz w:val="20"/>
      <w:szCs w:val="20"/>
    </w:rPr>
  </w:style>
  <w:style w:type="paragraph" w:styleId="ad">
    <w:name w:val="List Paragraph"/>
    <w:basedOn w:val="a"/>
    <w:uiPriority w:val="34"/>
    <w:qFormat/>
    <w:rsid w:val="00564B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i.org.il/he/NewsAndPublications/PressReleases/Pages/11-5-21.aspx"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customXml" Target="../customXml/item3.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WaveListOrderValue xmlns="http://schemas.microsoft.com/sharepoint/v3" xsi:nil="true"/>
    <_DCDateCreated xmlns="http://schemas.microsoft.com/sharepoint/v3/fields"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מסמך" ma:contentTypeID="0x0101000644CCD52964FE4BBD8AB8E0B060EA47" ma:contentTypeVersion="3" ma:contentTypeDescription="צור מסמך חדש." ma:contentTypeScope="" ma:versionID="2bb10b40ee8d3a599c5f62d28aa9a0b5">
  <xsd:schema xmlns:xsd="http://www.w3.org/2001/XMLSchema" xmlns:xs="http://www.w3.org/2001/XMLSchema" xmlns:p="http://schemas.microsoft.com/office/2006/metadata/properties" xmlns:ns1="http://schemas.microsoft.com/sharepoint/v3" xmlns:ns2="http://schemas.microsoft.com/sharepoint/v3/fields" targetNamespace="http://schemas.microsoft.com/office/2006/metadata/properties" ma:root="true" ma:fieldsID="3c347f0a8e3e1664f2bb8f913eca227a" ns1:_="" ns2:_="">
    <xsd:import namespace="http://schemas.microsoft.com/sharepoint/v3"/>
    <xsd:import namespace="http://schemas.microsoft.com/sharepoint/v3/fields"/>
    <xsd:element name="properties">
      <xsd:complexType>
        <xsd:sequence>
          <xsd:element name="documentManagement">
            <xsd:complexType>
              <xsd:all>
                <xsd:element ref="ns1:PublishingStartDate" minOccurs="0"/>
                <xsd:element ref="ns1:PublishingExpirationDate" minOccurs="0"/>
                <xsd:element ref="ns1:eWaveListOrderValue" minOccurs="0"/>
                <xsd:element ref="ns2:_DCDateCrea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 ma:internalName="PublishingStartDate">
      <xsd:simpleType>
        <xsd:restriction base="dms:Unknown"/>
      </xsd:simpleType>
    </xsd:element>
    <xsd:element name="PublishingExpirationDate" ma:index="9" nillable="true" ma:displayName="מתזמן תאריך סיום" ma:internalName="PublishingExpirationDate">
      <xsd:simpleType>
        <xsd:restriction base="dms:Unknown"/>
      </xsd:simpleType>
    </xsd:element>
    <xsd:element name="eWaveListOrderValue" ma:index="10" nillable="true" ma:displayName="סידור" ma:decimals="2" ma:internalName="eWaveListOrderValue" ma:readOnly="false"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11" nillable="true" ma:displayName="תאריך יצירה" ma:description="התאריך שבו נוצר משאב זה" ma:format="DateTime" ma:internalName="_DCDateCreat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1A21AF-D613-4B06-8377-6466D08BD458}"/>
</file>

<file path=customXml/itemProps2.xml><?xml version="1.0" encoding="utf-8"?>
<ds:datastoreItem xmlns:ds="http://schemas.openxmlformats.org/officeDocument/2006/customXml" ds:itemID="{740C2202-53EF-4317-B77E-3EC18EA09649}"/>
</file>

<file path=customXml/itemProps3.xml><?xml version="1.0" encoding="utf-8"?>
<ds:datastoreItem xmlns:ds="http://schemas.openxmlformats.org/officeDocument/2006/customXml" ds:itemID="{27DE9D16-945B-40AD-8F2F-7CE847A6E8F6}"/>
</file>

<file path=docProps/app.xml><?xml version="1.0" encoding="utf-8"?>
<Properties xmlns="http://schemas.openxmlformats.org/officeDocument/2006/extended-properties" xmlns:vt="http://schemas.openxmlformats.org/officeDocument/2006/docPropsVTypes">
  <Template>Normal</Template>
  <TotalTime>8</TotalTime>
  <Pages>3</Pages>
  <Words>937</Words>
  <Characters>4686</Characters>
  <Application>Microsoft Office Word</Application>
  <DocSecurity>0</DocSecurity>
  <Lines>39</Lines>
  <Paragraphs>11</Paragraphs>
  <ScaleCrop>false</ScaleCrop>
  <HeadingPairs>
    <vt:vector size="2" baseType="variant">
      <vt:variant>
        <vt:lpstr>שם</vt:lpstr>
      </vt:variant>
      <vt:variant>
        <vt:i4>1</vt:i4>
      </vt:variant>
    </vt:vector>
  </HeadingPairs>
  <TitlesOfParts>
    <vt:vector size="1" baseType="lpstr">
      <vt:lpstr/>
    </vt:vector>
  </TitlesOfParts>
  <Company>BOI</Company>
  <LinksUpToDate>false</LinksUpToDate>
  <CharactersWithSpaces>5612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יואב סופר</dc:creator>
  <cp:keywords/>
  <dc:description/>
  <cp:lastModifiedBy>dovrot</cp:lastModifiedBy>
  <cp:revision>5</cp:revision>
  <dcterms:created xsi:type="dcterms:W3CDTF">2022-03-02T05:36:00Z</dcterms:created>
  <dcterms:modified xsi:type="dcterms:W3CDTF">2022-03-02T08:06:00Z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0x0101000644CCD52964FE4BBD8AB8E0B060EA47</vt:lpwstr>
  </property>
</Properties>
</file>