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6E3F4B" w:rsidRPr="00DB1CBC" w:rsidTr="005C34E0">
        <w:trPr>
          <w:jc w:val="center"/>
        </w:trPr>
        <w:tc>
          <w:tcPr>
            <w:tcW w:w="2840" w:type="dxa"/>
            <w:tcBorders>
              <w:top w:val="nil"/>
              <w:left w:val="nil"/>
              <w:bottom w:val="nil"/>
              <w:right w:val="nil"/>
            </w:tcBorders>
            <w:vAlign w:val="center"/>
          </w:tcPr>
          <w:p w:rsidR="006E3F4B" w:rsidRDefault="006E3F4B" w:rsidP="005C34E0">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6E3F4B" w:rsidRDefault="006E3F4B" w:rsidP="005C34E0">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6E3F4B" w:rsidRDefault="006E3F4B" w:rsidP="005C34E0">
            <w:pPr>
              <w:jc w:val="center"/>
            </w:pPr>
            <w:r>
              <w:rPr>
                <w:noProof/>
              </w:rPr>
              <w:drawing>
                <wp:inline distT="0" distB="0" distL="0" distR="0" wp14:anchorId="0DFA5A06" wp14:editId="585C4F67">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6E3F4B" w:rsidRDefault="006E3F4B" w:rsidP="005C34E0">
            <w:pPr>
              <w:spacing w:line="480" w:lineRule="auto"/>
              <w:jc w:val="right"/>
              <w:rPr>
                <w:rFonts w:cs="David"/>
                <w:sz w:val="24"/>
                <w:szCs w:val="24"/>
              </w:rPr>
            </w:pPr>
            <w:r>
              <w:rPr>
                <w:rFonts w:cs="David" w:hint="eastAsia"/>
                <w:sz w:val="24"/>
                <w:szCs w:val="24"/>
                <w:rtl/>
              </w:rPr>
              <w:t>‏</w:t>
            </w:r>
            <w:r>
              <w:rPr>
                <w:rFonts w:cs="David" w:hint="cs"/>
                <w:sz w:val="24"/>
                <w:szCs w:val="24"/>
                <w:rtl/>
              </w:rPr>
              <w:t>ירושלים, ב' באדר א'</w:t>
            </w:r>
            <w:r>
              <w:rPr>
                <w:rFonts w:cs="David"/>
                <w:sz w:val="24"/>
                <w:szCs w:val="24"/>
                <w:rtl/>
              </w:rPr>
              <w:t xml:space="preserve"> </w:t>
            </w:r>
            <w:r>
              <w:rPr>
                <w:rFonts w:cs="David" w:hint="cs"/>
                <w:sz w:val="24"/>
                <w:szCs w:val="24"/>
                <w:rtl/>
              </w:rPr>
              <w:t>ה</w:t>
            </w:r>
            <w:r>
              <w:rPr>
                <w:rFonts w:cs="David"/>
                <w:sz w:val="24"/>
                <w:szCs w:val="24"/>
                <w:rtl/>
              </w:rPr>
              <w:t>תשע"</w:t>
            </w:r>
            <w:r>
              <w:rPr>
                <w:rFonts w:cs="David" w:hint="cs"/>
                <w:sz w:val="24"/>
                <w:szCs w:val="24"/>
                <w:rtl/>
              </w:rPr>
              <w:t>ד</w:t>
            </w:r>
          </w:p>
          <w:p w:rsidR="006E3F4B" w:rsidRPr="00DF107C" w:rsidRDefault="006E3F4B" w:rsidP="005C34E0">
            <w:pPr>
              <w:spacing w:line="480" w:lineRule="auto"/>
              <w:jc w:val="right"/>
              <w:rPr>
                <w:rFonts w:cs="David"/>
                <w:sz w:val="24"/>
                <w:szCs w:val="24"/>
              </w:rPr>
            </w:pPr>
            <w:r>
              <w:rPr>
                <w:rFonts w:cs="David" w:hint="eastAsia"/>
                <w:sz w:val="24"/>
                <w:szCs w:val="24"/>
                <w:rtl/>
              </w:rPr>
              <w:t>‏‏</w:t>
            </w:r>
            <w:r>
              <w:rPr>
                <w:rFonts w:cs="David" w:hint="cs"/>
                <w:sz w:val="24"/>
                <w:szCs w:val="24"/>
                <w:rtl/>
              </w:rPr>
              <w:t>2 בפברואר 2014</w:t>
            </w:r>
          </w:p>
        </w:tc>
      </w:tr>
    </w:tbl>
    <w:p w:rsidR="006E3F4B" w:rsidRDefault="006E3F4B" w:rsidP="006E3F4B">
      <w:pPr>
        <w:spacing w:line="360" w:lineRule="auto"/>
        <w:ind w:right="-101"/>
        <w:rPr>
          <w:rFonts w:cs="David"/>
          <w:sz w:val="24"/>
          <w:szCs w:val="24"/>
          <w:rtl/>
        </w:rPr>
      </w:pPr>
      <w:r w:rsidRPr="007E18EE">
        <w:rPr>
          <w:rFonts w:cs="David" w:hint="cs"/>
          <w:sz w:val="24"/>
          <w:szCs w:val="24"/>
          <w:rtl/>
        </w:rPr>
        <w:t>הודעה לעיתונות:</w:t>
      </w:r>
    </w:p>
    <w:p w:rsidR="00BB43C1" w:rsidRPr="006259F3" w:rsidRDefault="00BB43C1" w:rsidP="006E3F4B">
      <w:pPr>
        <w:spacing w:after="0" w:line="360" w:lineRule="auto"/>
        <w:jc w:val="center"/>
        <w:rPr>
          <w:rFonts w:ascii="Times New Roman" w:hAnsi="Times New Roman" w:cs="David"/>
          <w:color w:val="3366FF"/>
          <w:sz w:val="28"/>
          <w:szCs w:val="28"/>
          <w:rtl/>
        </w:rPr>
      </w:pPr>
      <w:r w:rsidRPr="006259F3">
        <w:rPr>
          <w:rFonts w:ascii="Times New Roman" w:hAnsi="Times New Roman" w:cs="David" w:hint="cs"/>
          <w:color w:val="3366FF"/>
          <w:sz w:val="28"/>
          <w:szCs w:val="28"/>
          <w:rtl/>
        </w:rPr>
        <w:t>דוח המדיניות המוניטרית למחצית ה</w:t>
      </w:r>
      <w:r>
        <w:rPr>
          <w:rFonts w:ascii="Times New Roman" w:hAnsi="Times New Roman" w:cs="David" w:hint="cs"/>
          <w:color w:val="3366FF"/>
          <w:sz w:val="28"/>
          <w:szCs w:val="28"/>
          <w:rtl/>
        </w:rPr>
        <w:t>שנייה</w:t>
      </w:r>
      <w:r w:rsidRPr="006259F3">
        <w:rPr>
          <w:rFonts w:ascii="Times New Roman" w:hAnsi="Times New Roman" w:cs="David" w:hint="cs"/>
          <w:color w:val="3366FF"/>
          <w:sz w:val="28"/>
          <w:szCs w:val="28"/>
          <w:rtl/>
        </w:rPr>
        <w:t xml:space="preserve"> של 2013</w:t>
      </w:r>
    </w:p>
    <w:p w:rsidR="00BB43C1" w:rsidRPr="0055540B" w:rsidRDefault="00BB43C1" w:rsidP="00BB43C1">
      <w:pPr>
        <w:spacing w:line="360" w:lineRule="auto"/>
        <w:jc w:val="both"/>
        <w:rPr>
          <w:rFonts w:ascii="Times New Roman" w:hAnsi="Times New Roman" w:cs="David"/>
          <w:sz w:val="24"/>
          <w:szCs w:val="24"/>
          <w:rtl/>
        </w:rPr>
      </w:pPr>
      <w:r w:rsidRPr="0055540B">
        <w:rPr>
          <w:rFonts w:ascii="Times New Roman" w:hAnsi="Times New Roman" w:cs="David"/>
          <w:color w:val="3366FF"/>
          <w:sz w:val="28"/>
          <w:szCs w:val="28"/>
          <w:rtl/>
        </w:rPr>
        <w:t>תקציר</w:t>
      </w:r>
    </w:p>
    <w:p w:rsidR="00BB43C1" w:rsidRPr="005C3B7E" w:rsidRDefault="00BB43C1" w:rsidP="00BB43C1">
      <w:pPr>
        <w:pStyle w:val="a3"/>
        <w:numPr>
          <w:ilvl w:val="3"/>
          <w:numId w:val="1"/>
        </w:numPr>
        <w:spacing w:line="360" w:lineRule="auto"/>
        <w:ind w:left="368"/>
        <w:jc w:val="both"/>
        <w:rPr>
          <w:rFonts w:ascii="Times New Roman" w:hAnsi="Times New Roman" w:cs="David"/>
          <w:sz w:val="24"/>
          <w:szCs w:val="24"/>
          <w:rtl/>
        </w:rPr>
      </w:pPr>
      <w:r w:rsidRPr="005C3B7E">
        <w:rPr>
          <w:rFonts w:ascii="Times New Roman" w:hAnsi="Times New Roman" w:cs="David"/>
          <w:b/>
          <w:bCs/>
          <w:sz w:val="24"/>
          <w:szCs w:val="24"/>
          <w:rtl/>
        </w:rPr>
        <w:t>המדיניות המוניטרית והמקרו-יציב</w:t>
      </w:r>
      <w:r w:rsidRPr="005C3B7E">
        <w:rPr>
          <w:rFonts w:ascii="Times New Roman" w:hAnsi="Times New Roman" w:cs="David" w:hint="cs"/>
          <w:b/>
          <w:bCs/>
          <w:sz w:val="24"/>
          <w:szCs w:val="24"/>
          <w:rtl/>
        </w:rPr>
        <w:t>ו</w:t>
      </w:r>
      <w:r w:rsidRPr="005C3B7E">
        <w:rPr>
          <w:rFonts w:ascii="Times New Roman" w:hAnsi="Times New Roman" w:cs="David"/>
          <w:b/>
          <w:bCs/>
          <w:sz w:val="24"/>
          <w:szCs w:val="24"/>
          <w:rtl/>
        </w:rPr>
        <w:t>תית</w:t>
      </w:r>
      <w:r w:rsidRPr="00F93DCB">
        <w:rPr>
          <w:rFonts w:ascii="Times New Roman" w:hAnsi="Times New Roman" w:cs="David"/>
          <w:b/>
          <w:bCs/>
          <w:sz w:val="24"/>
          <w:szCs w:val="24"/>
          <w:rtl/>
        </w:rPr>
        <w:t>:</w:t>
      </w:r>
      <w:r w:rsidRPr="005C3B7E">
        <w:rPr>
          <w:rFonts w:ascii="Times New Roman" w:hAnsi="Times New Roman" w:cs="David"/>
          <w:sz w:val="24"/>
          <w:szCs w:val="24"/>
          <w:rtl/>
        </w:rPr>
        <w:t xml:space="preserve"> </w:t>
      </w:r>
      <w:r>
        <w:rPr>
          <w:rFonts w:ascii="Times New Roman" w:hAnsi="Times New Roman" w:cs="David" w:hint="cs"/>
          <w:sz w:val="24"/>
          <w:szCs w:val="24"/>
          <w:rtl/>
        </w:rPr>
        <w:t xml:space="preserve">במחצית הנסקרת הפחיתה הוועדה המוניטרית את הריבית לאוקטובר ב-0.25 נקודת אחוז, מ-1.25 אחוז ל-1 אחוז, </w:t>
      </w:r>
      <w:r w:rsidRPr="00A810AD">
        <w:rPr>
          <w:rFonts w:ascii="Times New Roman" w:hAnsi="Times New Roman" w:cs="David" w:hint="cs"/>
          <w:sz w:val="24"/>
          <w:szCs w:val="24"/>
          <w:rtl/>
        </w:rPr>
        <w:t>לאחר</w:t>
      </w:r>
      <w:r w:rsidRPr="00A810AD">
        <w:rPr>
          <w:rFonts w:ascii="Times New Roman" w:hAnsi="Times New Roman" w:cs="David"/>
          <w:sz w:val="24"/>
          <w:szCs w:val="24"/>
          <w:rtl/>
        </w:rPr>
        <w:t xml:space="preserve"> </w:t>
      </w:r>
      <w:r w:rsidRPr="00A810AD">
        <w:rPr>
          <w:rFonts w:ascii="Times New Roman" w:hAnsi="Times New Roman" w:cs="David" w:hint="cs"/>
          <w:sz w:val="24"/>
          <w:szCs w:val="24"/>
          <w:rtl/>
        </w:rPr>
        <w:t>שבמחצית</w:t>
      </w:r>
      <w:r w:rsidRPr="00A810AD">
        <w:rPr>
          <w:rFonts w:ascii="Times New Roman" w:hAnsi="Times New Roman" w:cs="David"/>
          <w:sz w:val="24"/>
          <w:szCs w:val="24"/>
          <w:rtl/>
        </w:rPr>
        <w:t xml:space="preserve"> </w:t>
      </w:r>
      <w:r w:rsidRPr="00A810AD">
        <w:rPr>
          <w:rFonts w:ascii="Times New Roman" w:hAnsi="Times New Roman" w:cs="David" w:hint="cs"/>
          <w:sz w:val="24"/>
          <w:szCs w:val="24"/>
          <w:rtl/>
        </w:rPr>
        <w:t>הראשונה</w:t>
      </w:r>
      <w:r w:rsidRPr="00A810AD">
        <w:rPr>
          <w:rFonts w:ascii="Times New Roman" w:hAnsi="Times New Roman" w:cs="David"/>
          <w:sz w:val="24"/>
          <w:szCs w:val="24"/>
          <w:rtl/>
        </w:rPr>
        <w:t xml:space="preserve"> </w:t>
      </w:r>
      <w:r w:rsidRPr="00A810AD">
        <w:rPr>
          <w:rFonts w:ascii="Times New Roman" w:hAnsi="Times New Roman" w:cs="David" w:hint="cs"/>
          <w:sz w:val="24"/>
          <w:szCs w:val="24"/>
          <w:rtl/>
        </w:rPr>
        <w:t>של</w:t>
      </w:r>
      <w:r w:rsidRPr="00A810AD">
        <w:rPr>
          <w:rFonts w:ascii="Times New Roman" w:hAnsi="Times New Roman" w:cs="David"/>
          <w:sz w:val="24"/>
          <w:szCs w:val="24"/>
          <w:rtl/>
        </w:rPr>
        <w:t xml:space="preserve"> </w:t>
      </w:r>
      <w:r w:rsidRPr="00A810AD">
        <w:rPr>
          <w:rFonts w:ascii="Times New Roman" w:hAnsi="Times New Roman" w:cs="David" w:hint="cs"/>
          <w:sz w:val="24"/>
          <w:szCs w:val="24"/>
          <w:rtl/>
        </w:rPr>
        <w:t>השנה</w:t>
      </w:r>
      <w:r w:rsidRPr="00A810AD">
        <w:rPr>
          <w:rFonts w:ascii="Times New Roman" w:hAnsi="Times New Roman" w:cs="David"/>
          <w:sz w:val="24"/>
          <w:szCs w:val="24"/>
          <w:rtl/>
        </w:rPr>
        <w:t xml:space="preserve"> </w:t>
      </w:r>
      <w:r>
        <w:rPr>
          <w:rFonts w:ascii="Times New Roman" w:hAnsi="Times New Roman" w:cs="David" w:hint="cs"/>
          <w:sz w:val="24"/>
          <w:szCs w:val="24"/>
          <w:rtl/>
        </w:rPr>
        <w:t>הופחתה</w:t>
      </w:r>
      <w:r w:rsidRPr="00A810AD">
        <w:rPr>
          <w:rFonts w:ascii="Times New Roman" w:hAnsi="Times New Roman" w:cs="David"/>
          <w:sz w:val="24"/>
          <w:szCs w:val="24"/>
          <w:rtl/>
        </w:rPr>
        <w:t xml:space="preserve"> </w:t>
      </w:r>
      <w:r w:rsidRPr="00A810AD">
        <w:rPr>
          <w:rFonts w:ascii="Times New Roman" w:hAnsi="Times New Roman" w:cs="David" w:hint="cs"/>
          <w:sz w:val="24"/>
          <w:szCs w:val="24"/>
          <w:rtl/>
        </w:rPr>
        <w:t>הריבית</w:t>
      </w:r>
      <w:r w:rsidRPr="00A810AD">
        <w:rPr>
          <w:rFonts w:ascii="Times New Roman" w:hAnsi="Times New Roman" w:cs="David"/>
          <w:sz w:val="24"/>
          <w:szCs w:val="24"/>
          <w:rtl/>
        </w:rPr>
        <w:t xml:space="preserve"> </w:t>
      </w:r>
      <w:r w:rsidRPr="00A810AD">
        <w:rPr>
          <w:rFonts w:ascii="Times New Roman" w:hAnsi="Times New Roman" w:cs="David" w:hint="cs"/>
          <w:sz w:val="24"/>
          <w:szCs w:val="24"/>
          <w:rtl/>
        </w:rPr>
        <w:t>בשיעור</w:t>
      </w:r>
      <w:r w:rsidRPr="00A810AD">
        <w:rPr>
          <w:rFonts w:ascii="Times New Roman" w:hAnsi="Times New Roman" w:cs="David"/>
          <w:sz w:val="24"/>
          <w:szCs w:val="24"/>
          <w:rtl/>
        </w:rPr>
        <w:t xml:space="preserve"> </w:t>
      </w:r>
      <w:r w:rsidRPr="00A810AD">
        <w:rPr>
          <w:rFonts w:ascii="Times New Roman" w:hAnsi="Times New Roman" w:cs="David" w:hint="cs"/>
          <w:sz w:val="24"/>
          <w:szCs w:val="24"/>
          <w:rtl/>
        </w:rPr>
        <w:t>מצטבר</w:t>
      </w:r>
      <w:r w:rsidRPr="00A810AD">
        <w:rPr>
          <w:rFonts w:ascii="Times New Roman" w:hAnsi="Times New Roman" w:cs="David"/>
          <w:sz w:val="24"/>
          <w:szCs w:val="24"/>
          <w:rtl/>
        </w:rPr>
        <w:t xml:space="preserve"> </w:t>
      </w:r>
      <w:r w:rsidRPr="00A810AD">
        <w:rPr>
          <w:rFonts w:ascii="Times New Roman" w:hAnsi="Times New Roman" w:cs="David" w:hint="cs"/>
          <w:sz w:val="24"/>
          <w:szCs w:val="24"/>
          <w:rtl/>
        </w:rPr>
        <w:t>של</w:t>
      </w:r>
      <w:r w:rsidRPr="00A810AD">
        <w:rPr>
          <w:rFonts w:ascii="Times New Roman" w:hAnsi="Times New Roman" w:cs="David"/>
          <w:sz w:val="24"/>
          <w:szCs w:val="24"/>
          <w:rtl/>
        </w:rPr>
        <w:t xml:space="preserve"> 0.75 </w:t>
      </w:r>
      <w:r w:rsidRPr="00A810AD">
        <w:rPr>
          <w:rFonts w:ascii="Times New Roman" w:hAnsi="Times New Roman" w:cs="David" w:hint="cs"/>
          <w:sz w:val="24"/>
          <w:szCs w:val="24"/>
          <w:rtl/>
        </w:rPr>
        <w:t>נקודת</w:t>
      </w:r>
      <w:r w:rsidRPr="00A810AD">
        <w:rPr>
          <w:rFonts w:ascii="Times New Roman" w:hAnsi="Times New Roman" w:cs="David"/>
          <w:sz w:val="24"/>
          <w:szCs w:val="24"/>
          <w:rtl/>
        </w:rPr>
        <w:t xml:space="preserve"> </w:t>
      </w:r>
      <w:r w:rsidRPr="00A810AD">
        <w:rPr>
          <w:rFonts w:ascii="Times New Roman" w:hAnsi="Times New Roman" w:cs="David" w:hint="cs"/>
          <w:sz w:val="24"/>
          <w:szCs w:val="24"/>
          <w:rtl/>
        </w:rPr>
        <w:t>אחוז</w:t>
      </w:r>
      <w:r>
        <w:rPr>
          <w:rFonts w:ascii="Times New Roman" w:hAnsi="Times New Roman" w:cs="David" w:hint="cs"/>
          <w:sz w:val="24"/>
          <w:szCs w:val="24"/>
          <w:rtl/>
        </w:rPr>
        <w:t>. ב</w:t>
      </w:r>
      <w:r w:rsidRPr="005C3B7E">
        <w:rPr>
          <w:rFonts w:ascii="Times New Roman" w:hAnsi="Times New Roman" w:cs="David" w:hint="cs"/>
          <w:sz w:val="24"/>
          <w:szCs w:val="24"/>
          <w:rtl/>
        </w:rPr>
        <w:t>ספטמבר</w:t>
      </w:r>
      <w:r>
        <w:rPr>
          <w:rFonts w:ascii="Times New Roman" w:hAnsi="Times New Roman" w:cs="David" w:hint="cs"/>
          <w:sz w:val="24"/>
          <w:szCs w:val="24"/>
          <w:rtl/>
        </w:rPr>
        <w:t>,</w:t>
      </w:r>
      <w:r w:rsidRPr="005C3B7E">
        <w:rPr>
          <w:rFonts w:ascii="Times New Roman" w:hAnsi="Times New Roman" w:cs="David" w:hint="cs"/>
          <w:sz w:val="24"/>
          <w:szCs w:val="24"/>
          <w:rtl/>
        </w:rPr>
        <w:t xml:space="preserve"> אוקטובר </w:t>
      </w:r>
      <w:r w:rsidRPr="0064777E">
        <w:rPr>
          <w:rFonts w:ascii="Times New Roman" w:hAnsi="Times New Roman" w:cs="David" w:hint="cs"/>
          <w:sz w:val="24"/>
          <w:szCs w:val="24"/>
          <w:rtl/>
        </w:rPr>
        <w:t>ודצמבר</w:t>
      </w:r>
      <w:r>
        <w:rPr>
          <w:rFonts w:ascii="Times New Roman" w:hAnsi="Times New Roman" w:cs="David" w:hint="cs"/>
          <w:sz w:val="24"/>
          <w:szCs w:val="24"/>
          <w:rtl/>
        </w:rPr>
        <w:t xml:space="preserve"> רכש בנק ישראל מט"ח בעסקאות המרה במסגרת מדיניות ההתערבות בשוק המט"ח</w:t>
      </w:r>
      <w:r w:rsidRPr="005C3B7E">
        <w:rPr>
          <w:rFonts w:ascii="Times New Roman" w:hAnsi="Times New Roman" w:cs="David" w:hint="cs"/>
          <w:sz w:val="24"/>
          <w:szCs w:val="24"/>
          <w:rtl/>
        </w:rPr>
        <w:t>, וזאת</w:t>
      </w:r>
      <w:r>
        <w:rPr>
          <w:rFonts w:ascii="Times New Roman" w:hAnsi="Times New Roman" w:cs="David" w:hint="cs"/>
          <w:sz w:val="24"/>
          <w:szCs w:val="24"/>
          <w:rtl/>
        </w:rPr>
        <w:t xml:space="preserve"> נוסף על רכישות המט"ח במסגרת ה</w:t>
      </w:r>
      <w:r w:rsidRPr="005C3B7E">
        <w:rPr>
          <w:rFonts w:ascii="Times New Roman" w:hAnsi="Times New Roman" w:cs="David" w:hint="cs"/>
          <w:sz w:val="24"/>
          <w:szCs w:val="24"/>
          <w:rtl/>
        </w:rPr>
        <w:t xml:space="preserve">תוכנית </w:t>
      </w:r>
      <w:r>
        <w:rPr>
          <w:rFonts w:ascii="Times New Roman" w:hAnsi="Times New Roman" w:cs="David" w:hint="cs"/>
          <w:sz w:val="24"/>
          <w:szCs w:val="24"/>
          <w:rtl/>
        </w:rPr>
        <w:t xml:space="preserve">שהבנק </w:t>
      </w:r>
      <w:r w:rsidRPr="005C3B7E">
        <w:rPr>
          <w:rFonts w:ascii="Times New Roman" w:hAnsi="Times New Roman" w:cs="David" w:hint="cs"/>
          <w:sz w:val="24"/>
          <w:szCs w:val="24"/>
          <w:rtl/>
        </w:rPr>
        <w:t xml:space="preserve">הכריז </w:t>
      </w:r>
      <w:r>
        <w:rPr>
          <w:rFonts w:ascii="Times New Roman" w:hAnsi="Times New Roman" w:cs="David" w:hint="cs"/>
          <w:sz w:val="24"/>
          <w:szCs w:val="24"/>
          <w:rtl/>
        </w:rPr>
        <w:t xml:space="preserve">עליה </w:t>
      </w:r>
      <w:r w:rsidRPr="005C3B7E">
        <w:rPr>
          <w:rFonts w:ascii="Times New Roman" w:hAnsi="Times New Roman" w:cs="David" w:hint="cs"/>
          <w:sz w:val="24"/>
          <w:szCs w:val="24"/>
          <w:rtl/>
        </w:rPr>
        <w:t xml:space="preserve">במאי </w:t>
      </w:r>
      <w:r>
        <w:rPr>
          <w:rFonts w:ascii="Times New Roman" w:hAnsi="Times New Roman" w:cs="David" w:hint="cs"/>
          <w:sz w:val="24"/>
          <w:szCs w:val="24"/>
          <w:rtl/>
        </w:rPr>
        <w:t>ואשר נועדה</w:t>
      </w:r>
      <w:r w:rsidRPr="005C3B7E">
        <w:rPr>
          <w:rFonts w:ascii="Times New Roman" w:hAnsi="Times New Roman" w:cs="David" w:hint="cs"/>
          <w:sz w:val="24"/>
          <w:szCs w:val="24"/>
          <w:rtl/>
        </w:rPr>
        <w:t xml:space="preserve"> לקזז את השפע</w:t>
      </w:r>
      <w:r>
        <w:rPr>
          <w:rFonts w:ascii="Times New Roman" w:hAnsi="Times New Roman" w:cs="David" w:hint="cs"/>
          <w:sz w:val="24"/>
          <w:szCs w:val="24"/>
          <w:rtl/>
        </w:rPr>
        <w:t>ת</w:t>
      </w:r>
      <w:r w:rsidRPr="005C3B7E">
        <w:rPr>
          <w:rFonts w:ascii="Times New Roman" w:hAnsi="Times New Roman" w:cs="David" w:hint="cs"/>
          <w:sz w:val="24"/>
          <w:szCs w:val="24"/>
          <w:rtl/>
        </w:rPr>
        <w:t xml:space="preserve"> </w:t>
      </w:r>
      <w:r>
        <w:rPr>
          <w:rFonts w:ascii="Times New Roman" w:hAnsi="Times New Roman" w:cs="David" w:hint="cs"/>
          <w:sz w:val="24"/>
          <w:szCs w:val="24"/>
          <w:rtl/>
        </w:rPr>
        <w:t xml:space="preserve">היתר </w:t>
      </w:r>
      <w:r w:rsidRPr="005C3B7E">
        <w:rPr>
          <w:rFonts w:ascii="Times New Roman" w:hAnsi="Times New Roman" w:cs="David" w:hint="cs"/>
          <w:sz w:val="24"/>
          <w:szCs w:val="24"/>
          <w:rtl/>
        </w:rPr>
        <w:t>של תחילת הפקת הגז</w:t>
      </w:r>
      <w:r>
        <w:rPr>
          <w:rFonts w:ascii="Times New Roman" w:hAnsi="Times New Roman" w:cs="David" w:hint="cs"/>
          <w:sz w:val="24"/>
          <w:szCs w:val="24"/>
          <w:rtl/>
        </w:rPr>
        <w:t xml:space="preserve"> על שער החליפין</w:t>
      </w:r>
      <w:r w:rsidRPr="005C3B7E">
        <w:rPr>
          <w:rFonts w:ascii="Times New Roman" w:hAnsi="Times New Roman" w:cs="David" w:hint="cs"/>
          <w:sz w:val="24"/>
          <w:szCs w:val="24"/>
          <w:rtl/>
        </w:rPr>
        <w:t xml:space="preserve">. </w:t>
      </w:r>
      <w:r>
        <w:rPr>
          <w:rFonts w:ascii="Times New Roman" w:hAnsi="Times New Roman" w:cs="David" w:hint="cs"/>
          <w:sz w:val="24"/>
          <w:szCs w:val="24"/>
          <w:rtl/>
        </w:rPr>
        <w:t>ב</w:t>
      </w:r>
      <w:r w:rsidRPr="005C3B7E">
        <w:rPr>
          <w:rFonts w:ascii="Times New Roman" w:hAnsi="Times New Roman" w:cs="David" w:hint="cs"/>
          <w:sz w:val="24"/>
          <w:szCs w:val="24"/>
          <w:rtl/>
        </w:rPr>
        <w:t xml:space="preserve">אוגוסט </w:t>
      </w:r>
      <w:r>
        <w:rPr>
          <w:rFonts w:ascii="Times New Roman" w:hAnsi="Times New Roman" w:cs="David" w:hint="cs"/>
          <w:sz w:val="24"/>
          <w:szCs w:val="24"/>
          <w:rtl/>
        </w:rPr>
        <w:t xml:space="preserve">פרסם </w:t>
      </w:r>
      <w:r w:rsidRPr="005C3B7E">
        <w:rPr>
          <w:rFonts w:ascii="Times New Roman" w:hAnsi="Times New Roman" w:cs="David" w:hint="cs"/>
          <w:sz w:val="24"/>
          <w:szCs w:val="24"/>
          <w:rtl/>
        </w:rPr>
        <w:t xml:space="preserve">המפקח על הבנקים </w:t>
      </w:r>
      <w:r>
        <w:rPr>
          <w:rFonts w:ascii="Times New Roman" w:hAnsi="Times New Roman" w:cs="David" w:hint="cs"/>
          <w:sz w:val="24"/>
          <w:szCs w:val="24"/>
          <w:rtl/>
        </w:rPr>
        <w:t xml:space="preserve">הגבלות על מתן הלוואות לדיור; הן </w:t>
      </w:r>
      <w:r w:rsidRPr="005C3B7E">
        <w:rPr>
          <w:rFonts w:ascii="Times New Roman" w:hAnsi="Times New Roman" w:cs="David" w:hint="cs"/>
          <w:sz w:val="24"/>
          <w:szCs w:val="24"/>
          <w:rtl/>
        </w:rPr>
        <w:t>נכנסו לתוק</w:t>
      </w:r>
      <w:r>
        <w:rPr>
          <w:rFonts w:ascii="Times New Roman" w:hAnsi="Times New Roman" w:cs="David" w:hint="cs"/>
          <w:sz w:val="24"/>
          <w:szCs w:val="24"/>
          <w:rtl/>
        </w:rPr>
        <w:t>ף</w:t>
      </w:r>
      <w:r w:rsidRPr="005C3B7E">
        <w:rPr>
          <w:rFonts w:ascii="Times New Roman" w:hAnsi="Times New Roman" w:cs="David" w:hint="cs"/>
          <w:sz w:val="24"/>
          <w:szCs w:val="24"/>
          <w:rtl/>
        </w:rPr>
        <w:t xml:space="preserve"> </w:t>
      </w:r>
      <w:r>
        <w:rPr>
          <w:rFonts w:ascii="Times New Roman" w:hAnsi="Times New Roman" w:cs="David" w:hint="cs"/>
          <w:sz w:val="24"/>
          <w:szCs w:val="24"/>
          <w:rtl/>
        </w:rPr>
        <w:t>ב</w:t>
      </w:r>
      <w:r w:rsidRPr="005C3B7E">
        <w:rPr>
          <w:rFonts w:ascii="Times New Roman" w:hAnsi="Times New Roman" w:cs="David" w:hint="cs"/>
          <w:sz w:val="24"/>
          <w:szCs w:val="24"/>
          <w:rtl/>
        </w:rPr>
        <w:t>ספטמבר</w:t>
      </w:r>
      <w:r>
        <w:rPr>
          <w:rFonts w:ascii="Times New Roman" w:hAnsi="Times New Roman" w:cs="David" w:hint="cs"/>
          <w:sz w:val="24"/>
          <w:szCs w:val="24"/>
          <w:rtl/>
        </w:rPr>
        <w:t xml:space="preserve"> (ולתחולה מלאה בנובמבר) וחלות על </w:t>
      </w:r>
      <w:r w:rsidRPr="005C3B7E">
        <w:rPr>
          <w:rFonts w:ascii="Times New Roman" w:hAnsi="Times New Roman" w:cs="David" w:hint="cs"/>
          <w:sz w:val="24"/>
          <w:szCs w:val="24"/>
          <w:rtl/>
        </w:rPr>
        <w:t xml:space="preserve">שיעור ההחזר מן ההכנסה, </w:t>
      </w:r>
      <w:r>
        <w:rPr>
          <w:rFonts w:ascii="Times New Roman" w:hAnsi="Times New Roman" w:cs="David" w:hint="cs"/>
          <w:sz w:val="24"/>
          <w:szCs w:val="24"/>
          <w:rtl/>
        </w:rPr>
        <w:t>על</w:t>
      </w:r>
      <w:r w:rsidRPr="005C3B7E">
        <w:rPr>
          <w:rFonts w:ascii="Times New Roman" w:hAnsi="Times New Roman" w:cs="David" w:hint="cs"/>
          <w:sz w:val="24"/>
          <w:szCs w:val="24"/>
          <w:rtl/>
        </w:rPr>
        <w:t xml:space="preserve"> חלק ההלוואה שניתן בריבית משתנה, </w:t>
      </w:r>
      <w:r>
        <w:rPr>
          <w:rFonts w:ascii="Times New Roman" w:hAnsi="Times New Roman" w:cs="David" w:hint="cs"/>
          <w:sz w:val="24"/>
          <w:szCs w:val="24"/>
          <w:rtl/>
        </w:rPr>
        <w:t>ועל</w:t>
      </w:r>
      <w:r w:rsidRPr="005C3B7E">
        <w:rPr>
          <w:rFonts w:ascii="Times New Roman" w:hAnsi="Times New Roman" w:cs="David" w:hint="cs"/>
          <w:sz w:val="24"/>
          <w:szCs w:val="24"/>
          <w:rtl/>
        </w:rPr>
        <w:t xml:space="preserve"> התקופה הסופית לפירעון ההלוואה</w:t>
      </w:r>
      <w:r>
        <w:rPr>
          <w:rFonts w:ascii="Times New Roman" w:hAnsi="Times New Roman" w:cs="David" w:hint="cs"/>
          <w:sz w:val="24"/>
          <w:szCs w:val="24"/>
          <w:rtl/>
        </w:rPr>
        <w:t>;</w:t>
      </w:r>
      <w:r w:rsidRPr="005C3B7E">
        <w:rPr>
          <w:rFonts w:ascii="Times New Roman" w:hAnsi="Times New Roman" w:cs="David" w:hint="cs"/>
          <w:sz w:val="24"/>
          <w:szCs w:val="24"/>
          <w:rtl/>
        </w:rPr>
        <w:t xml:space="preserve"> </w:t>
      </w:r>
      <w:r>
        <w:rPr>
          <w:rFonts w:ascii="Times New Roman" w:hAnsi="Times New Roman" w:cs="David" w:hint="cs"/>
          <w:sz w:val="24"/>
          <w:szCs w:val="24"/>
          <w:rtl/>
        </w:rPr>
        <w:t xml:space="preserve">הוראות אלה מפחיתות את </w:t>
      </w:r>
      <w:r w:rsidRPr="005C3B7E">
        <w:rPr>
          <w:rFonts w:ascii="Times New Roman" w:hAnsi="Times New Roman" w:cs="David" w:hint="cs"/>
          <w:sz w:val="24"/>
          <w:szCs w:val="24"/>
          <w:rtl/>
        </w:rPr>
        <w:t>הסיכון המקרו-יציבותי</w:t>
      </w:r>
      <w:r>
        <w:rPr>
          <w:rFonts w:ascii="Times New Roman" w:hAnsi="Times New Roman" w:cs="David" w:hint="cs"/>
          <w:sz w:val="24"/>
          <w:szCs w:val="24"/>
          <w:rtl/>
        </w:rPr>
        <w:t>,</w:t>
      </w:r>
      <w:r w:rsidRPr="005C3B7E">
        <w:rPr>
          <w:rFonts w:ascii="Times New Roman" w:hAnsi="Times New Roman" w:cs="David" w:hint="cs"/>
          <w:sz w:val="24"/>
          <w:szCs w:val="24"/>
          <w:rtl/>
        </w:rPr>
        <w:t xml:space="preserve"> </w:t>
      </w:r>
      <w:r>
        <w:rPr>
          <w:rFonts w:ascii="Times New Roman" w:hAnsi="Times New Roman" w:cs="David" w:hint="cs"/>
          <w:sz w:val="24"/>
          <w:szCs w:val="24"/>
          <w:rtl/>
        </w:rPr>
        <w:t>וכמו כן הן ממתנות את התמסורת בין ה</w:t>
      </w:r>
      <w:r w:rsidRPr="005C3B7E">
        <w:rPr>
          <w:rFonts w:ascii="Times New Roman" w:hAnsi="Times New Roman" w:cs="David" w:hint="cs"/>
          <w:sz w:val="24"/>
          <w:szCs w:val="24"/>
          <w:rtl/>
        </w:rPr>
        <w:t>ריבית המוניטרית</w:t>
      </w:r>
      <w:r>
        <w:rPr>
          <w:rFonts w:ascii="Times New Roman" w:hAnsi="Times New Roman" w:cs="David" w:hint="cs"/>
          <w:sz w:val="24"/>
          <w:szCs w:val="24"/>
          <w:rtl/>
        </w:rPr>
        <w:t xml:space="preserve"> לביקוש למשכנתאות ו</w:t>
      </w:r>
      <w:r w:rsidRPr="005C3B7E">
        <w:rPr>
          <w:rFonts w:ascii="Times New Roman" w:hAnsi="Times New Roman" w:cs="David" w:hint="cs"/>
          <w:sz w:val="24"/>
          <w:szCs w:val="24"/>
          <w:rtl/>
        </w:rPr>
        <w:t xml:space="preserve">כך </w:t>
      </w:r>
      <w:r>
        <w:rPr>
          <w:rFonts w:ascii="Times New Roman" w:hAnsi="Times New Roman" w:cs="David" w:hint="cs"/>
          <w:sz w:val="24"/>
          <w:szCs w:val="24"/>
          <w:rtl/>
        </w:rPr>
        <w:t>אפשרו</w:t>
      </w:r>
      <w:r w:rsidRPr="005C3B7E">
        <w:rPr>
          <w:rFonts w:ascii="Times New Roman" w:hAnsi="Times New Roman" w:cs="David" w:hint="cs"/>
          <w:sz w:val="24"/>
          <w:szCs w:val="24"/>
          <w:rtl/>
        </w:rPr>
        <w:t xml:space="preserve"> גמישות רבה יותר בהחלטות </w:t>
      </w:r>
      <w:r>
        <w:rPr>
          <w:rFonts w:ascii="Times New Roman" w:hAnsi="Times New Roman" w:cs="David" w:hint="cs"/>
          <w:sz w:val="24"/>
          <w:szCs w:val="24"/>
          <w:rtl/>
        </w:rPr>
        <w:t>על גובה ה</w:t>
      </w:r>
      <w:r w:rsidRPr="005C3B7E">
        <w:rPr>
          <w:rFonts w:ascii="Times New Roman" w:hAnsi="Times New Roman" w:cs="David" w:hint="cs"/>
          <w:sz w:val="24"/>
          <w:szCs w:val="24"/>
          <w:rtl/>
        </w:rPr>
        <w:t xml:space="preserve">ריבית. </w:t>
      </w:r>
    </w:p>
    <w:p w:rsidR="00BB43C1" w:rsidRDefault="00BB43C1" w:rsidP="00BB43C1">
      <w:pPr>
        <w:pStyle w:val="a3"/>
        <w:numPr>
          <w:ilvl w:val="3"/>
          <w:numId w:val="1"/>
        </w:numPr>
        <w:spacing w:line="360" w:lineRule="auto"/>
        <w:ind w:left="368"/>
        <w:jc w:val="both"/>
        <w:rPr>
          <w:rFonts w:ascii="Times New Roman" w:hAnsi="Times New Roman" w:cs="David"/>
          <w:sz w:val="24"/>
          <w:szCs w:val="24"/>
        </w:rPr>
      </w:pPr>
      <w:r w:rsidRPr="00A85E0B">
        <w:rPr>
          <w:rFonts w:ascii="Times New Roman" w:hAnsi="Times New Roman" w:cs="David"/>
          <w:b/>
          <w:bCs/>
          <w:sz w:val="24"/>
          <w:szCs w:val="24"/>
          <w:rtl/>
        </w:rPr>
        <w:t xml:space="preserve">האינפלציה והציפיות לאינפלציה: </w:t>
      </w:r>
      <w:r w:rsidRPr="00A85E0B">
        <w:rPr>
          <w:rFonts w:ascii="Times New Roman" w:hAnsi="Times New Roman" w:cs="David"/>
          <w:sz w:val="24"/>
          <w:szCs w:val="24"/>
          <w:rtl/>
        </w:rPr>
        <w:t>מדד המחירים לצרכן עלה בתקופה הנסקרת ב-</w:t>
      </w:r>
      <w:r>
        <w:rPr>
          <w:rFonts w:ascii="Times New Roman" w:hAnsi="Times New Roman" w:cs="David" w:hint="cs"/>
          <w:sz w:val="24"/>
          <w:szCs w:val="24"/>
          <w:rtl/>
        </w:rPr>
        <w:t>0.5</w:t>
      </w:r>
      <w:r w:rsidRPr="00A85E0B">
        <w:rPr>
          <w:rFonts w:ascii="Times New Roman" w:hAnsi="Times New Roman" w:cs="David"/>
          <w:sz w:val="24"/>
          <w:szCs w:val="24"/>
          <w:rtl/>
        </w:rPr>
        <w:t xml:space="preserve"> אחוז, ובניכוי עונתיות הוא עלה בכ-</w:t>
      </w:r>
      <w:r>
        <w:rPr>
          <w:rFonts w:ascii="Times New Roman" w:hAnsi="Times New Roman" w:cs="David" w:hint="cs"/>
          <w:sz w:val="24"/>
          <w:szCs w:val="24"/>
          <w:rtl/>
        </w:rPr>
        <w:t xml:space="preserve">0.7 </w:t>
      </w:r>
      <w:r w:rsidRPr="00A85E0B">
        <w:rPr>
          <w:rFonts w:ascii="Times New Roman" w:hAnsi="Times New Roman" w:cs="David"/>
          <w:sz w:val="24"/>
          <w:szCs w:val="24"/>
          <w:rtl/>
        </w:rPr>
        <w:t>אחוז</w:t>
      </w:r>
      <w:r w:rsidRPr="00A85E0B">
        <w:rPr>
          <w:rFonts w:ascii="Times New Roman" w:hAnsi="Times New Roman" w:cs="David" w:hint="cs"/>
          <w:sz w:val="24"/>
          <w:szCs w:val="24"/>
          <w:rtl/>
        </w:rPr>
        <w:t xml:space="preserve"> </w:t>
      </w:r>
      <w:r w:rsidRPr="00A85E0B">
        <w:rPr>
          <w:rFonts w:ascii="Times New Roman" w:hAnsi="Times New Roman" w:cs="David"/>
          <w:sz w:val="24"/>
          <w:szCs w:val="24"/>
          <w:rtl/>
        </w:rPr>
        <w:t>–</w:t>
      </w:r>
      <w:r w:rsidRPr="00A85E0B">
        <w:rPr>
          <w:rFonts w:ascii="Times New Roman" w:hAnsi="Times New Roman" w:cs="David" w:hint="cs"/>
          <w:sz w:val="24"/>
          <w:szCs w:val="24"/>
          <w:rtl/>
        </w:rPr>
        <w:t xml:space="preserve"> קצב עלייה שנתי נמוך במעט מאמצע</w:t>
      </w:r>
      <w:r>
        <w:rPr>
          <w:rFonts w:ascii="Times New Roman" w:hAnsi="Times New Roman" w:cs="David" w:hint="cs"/>
          <w:sz w:val="24"/>
          <w:szCs w:val="24"/>
          <w:rtl/>
        </w:rPr>
        <w:t xml:space="preserve"> הטווח</w:t>
      </w:r>
      <w:r w:rsidRPr="00A85E0B">
        <w:rPr>
          <w:rFonts w:ascii="Times New Roman" w:hAnsi="Times New Roman" w:cs="David" w:hint="cs"/>
          <w:sz w:val="24"/>
          <w:szCs w:val="24"/>
          <w:rtl/>
        </w:rPr>
        <w:t xml:space="preserve"> </w:t>
      </w:r>
      <w:r>
        <w:rPr>
          <w:rFonts w:ascii="Times New Roman" w:hAnsi="Times New Roman" w:cs="David" w:hint="cs"/>
          <w:sz w:val="24"/>
          <w:szCs w:val="24"/>
          <w:rtl/>
        </w:rPr>
        <w:t xml:space="preserve">של </w:t>
      </w:r>
      <w:r w:rsidRPr="00A85E0B">
        <w:rPr>
          <w:rFonts w:ascii="Times New Roman" w:hAnsi="Times New Roman" w:cs="David" w:hint="cs"/>
          <w:sz w:val="24"/>
          <w:szCs w:val="24"/>
          <w:rtl/>
        </w:rPr>
        <w:t>יעד האינפלציה</w:t>
      </w:r>
      <w:r w:rsidRPr="00A85E0B">
        <w:rPr>
          <w:rFonts w:ascii="Times New Roman" w:hAnsi="Times New Roman" w:cs="David"/>
          <w:sz w:val="24"/>
          <w:szCs w:val="24"/>
          <w:rtl/>
        </w:rPr>
        <w:t xml:space="preserve">. </w:t>
      </w:r>
      <w:r>
        <w:rPr>
          <w:rFonts w:ascii="Times New Roman" w:hAnsi="Times New Roman" w:cs="David" w:hint="cs"/>
          <w:sz w:val="24"/>
          <w:szCs w:val="24"/>
          <w:rtl/>
        </w:rPr>
        <w:t xml:space="preserve">במשך רוב השנה, המחצית הנסקרת בכלל זה, </w:t>
      </w:r>
      <w:r w:rsidRPr="00A85E0B">
        <w:rPr>
          <w:rFonts w:ascii="Times New Roman" w:hAnsi="Times New Roman" w:cs="David"/>
          <w:sz w:val="24"/>
          <w:szCs w:val="24"/>
          <w:rtl/>
        </w:rPr>
        <w:t>האינפלציה בפועל (ב-12 החודשים האחרונים)</w:t>
      </w:r>
      <w:r w:rsidRPr="00A85E0B">
        <w:rPr>
          <w:rFonts w:ascii="Times New Roman" w:hAnsi="Times New Roman" w:cs="David" w:hint="cs"/>
          <w:sz w:val="24"/>
          <w:szCs w:val="24"/>
          <w:rtl/>
        </w:rPr>
        <w:t xml:space="preserve"> </w:t>
      </w:r>
      <w:r>
        <w:rPr>
          <w:rFonts w:ascii="Times New Roman" w:hAnsi="Times New Roman" w:cs="David" w:hint="cs"/>
          <w:sz w:val="24"/>
          <w:szCs w:val="24"/>
          <w:rtl/>
        </w:rPr>
        <w:t xml:space="preserve">נמצאה מעט </w:t>
      </w:r>
      <w:r w:rsidRPr="00A85E0B">
        <w:rPr>
          <w:rFonts w:ascii="Times New Roman" w:hAnsi="Times New Roman" w:cs="David" w:hint="cs"/>
          <w:sz w:val="24"/>
          <w:szCs w:val="24"/>
          <w:rtl/>
        </w:rPr>
        <w:t>מתחת לאמצע יעד ה</w:t>
      </w:r>
      <w:r>
        <w:rPr>
          <w:rFonts w:ascii="Times New Roman" w:hAnsi="Times New Roman" w:cs="David" w:hint="cs"/>
          <w:sz w:val="24"/>
          <w:szCs w:val="24"/>
          <w:rtl/>
        </w:rPr>
        <w:t>אינפלציה.</w:t>
      </w:r>
      <w:r w:rsidRPr="00A85E0B">
        <w:rPr>
          <w:rFonts w:ascii="Times New Roman" w:hAnsi="Times New Roman" w:cs="David" w:hint="cs"/>
          <w:sz w:val="24"/>
          <w:szCs w:val="24"/>
          <w:rtl/>
        </w:rPr>
        <w:t xml:space="preserve"> הציפיות לאינפלציה לשנה </w:t>
      </w:r>
      <w:r>
        <w:rPr>
          <w:rFonts w:ascii="Times New Roman" w:hAnsi="Times New Roman" w:cs="David" w:hint="cs"/>
          <w:sz w:val="24"/>
          <w:szCs w:val="24"/>
          <w:rtl/>
        </w:rPr>
        <w:t xml:space="preserve">שסיפקו </w:t>
      </w:r>
      <w:r w:rsidRPr="00A85E0B">
        <w:rPr>
          <w:rFonts w:ascii="Times New Roman" w:hAnsi="Times New Roman" w:cs="David" w:hint="cs"/>
          <w:sz w:val="24"/>
          <w:szCs w:val="24"/>
          <w:rtl/>
        </w:rPr>
        <w:t>המקורות השונים ירדו במהלך התקופה הנסקרת לרמה של כ-1.6 אחוז.</w:t>
      </w:r>
    </w:p>
    <w:p w:rsidR="00BB43C1" w:rsidRPr="00A85E0B" w:rsidRDefault="00BB43C1" w:rsidP="00BB43C1">
      <w:pPr>
        <w:pStyle w:val="a3"/>
        <w:numPr>
          <w:ilvl w:val="0"/>
          <w:numId w:val="1"/>
        </w:numPr>
        <w:spacing w:after="0" w:line="360" w:lineRule="auto"/>
        <w:jc w:val="both"/>
        <w:rPr>
          <w:rFonts w:ascii="Times New Roman" w:hAnsi="Times New Roman" w:cs="David"/>
          <w:sz w:val="24"/>
          <w:szCs w:val="24"/>
        </w:rPr>
      </w:pPr>
      <w:r w:rsidRPr="00955359">
        <w:rPr>
          <w:rFonts w:ascii="Times New Roman" w:hAnsi="Times New Roman" w:cs="David"/>
          <w:b/>
          <w:bCs/>
          <w:sz w:val="24"/>
          <w:szCs w:val="24"/>
          <w:rtl/>
        </w:rPr>
        <w:t>שוק הדיור</w:t>
      </w:r>
      <w:r w:rsidRPr="00F93DCB">
        <w:rPr>
          <w:rFonts w:ascii="Times New Roman" w:hAnsi="Times New Roman" w:cs="David"/>
          <w:b/>
          <w:bCs/>
          <w:sz w:val="24"/>
          <w:szCs w:val="24"/>
          <w:rtl/>
        </w:rPr>
        <w:t>:</w:t>
      </w:r>
      <w:r w:rsidRPr="00955359">
        <w:rPr>
          <w:rFonts w:ascii="Times New Roman" w:hAnsi="Times New Roman" w:cs="David" w:hint="cs"/>
          <w:sz w:val="24"/>
          <w:szCs w:val="24"/>
          <w:rtl/>
        </w:rPr>
        <w:t xml:space="preserve"> מחירי הדירות</w:t>
      </w:r>
      <w:r>
        <w:rPr>
          <w:rFonts w:ascii="Times New Roman" w:hAnsi="Times New Roman" w:cs="David" w:hint="cs"/>
          <w:sz w:val="24"/>
          <w:szCs w:val="24"/>
          <w:rtl/>
        </w:rPr>
        <w:t xml:space="preserve"> המשיכו לעלות</w:t>
      </w:r>
      <w:r w:rsidRPr="00955359">
        <w:rPr>
          <w:rFonts w:ascii="Times New Roman" w:hAnsi="Times New Roman" w:cs="David" w:hint="cs"/>
          <w:sz w:val="24"/>
          <w:szCs w:val="24"/>
          <w:rtl/>
        </w:rPr>
        <w:t xml:space="preserve">, </w:t>
      </w:r>
      <w:r w:rsidRPr="00955359">
        <w:rPr>
          <w:rFonts w:ascii="Times New Roman" w:hAnsi="Times New Roman" w:cs="David"/>
          <w:sz w:val="24"/>
          <w:szCs w:val="24"/>
          <w:rtl/>
        </w:rPr>
        <w:t>וב-12</w:t>
      </w:r>
      <w:r w:rsidRPr="00021EF8">
        <w:rPr>
          <w:rFonts w:ascii="Times New Roman" w:hAnsi="Times New Roman" w:cs="David"/>
          <w:sz w:val="24"/>
          <w:szCs w:val="24"/>
          <w:rtl/>
        </w:rPr>
        <w:t xml:space="preserve"> החודשים שהסתיימו </w:t>
      </w:r>
      <w:r>
        <w:rPr>
          <w:rFonts w:ascii="Times New Roman" w:hAnsi="Times New Roman" w:cs="David" w:hint="cs"/>
          <w:sz w:val="24"/>
          <w:szCs w:val="24"/>
          <w:rtl/>
        </w:rPr>
        <w:t>באוקטובר</w:t>
      </w:r>
      <w:r w:rsidRPr="00021EF8">
        <w:rPr>
          <w:rFonts w:ascii="Times New Roman" w:hAnsi="Times New Roman" w:cs="David"/>
          <w:sz w:val="24"/>
          <w:szCs w:val="24"/>
          <w:rtl/>
        </w:rPr>
        <w:t xml:space="preserve"> עלו </w:t>
      </w:r>
      <w:r w:rsidRPr="00021EF8">
        <w:rPr>
          <w:rFonts w:ascii="Times New Roman" w:hAnsi="Times New Roman" w:cs="David" w:hint="cs"/>
          <w:sz w:val="24"/>
          <w:szCs w:val="24"/>
          <w:rtl/>
        </w:rPr>
        <w:t>המחירים ב-</w:t>
      </w:r>
      <w:r>
        <w:rPr>
          <w:rFonts w:ascii="Times New Roman" w:hAnsi="Times New Roman" w:cs="David" w:hint="cs"/>
          <w:sz w:val="24"/>
          <w:szCs w:val="24"/>
          <w:rtl/>
        </w:rPr>
        <w:t>8</w:t>
      </w:r>
      <w:r w:rsidRPr="00021EF8">
        <w:rPr>
          <w:rFonts w:ascii="Times New Roman" w:hAnsi="Times New Roman" w:cs="David" w:hint="cs"/>
          <w:sz w:val="24"/>
          <w:szCs w:val="24"/>
          <w:rtl/>
        </w:rPr>
        <w:t xml:space="preserve"> אחוזים, בדומה לשיעור העלייה </w:t>
      </w:r>
      <w:r>
        <w:rPr>
          <w:rFonts w:ascii="Times New Roman" w:hAnsi="Times New Roman" w:cs="David" w:hint="cs"/>
          <w:sz w:val="24"/>
          <w:szCs w:val="24"/>
          <w:rtl/>
        </w:rPr>
        <w:t xml:space="preserve">השנתי </w:t>
      </w:r>
      <w:r w:rsidRPr="00413D11">
        <w:rPr>
          <w:rFonts w:ascii="Times New Roman" w:hAnsi="Times New Roman" w:cs="David" w:hint="cs"/>
          <w:sz w:val="24"/>
          <w:szCs w:val="24"/>
          <w:rtl/>
        </w:rPr>
        <w:t>(</w:t>
      </w:r>
      <w:r>
        <w:rPr>
          <w:rFonts w:ascii="Times New Roman" w:hAnsi="Times New Roman" w:cs="David" w:hint="cs"/>
          <w:sz w:val="24"/>
          <w:szCs w:val="24"/>
          <w:rtl/>
        </w:rPr>
        <w:t xml:space="preserve">כלומר </w:t>
      </w:r>
      <w:r w:rsidRPr="00413D11">
        <w:rPr>
          <w:rFonts w:ascii="Times New Roman" w:hAnsi="Times New Roman" w:cs="David" w:hint="cs"/>
          <w:sz w:val="24"/>
          <w:szCs w:val="24"/>
          <w:rtl/>
        </w:rPr>
        <w:t xml:space="preserve">בהסתכלות </w:t>
      </w:r>
      <w:r>
        <w:rPr>
          <w:rFonts w:ascii="Times New Roman" w:hAnsi="Times New Roman" w:cs="David" w:hint="cs"/>
          <w:sz w:val="24"/>
          <w:szCs w:val="24"/>
          <w:rtl/>
        </w:rPr>
        <w:t xml:space="preserve">על </w:t>
      </w:r>
      <w:r w:rsidRPr="00413D11">
        <w:rPr>
          <w:rFonts w:ascii="Times New Roman" w:hAnsi="Times New Roman" w:cs="David" w:hint="cs"/>
          <w:sz w:val="24"/>
          <w:szCs w:val="24"/>
          <w:rtl/>
        </w:rPr>
        <w:t xml:space="preserve">12 </w:t>
      </w:r>
      <w:r>
        <w:rPr>
          <w:rFonts w:ascii="Times New Roman" w:hAnsi="Times New Roman" w:cs="David" w:hint="cs"/>
          <w:sz w:val="24"/>
          <w:szCs w:val="24"/>
          <w:rtl/>
        </w:rPr>
        <w:t>ה</w:t>
      </w:r>
      <w:r w:rsidRPr="00413D11">
        <w:rPr>
          <w:rFonts w:ascii="Times New Roman" w:hAnsi="Times New Roman" w:cs="David" w:hint="cs"/>
          <w:sz w:val="24"/>
          <w:szCs w:val="24"/>
          <w:rtl/>
        </w:rPr>
        <w:t xml:space="preserve">חודשים </w:t>
      </w:r>
      <w:r>
        <w:rPr>
          <w:rFonts w:ascii="Times New Roman" w:hAnsi="Times New Roman" w:cs="David" w:hint="cs"/>
          <w:sz w:val="24"/>
          <w:szCs w:val="24"/>
          <w:rtl/>
        </w:rPr>
        <w:t>ה</w:t>
      </w:r>
      <w:r w:rsidRPr="00413D11">
        <w:rPr>
          <w:rFonts w:ascii="Times New Roman" w:hAnsi="Times New Roman" w:cs="David" w:hint="cs"/>
          <w:sz w:val="24"/>
          <w:szCs w:val="24"/>
          <w:rtl/>
        </w:rPr>
        <w:t>אחרונים)</w:t>
      </w:r>
      <w:r>
        <w:rPr>
          <w:rFonts w:ascii="Times New Roman" w:hAnsi="Times New Roman" w:cs="David" w:hint="cs"/>
          <w:sz w:val="24"/>
          <w:szCs w:val="24"/>
          <w:rtl/>
        </w:rPr>
        <w:t xml:space="preserve"> שנראה </w:t>
      </w:r>
      <w:r w:rsidRPr="00021EF8">
        <w:rPr>
          <w:rFonts w:ascii="Times New Roman" w:hAnsi="Times New Roman" w:cs="David" w:hint="cs"/>
          <w:sz w:val="24"/>
          <w:szCs w:val="24"/>
          <w:rtl/>
        </w:rPr>
        <w:t>ב</w:t>
      </w:r>
      <w:r>
        <w:rPr>
          <w:rFonts w:ascii="Times New Roman" w:hAnsi="Times New Roman" w:cs="David" w:hint="cs"/>
          <w:sz w:val="24"/>
          <w:szCs w:val="24"/>
          <w:rtl/>
        </w:rPr>
        <w:t>כל אחד מ</w:t>
      </w:r>
      <w:r w:rsidRPr="00021EF8">
        <w:rPr>
          <w:rFonts w:ascii="Times New Roman" w:hAnsi="Times New Roman" w:cs="David" w:hint="cs"/>
          <w:sz w:val="24"/>
          <w:szCs w:val="24"/>
          <w:rtl/>
        </w:rPr>
        <w:t>עשרת החודשים האחרונים. כמו כן, הן מספר העסקאות</w:t>
      </w:r>
      <w:r>
        <w:rPr>
          <w:rFonts w:ascii="Times New Roman" w:hAnsi="Times New Roman" w:cs="David" w:hint="cs"/>
          <w:sz w:val="24"/>
          <w:szCs w:val="24"/>
          <w:rtl/>
        </w:rPr>
        <w:t xml:space="preserve"> </w:t>
      </w:r>
      <w:r w:rsidRPr="00021EF8">
        <w:rPr>
          <w:rFonts w:ascii="Times New Roman" w:hAnsi="Times New Roman" w:cs="David" w:hint="cs"/>
          <w:sz w:val="24"/>
          <w:szCs w:val="24"/>
          <w:rtl/>
        </w:rPr>
        <w:t>והן היקף המשכנתאות</w:t>
      </w:r>
      <w:r>
        <w:rPr>
          <w:rFonts w:ascii="Times New Roman" w:hAnsi="Times New Roman" w:cs="David" w:hint="cs"/>
          <w:sz w:val="24"/>
          <w:szCs w:val="24"/>
          <w:rtl/>
        </w:rPr>
        <w:t xml:space="preserve"> התייצבו ברמה גבוהה</w:t>
      </w:r>
      <w:r w:rsidRPr="00021EF8">
        <w:rPr>
          <w:rFonts w:ascii="Times New Roman" w:hAnsi="Times New Roman" w:cs="David" w:hint="cs"/>
          <w:sz w:val="24"/>
          <w:szCs w:val="24"/>
          <w:rtl/>
        </w:rPr>
        <w:t xml:space="preserve">. </w:t>
      </w:r>
      <w:r>
        <w:rPr>
          <w:rFonts w:ascii="Times New Roman" w:hAnsi="Times New Roman" w:cs="David" w:hint="cs"/>
          <w:sz w:val="24"/>
          <w:szCs w:val="24"/>
          <w:rtl/>
        </w:rPr>
        <w:t xml:space="preserve">על מנת להפחית את הסיכון המקרו-יציבותי הנובע מהתפתחויות אלו, </w:t>
      </w:r>
      <w:r w:rsidRPr="00021EF8">
        <w:rPr>
          <w:rFonts w:ascii="Times New Roman" w:hAnsi="Times New Roman" w:cs="David" w:hint="cs"/>
          <w:sz w:val="24"/>
          <w:szCs w:val="24"/>
          <w:rtl/>
        </w:rPr>
        <w:t>המפקח על הבנקים הטיל</w:t>
      </w:r>
      <w:r>
        <w:rPr>
          <w:rFonts w:ascii="Times New Roman" w:hAnsi="Times New Roman" w:cs="David" w:hint="cs"/>
          <w:sz w:val="24"/>
          <w:szCs w:val="24"/>
          <w:rtl/>
        </w:rPr>
        <w:t xml:space="preserve"> באוגוסט</w:t>
      </w:r>
      <w:r w:rsidRPr="00021EF8">
        <w:rPr>
          <w:rFonts w:ascii="Times New Roman" w:hAnsi="Times New Roman" w:cs="David" w:hint="cs"/>
          <w:sz w:val="24"/>
          <w:szCs w:val="24"/>
          <w:rtl/>
        </w:rPr>
        <w:t xml:space="preserve"> הגבלות נוספות על מתן אשראי ל</w:t>
      </w:r>
      <w:r w:rsidRPr="00021EF8">
        <w:rPr>
          <w:rFonts w:cs="David" w:hint="cs"/>
          <w:rtl/>
        </w:rPr>
        <w:t>דיור</w:t>
      </w:r>
      <w:r w:rsidRPr="00021EF8">
        <w:rPr>
          <w:rFonts w:ascii="Times New Roman" w:hAnsi="Times New Roman" w:cs="David" w:hint="cs"/>
          <w:sz w:val="24"/>
          <w:szCs w:val="24"/>
          <w:rtl/>
        </w:rPr>
        <w:t>.</w:t>
      </w:r>
    </w:p>
    <w:p w:rsidR="00BB43C1" w:rsidRDefault="00BB43C1" w:rsidP="00BB43C1">
      <w:pPr>
        <w:pStyle w:val="a3"/>
        <w:numPr>
          <w:ilvl w:val="3"/>
          <w:numId w:val="1"/>
        </w:numPr>
        <w:spacing w:line="360" w:lineRule="auto"/>
        <w:ind w:left="368"/>
        <w:jc w:val="both"/>
        <w:rPr>
          <w:rFonts w:ascii="Times New Roman" w:hAnsi="Times New Roman" w:cs="David"/>
          <w:sz w:val="24"/>
          <w:szCs w:val="24"/>
        </w:rPr>
      </w:pPr>
      <w:r w:rsidRPr="00A85E0B">
        <w:rPr>
          <w:rFonts w:ascii="Times New Roman" w:hAnsi="Times New Roman" w:cs="David"/>
          <w:b/>
          <w:bCs/>
          <w:sz w:val="24"/>
          <w:szCs w:val="24"/>
          <w:rtl/>
        </w:rPr>
        <w:t>הפעילות הריאלית המקומית</w:t>
      </w:r>
      <w:r w:rsidRPr="00F93DCB">
        <w:rPr>
          <w:rFonts w:ascii="Times New Roman" w:hAnsi="Times New Roman" w:cs="David"/>
          <w:b/>
          <w:bCs/>
          <w:sz w:val="24"/>
          <w:szCs w:val="24"/>
          <w:rtl/>
        </w:rPr>
        <w:t>:</w:t>
      </w:r>
      <w:r w:rsidRPr="00A85E0B">
        <w:rPr>
          <w:rFonts w:ascii="Times New Roman" w:hAnsi="Times New Roman" w:cs="David"/>
          <w:sz w:val="24"/>
          <w:szCs w:val="24"/>
          <w:rtl/>
        </w:rPr>
        <w:t xml:space="preserve"> </w:t>
      </w:r>
      <w:r w:rsidRPr="00A85E0B">
        <w:rPr>
          <w:rFonts w:ascii="Times New Roman" w:hAnsi="Times New Roman" w:cs="David" w:hint="cs"/>
          <w:sz w:val="24"/>
          <w:szCs w:val="24"/>
          <w:rtl/>
        </w:rPr>
        <w:t xml:space="preserve">קצב הגידול בתוצר המקומי </w:t>
      </w:r>
      <w:r>
        <w:rPr>
          <w:rFonts w:ascii="Times New Roman" w:hAnsi="Times New Roman" w:cs="David" w:hint="cs"/>
          <w:sz w:val="24"/>
          <w:szCs w:val="24"/>
          <w:rtl/>
        </w:rPr>
        <w:t>הוסיף</w:t>
      </w:r>
      <w:r w:rsidRPr="00A85E0B">
        <w:rPr>
          <w:rFonts w:ascii="Times New Roman" w:hAnsi="Times New Roman" w:cs="David" w:hint="cs"/>
          <w:sz w:val="24"/>
          <w:szCs w:val="24"/>
          <w:rtl/>
        </w:rPr>
        <w:t xml:space="preserve"> להיות מתון, בדומה לשנתיים האחרונות. הקיפאון ביצוא נמשך, בעיקר בשל הביקושים הנמוכ</w:t>
      </w:r>
      <w:r>
        <w:rPr>
          <w:rFonts w:ascii="Times New Roman" w:hAnsi="Times New Roman" w:cs="David" w:hint="cs"/>
          <w:sz w:val="24"/>
          <w:szCs w:val="24"/>
          <w:rtl/>
        </w:rPr>
        <w:t>ים</w:t>
      </w:r>
      <w:r w:rsidRPr="00A85E0B">
        <w:rPr>
          <w:rFonts w:ascii="Times New Roman" w:hAnsi="Times New Roman" w:cs="David" w:hint="cs"/>
          <w:sz w:val="24"/>
          <w:szCs w:val="24"/>
          <w:rtl/>
        </w:rPr>
        <w:t xml:space="preserve"> בשוק העולמי </w:t>
      </w:r>
      <w:r>
        <w:rPr>
          <w:rFonts w:ascii="Times New Roman" w:hAnsi="Times New Roman" w:cs="David" w:hint="cs"/>
          <w:sz w:val="24"/>
          <w:szCs w:val="24"/>
          <w:rtl/>
        </w:rPr>
        <w:t>אך גם על רקע הייסוף</w:t>
      </w:r>
      <w:r w:rsidRPr="00A85E0B">
        <w:rPr>
          <w:rFonts w:ascii="Times New Roman" w:hAnsi="Times New Roman" w:cs="David" w:hint="cs"/>
          <w:sz w:val="24"/>
          <w:szCs w:val="24"/>
          <w:rtl/>
        </w:rPr>
        <w:t xml:space="preserve"> המתמשך </w:t>
      </w:r>
      <w:r>
        <w:rPr>
          <w:rFonts w:ascii="Times New Roman" w:hAnsi="Times New Roman" w:cs="David" w:hint="cs"/>
          <w:sz w:val="24"/>
          <w:szCs w:val="24"/>
          <w:rtl/>
        </w:rPr>
        <w:t>של השקל במונחי שער החליפין הנומינלי ה</w:t>
      </w:r>
      <w:bookmarkStart w:id="0" w:name="_GoBack"/>
      <w:bookmarkEnd w:id="0"/>
      <w:r>
        <w:rPr>
          <w:rFonts w:ascii="Times New Roman" w:hAnsi="Times New Roman" w:cs="David" w:hint="cs"/>
          <w:sz w:val="24"/>
          <w:szCs w:val="24"/>
          <w:rtl/>
        </w:rPr>
        <w:t>אפקטיבי</w:t>
      </w:r>
      <w:r w:rsidRPr="00A85E0B">
        <w:rPr>
          <w:rFonts w:ascii="Times New Roman" w:hAnsi="Times New Roman" w:cs="David" w:hint="cs"/>
          <w:sz w:val="24"/>
          <w:szCs w:val="24"/>
          <w:rtl/>
        </w:rPr>
        <w:t>. מנגד, הצריכה הפרטית, הצריכה הציבורית</w:t>
      </w:r>
      <w:r>
        <w:rPr>
          <w:rFonts w:ascii="Times New Roman" w:hAnsi="Times New Roman" w:cs="David" w:hint="cs"/>
          <w:sz w:val="24"/>
          <w:szCs w:val="24"/>
          <w:rtl/>
        </w:rPr>
        <w:t>,</w:t>
      </w:r>
      <w:r w:rsidRPr="00A85E0B">
        <w:rPr>
          <w:rFonts w:ascii="Times New Roman" w:hAnsi="Times New Roman" w:cs="David" w:hint="cs"/>
          <w:sz w:val="24"/>
          <w:szCs w:val="24"/>
          <w:rtl/>
        </w:rPr>
        <w:t xml:space="preserve"> ו</w:t>
      </w:r>
      <w:r>
        <w:rPr>
          <w:rFonts w:ascii="Times New Roman" w:hAnsi="Times New Roman" w:cs="David" w:hint="cs"/>
          <w:sz w:val="24"/>
          <w:szCs w:val="24"/>
          <w:rtl/>
        </w:rPr>
        <w:t xml:space="preserve">כן </w:t>
      </w:r>
      <w:r w:rsidRPr="00A85E0B">
        <w:rPr>
          <w:rFonts w:ascii="Times New Roman" w:hAnsi="Times New Roman" w:cs="David" w:hint="cs"/>
          <w:sz w:val="24"/>
          <w:szCs w:val="24"/>
          <w:rtl/>
        </w:rPr>
        <w:t>תחילת הפקת</w:t>
      </w:r>
      <w:r>
        <w:rPr>
          <w:rFonts w:ascii="Times New Roman" w:hAnsi="Times New Roman" w:cs="David" w:hint="cs"/>
          <w:sz w:val="24"/>
          <w:szCs w:val="24"/>
          <w:rtl/>
        </w:rPr>
        <w:t>ו</w:t>
      </w:r>
      <w:r w:rsidRPr="00A85E0B">
        <w:rPr>
          <w:rFonts w:ascii="Times New Roman" w:hAnsi="Times New Roman" w:cs="David" w:hint="cs"/>
          <w:sz w:val="24"/>
          <w:szCs w:val="24"/>
          <w:rtl/>
        </w:rPr>
        <w:t xml:space="preserve"> </w:t>
      </w:r>
      <w:r>
        <w:rPr>
          <w:rFonts w:ascii="Times New Roman" w:hAnsi="Times New Roman" w:cs="David" w:hint="cs"/>
          <w:sz w:val="24"/>
          <w:szCs w:val="24"/>
          <w:rtl/>
        </w:rPr>
        <w:t xml:space="preserve">של </w:t>
      </w:r>
      <w:r w:rsidRPr="00A85E0B">
        <w:rPr>
          <w:rFonts w:ascii="Times New Roman" w:hAnsi="Times New Roman" w:cs="David" w:hint="cs"/>
          <w:sz w:val="24"/>
          <w:szCs w:val="24"/>
          <w:rtl/>
        </w:rPr>
        <w:t>הגז</w:t>
      </w:r>
      <w:r>
        <w:rPr>
          <w:rFonts w:ascii="Times New Roman" w:hAnsi="Times New Roman" w:cs="David" w:hint="cs"/>
          <w:sz w:val="24"/>
          <w:szCs w:val="24"/>
          <w:rtl/>
        </w:rPr>
        <w:t>,</w:t>
      </w:r>
      <w:r w:rsidRPr="00A85E0B">
        <w:rPr>
          <w:rFonts w:ascii="Times New Roman" w:hAnsi="Times New Roman" w:cs="David" w:hint="cs"/>
          <w:sz w:val="24"/>
          <w:szCs w:val="24"/>
          <w:rtl/>
        </w:rPr>
        <w:t xml:space="preserve"> תמכו בהמשך הגידול בצמיחה. </w:t>
      </w:r>
      <w:r>
        <w:rPr>
          <w:rFonts w:ascii="Times New Roman" w:hAnsi="Times New Roman" w:cs="David" w:hint="cs"/>
          <w:sz w:val="24"/>
          <w:szCs w:val="24"/>
          <w:rtl/>
        </w:rPr>
        <w:t xml:space="preserve">אף על פי שהצמיחה הוסיפה להיות </w:t>
      </w:r>
      <w:r w:rsidRPr="00A85E0B">
        <w:rPr>
          <w:rFonts w:ascii="Times New Roman" w:hAnsi="Times New Roman" w:cs="David" w:hint="cs"/>
          <w:sz w:val="24"/>
          <w:szCs w:val="24"/>
          <w:rtl/>
        </w:rPr>
        <w:t xml:space="preserve">מתונה, </w:t>
      </w:r>
      <w:r>
        <w:rPr>
          <w:rFonts w:ascii="Times New Roman" w:hAnsi="Times New Roman" w:cs="David" w:hint="cs"/>
          <w:sz w:val="24"/>
          <w:szCs w:val="24"/>
          <w:rtl/>
        </w:rPr>
        <w:t xml:space="preserve">שיעור </w:t>
      </w:r>
      <w:r w:rsidRPr="00A85E0B">
        <w:rPr>
          <w:rFonts w:ascii="Times New Roman" w:hAnsi="Times New Roman" w:cs="David" w:hint="cs"/>
          <w:sz w:val="24"/>
          <w:szCs w:val="24"/>
          <w:rtl/>
        </w:rPr>
        <w:t>האבטלה</w:t>
      </w:r>
      <w:r>
        <w:rPr>
          <w:rFonts w:ascii="Times New Roman" w:hAnsi="Times New Roman" w:cs="David" w:hint="cs"/>
          <w:sz w:val="24"/>
          <w:szCs w:val="24"/>
          <w:rtl/>
        </w:rPr>
        <w:t xml:space="preserve"> המשיך לרדת,</w:t>
      </w:r>
      <w:r w:rsidRPr="00A85E0B">
        <w:rPr>
          <w:rFonts w:ascii="Times New Roman" w:hAnsi="Times New Roman" w:cs="David" w:hint="cs"/>
          <w:sz w:val="24"/>
          <w:szCs w:val="24"/>
          <w:rtl/>
        </w:rPr>
        <w:t xml:space="preserve"> תוך גידול </w:t>
      </w:r>
      <w:r>
        <w:rPr>
          <w:rFonts w:ascii="Times New Roman" w:hAnsi="Times New Roman" w:cs="David" w:hint="cs"/>
          <w:sz w:val="24"/>
          <w:szCs w:val="24"/>
          <w:rtl/>
        </w:rPr>
        <w:t>ב</w:t>
      </w:r>
      <w:r w:rsidRPr="00A85E0B">
        <w:rPr>
          <w:rFonts w:ascii="Times New Roman" w:hAnsi="Times New Roman" w:cs="David" w:hint="cs"/>
          <w:sz w:val="24"/>
          <w:szCs w:val="24"/>
          <w:rtl/>
        </w:rPr>
        <w:t xml:space="preserve">היקף המשרות </w:t>
      </w:r>
      <w:r>
        <w:rPr>
          <w:rFonts w:ascii="Times New Roman" w:hAnsi="Times New Roman" w:cs="David" w:hint="cs"/>
          <w:sz w:val="24"/>
          <w:szCs w:val="24"/>
          <w:rtl/>
        </w:rPr>
        <w:t>בשירותים הציבוריים</w:t>
      </w:r>
      <w:r w:rsidRPr="00A85E0B">
        <w:rPr>
          <w:rFonts w:ascii="Times New Roman" w:hAnsi="Times New Roman" w:cs="David" w:hint="cs"/>
          <w:sz w:val="24"/>
          <w:szCs w:val="24"/>
          <w:rtl/>
        </w:rPr>
        <w:t>.</w:t>
      </w:r>
    </w:p>
    <w:p w:rsidR="00BB43C1" w:rsidRPr="00A85E0B" w:rsidRDefault="00BB43C1" w:rsidP="00BB43C1">
      <w:pPr>
        <w:pStyle w:val="a3"/>
        <w:numPr>
          <w:ilvl w:val="3"/>
          <w:numId w:val="1"/>
        </w:numPr>
        <w:spacing w:line="360" w:lineRule="auto"/>
        <w:ind w:left="368"/>
        <w:jc w:val="both"/>
        <w:rPr>
          <w:rFonts w:ascii="Times New Roman" w:hAnsi="Times New Roman" w:cs="David"/>
          <w:sz w:val="24"/>
          <w:szCs w:val="24"/>
        </w:rPr>
      </w:pPr>
      <w:r w:rsidRPr="00A85E0B">
        <w:rPr>
          <w:rFonts w:ascii="Times New Roman" w:hAnsi="Times New Roman" w:cs="David"/>
          <w:b/>
          <w:bCs/>
          <w:sz w:val="24"/>
          <w:szCs w:val="24"/>
          <w:rtl/>
        </w:rPr>
        <w:t>הסביבה העולמית</w:t>
      </w:r>
      <w:r w:rsidRPr="00F93DCB">
        <w:rPr>
          <w:rFonts w:ascii="Times New Roman" w:hAnsi="Times New Roman" w:cs="David"/>
          <w:b/>
          <w:bCs/>
          <w:sz w:val="24"/>
          <w:szCs w:val="24"/>
          <w:rtl/>
        </w:rPr>
        <w:t>:</w:t>
      </w:r>
      <w:r w:rsidRPr="00A810AD">
        <w:rPr>
          <w:rFonts w:ascii="Times New Roman" w:hAnsi="Times New Roman" w:cs="David"/>
          <w:sz w:val="24"/>
          <w:szCs w:val="24"/>
          <w:rtl/>
        </w:rPr>
        <w:t xml:space="preserve"> </w:t>
      </w:r>
      <w:r w:rsidRPr="00A810AD">
        <w:rPr>
          <w:rFonts w:ascii="Times New Roman" w:hAnsi="Times New Roman" w:cs="David" w:hint="cs"/>
          <w:sz w:val="24"/>
          <w:szCs w:val="24"/>
          <w:rtl/>
        </w:rPr>
        <w:t>במהלך</w:t>
      </w:r>
      <w:r w:rsidRPr="00A810AD">
        <w:rPr>
          <w:rFonts w:ascii="Times New Roman" w:hAnsi="Times New Roman" w:cs="David"/>
          <w:sz w:val="24"/>
          <w:szCs w:val="24"/>
          <w:rtl/>
        </w:rPr>
        <w:t xml:space="preserve"> </w:t>
      </w:r>
      <w:r w:rsidRPr="00A810AD">
        <w:rPr>
          <w:rFonts w:ascii="Times New Roman" w:hAnsi="Times New Roman" w:cs="David" w:hint="cs"/>
          <w:sz w:val="24"/>
          <w:szCs w:val="24"/>
          <w:rtl/>
        </w:rPr>
        <w:t>התקופה</w:t>
      </w:r>
      <w:r w:rsidRPr="00A810AD">
        <w:rPr>
          <w:rFonts w:ascii="Times New Roman" w:hAnsi="Times New Roman" w:cs="David"/>
          <w:sz w:val="24"/>
          <w:szCs w:val="24"/>
          <w:rtl/>
        </w:rPr>
        <w:t xml:space="preserve"> </w:t>
      </w:r>
      <w:r w:rsidRPr="00A810AD">
        <w:rPr>
          <w:rFonts w:ascii="Times New Roman" w:hAnsi="Times New Roman" w:cs="David" w:hint="cs"/>
          <w:sz w:val="24"/>
          <w:szCs w:val="24"/>
          <w:rtl/>
        </w:rPr>
        <w:t>הנסקרת</w:t>
      </w:r>
      <w:r w:rsidRPr="00A810AD">
        <w:rPr>
          <w:rFonts w:ascii="Times New Roman" w:hAnsi="Times New Roman" w:cs="David"/>
          <w:sz w:val="24"/>
          <w:szCs w:val="24"/>
          <w:rtl/>
        </w:rPr>
        <w:t xml:space="preserve"> </w:t>
      </w:r>
      <w:r>
        <w:rPr>
          <w:rFonts w:ascii="Times New Roman" w:hAnsi="Times New Roman" w:cs="David" w:hint="cs"/>
          <w:sz w:val="24"/>
          <w:szCs w:val="24"/>
          <w:rtl/>
        </w:rPr>
        <w:t>הוסיפה</w:t>
      </w:r>
      <w:r w:rsidRPr="00A810AD">
        <w:rPr>
          <w:rFonts w:ascii="Times New Roman" w:hAnsi="Times New Roman" w:cs="David"/>
          <w:sz w:val="24"/>
          <w:szCs w:val="24"/>
          <w:rtl/>
        </w:rPr>
        <w:t xml:space="preserve"> הפעילות הריאלית העולמית להיות ממותנת</w:t>
      </w:r>
      <w:r w:rsidRPr="00A85E0B">
        <w:rPr>
          <w:rFonts w:ascii="Times New Roman" w:hAnsi="Times New Roman" w:cs="David" w:hint="cs"/>
          <w:sz w:val="24"/>
          <w:szCs w:val="24"/>
          <w:rtl/>
        </w:rPr>
        <w:t xml:space="preserve"> ותחזיות </w:t>
      </w:r>
      <w:r>
        <w:rPr>
          <w:rFonts w:ascii="Times New Roman" w:hAnsi="Times New Roman" w:cs="David" w:hint="cs"/>
          <w:sz w:val="24"/>
          <w:szCs w:val="24"/>
          <w:rtl/>
        </w:rPr>
        <w:t>ה</w:t>
      </w:r>
      <w:r w:rsidRPr="00A85E0B">
        <w:rPr>
          <w:rFonts w:ascii="Times New Roman" w:hAnsi="Times New Roman" w:cs="David" w:hint="cs"/>
          <w:sz w:val="24"/>
          <w:szCs w:val="24"/>
          <w:rtl/>
        </w:rPr>
        <w:t xml:space="preserve">צמיחה </w:t>
      </w:r>
      <w:r>
        <w:rPr>
          <w:rFonts w:ascii="Times New Roman" w:hAnsi="Times New Roman" w:cs="David" w:hint="cs"/>
          <w:sz w:val="24"/>
          <w:szCs w:val="24"/>
          <w:rtl/>
        </w:rPr>
        <w:t>ל-</w:t>
      </w:r>
      <w:r w:rsidRPr="00A85E0B">
        <w:rPr>
          <w:rFonts w:ascii="Times New Roman" w:hAnsi="Times New Roman" w:cs="David" w:hint="cs"/>
          <w:sz w:val="24"/>
          <w:szCs w:val="24"/>
          <w:rtl/>
        </w:rPr>
        <w:t>2014 המשיכו להתעדכן כלפי מטה</w:t>
      </w:r>
      <w:r>
        <w:rPr>
          <w:rFonts w:ascii="Times New Roman" w:hAnsi="Times New Roman" w:cs="David" w:hint="cs"/>
          <w:b/>
          <w:bCs/>
          <w:sz w:val="24"/>
          <w:szCs w:val="24"/>
          <w:rtl/>
        </w:rPr>
        <w:t xml:space="preserve">, </w:t>
      </w:r>
      <w:r>
        <w:rPr>
          <w:rFonts w:ascii="Times New Roman" w:hAnsi="Times New Roman" w:cs="David" w:hint="cs"/>
          <w:sz w:val="24"/>
          <w:szCs w:val="24"/>
          <w:rtl/>
        </w:rPr>
        <w:t>אך בסוף התקופה נראו סימנים לשיפור מסוים.</w:t>
      </w:r>
      <w:r w:rsidRPr="00A85E0B">
        <w:rPr>
          <w:rFonts w:ascii="Times New Roman" w:hAnsi="Times New Roman" w:cs="David" w:hint="cs"/>
          <w:b/>
          <w:bCs/>
          <w:sz w:val="24"/>
          <w:szCs w:val="24"/>
          <w:rtl/>
        </w:rPr>
        <w:t xml:space="preserve"> </w:t>
      </w:r>
      <w:r w:rsidRPr="00A85E0B">
        <w:rPr>
          <w:rFonts w:ascii="Times New Roman" w:hAnsi="Times New Roman" w:cs="David" w:hint="cs"/>
          <w:sz w:val="24"/>
          <w:szCs w:val="24"/>
          <w:rtl/>
        </w:rPr>
        <w:t>המדיניות המוניטרית העולמית נותרה מרחיבה</w:t>
      </w:r>
      <w:r>
        <w:rPr>
          <w:rFonts w:ascii="Times New Roman" w:hAnsi="Times New Roman" w:cs="David" w:hint="cs"/>
          <w:sz w:val="24"/>
          <w:szCs w:val="24"/>
          <w:rtl/>
        </w:rPr>
        <w:t xml:space="preserve"> מאוד</w:t>
      </w:r>
      <w:r w:rsidRPr="00A85E0B">
        <w:rPr>
          <w:rFonts w:ascii="Times New Roman" w:hAnsi="Times New Roman" w:cs="David" w:hint="cs"/>
          <w:sz w:val="24"/>
          <w:szCs w:val="24"/>
          <w:rtl/>
        </w:rPr>
        <w:t xml:space="preserve">. </w:t>
      </w:r>
      <w:r>
        <w:rPr>
          <w:rFonts w:ascii="Times New Roman" w:hAnsi="Times New Roman" w:cs="David" w:hint="cs"/>
          <w:sz w:val="24"/>
          <w:szCs w:val="24"/>
          <w:rtl/>
        </w:rPr>
        <w:t xml:space="preserve">הבנק המרכזי </w:t>
      </w:r>
      <w:r>
        <w:rPr>
          <w:rFonts w:ascii="Times New Roman" w:hAnsi="Times New Roman" w:cs="David" w:hint="cs"/>
          <w:sz w:val="24"/>
          <w:szCs w:val="24"/>
          <w:rtl/>
        </w:rPr>
        <w:lastRenderedPageBreak/>
        <w:t>האירופי (</w:t>
      </w:r>
      <w:r w:rsidRPr="00A85E0B">
        <w:rPr>
          <w:rFonts w:ascii="Times New Roman" w:hAnsi="Times New Roman" w:cs="David" w:hint="cs"/>
          <w:sz w:val="24"/>
          <w:szCs w:val="24"/>
          <w:rtl/>
        </w:rPr>
        <w:t>ה-</w:t>
      </w:r>
      <w:r w:rsidRPr="00A85E0B">
        <w:rPr>
          <w:rFonts w:ascii="Times New Roman" w:hAnsi="Times New Roman" w:cs="David"/>
          <w:sz w:val="24"/>
          <w:szCs w:val="24"/>
        </w:rPr>
        <w:t>ECB</w:t>
      </w:r>
      <w:r>
        <w:rPr>
          <w:rFonts w:ascii="Times New Roman" w:hAnsi="Times New Roman" w:cs="David" w:hint="cs"/>
          <w:sz w:val="24"/>
          <w:szCs w:val="24"/>
          <w:rtl/>
        </w:rPr>
        <w:t>)</w:t>
      </w:r>
      <w:r w:rsidRPr="00A85E0B">
        <w:rPr>
          <w:rFonts w:ascii="Times New Roman" w:hAnsi="Times New Roman" w:cs="David" w:hint="cs"/>
          <w:sz w:val="24"/>
          <w:szCs w:val="24"/>
          <w:rtl/>
        </w:rPr>
        <w:t xml:space="preserve"> הוריד את הריבית המוניטרית</w:t>
      </w:r>
      <w:r>
        <w:rPr>
          <w:rFonts w:ascii="Times New Roman" w:hAnsi="Times New Roman" w:cs="David" w:hint="cs"/>
          <w:sz w:val="24"/>
          <w:szCs w:val="24"/>
          <w:rtl/>
        </w:rPr>
        <w:t xml:space="preserve"> בנובמבר</w:t>
      </w:r>
      <w:r w:rsidRPr="00A85E0B">
        <w:rPr>
          <w:rFonts w:ascii="Times New Roman" w:hAnsi="Times New Roman" w:cs="David" w:hint="cs"/>
          <w:sz w:val="24"/>
          <w:szCs w:val="24"/>
          <w:rtl/>
        </w:rPr>
        <w:t xml:space="preserve"> ב-0.25 נקודת אחוז</w:t>
      </w:r>
      <w:r>
        <w:rPr>
          <w:rFonts w:ascii="Times New Roman" w:hAnsi="Times New Roman" w:cs="David" w:hint="cs"/>
          <w:sz w:val="24"/>
          <w:szCs w:val="24"/>
          <w:rtl/>
        </w:rPr>
        <w:t>. הבנק המרכזי האמריקאי</w:t>
      </w:r>
      <w:r w:rsidRPr="00A85E0B">
        <w:rPr>
          <w:rFonts w:ascii="Times New Roman" w:hAnsi="Times New Roman" w:cs="David" w:hint="cs"/>
          <w:sz w:val="24"/>
          <w:szCs w:val="24"/>
          <w:rtl/>
        </w:rPr>
        <w:t xml:space="preserve"> </w:t>
      </w:r>
      <w:r>
        <w:rPr>
          <w:rFonts w:ascii="Times New Roman" w:hAnsi="Times New Roman" w:cs="David" w:hint="cs"/>
          <w:sz w:val="24"/>
          <w:szCs w:val="24"/>
          <w:rtl/>
        </w:rPr>
        <w:t>(</w:t>
      </w:r>
      <w:r w:rsidRPr="00A85E0B">
        <w:rPr>
          <w:rFonts w:ascii="Times New Roman" w:hAnsi="Times New Roman" w:cs="David" w:hint="cs"/>
          <w:sz w:val="24"/>
          <w:szCs w:val="24"/>
          <w:rtl/>
        </w:rPr>
        <w:t>הפדרל ריזרב</w:t>
      </w:r>
      <w:r>
        <w:rPr>
          <w:rFonts w:ascii="Times New Roman" w:hAnsi="Times New Roman" w:cs="David" w:hint="cs"/>
          <w:sz w:val="24"/>
          <w:szCs w:val="24"/>
          <w:rtl/>
        </w:rPr>
        <w:t>)</w:t>
      </w:r>
      <w:r w:rsidRPr="00A85E0B">
        <w:rPr>
          <w:rFonts w:ascii="Times New Roman" w:hAnsi="Times New Roman" w:cs="David" w:hint="cs"/>
          <w:sz w:val="24"/>
          <w:szCs w:val="24"/>
          <w:rtl/>
        </w:rPr>
        <w:t xml:space="preserve"> הודיע על </w:t>
      </w:r>
      <w:r>
        <w:rPr>
          <w:rFonts w:ascii="Times New Roman" w:hAnsi="Times New Roman" w:cs="David" w:hint="cs"/>
          <w:sz w:val="24"/>
          <w:szCs w:val="24"/>
          <w:rtl/>
        </w:rPr>
        <w:t>צמצום הדרגתי (</w:t>
      </w:r>
      <w:r>
        <w:rPr>
          <w:rFonts w:ascii="Times New Roman" w:hAnsi="Times New Roman" w:cs="David"/>
          <w:sz w:val="24"/>
          <w:szCs w:val="24"/>
        </w:rPr>
        <w:t>tapering</w:t>
      </w:r>
      <w:r>
        <w:rPr>
          <w:rFonts w:ascii="Times New Roman" w:hAnsi="Times New Roman" w:cs="David" w:hint="cs"/>
          <w:sz w:val="24"/>
          <w:szCs w:val="24"/>
          <w:rtl/>
        </w:rPr>
        <w:t>) ב</w:t>
      </w:r>
      <w:r w:rsidRPr="00A85E0B">
        <w:rPr>
          <w:rFonts w:ascii="Times New Roman" w:hAnsi="Times New Roman" w:cs="David" w:hint="cs"/>
          <w:sz w:val="24"/>
          <w:szCs w:val="24"/>
          <w:rtl/>
        </w:rPr>
        <w:t xml:space="preserve">היקף רכישות </w:t>
      </w:r>
      <w:r>
        <w:rPr>
          <w:rFonts w:ascii="Times New Roman" w:hAnsi="Times New Roman" w:cs="David" w:hint="cs"/>
          <w:sz w:val="24"/>
          <w:szCs w:val="24"/>
          <w:rtl/>
        </w:rPr>
        <w:t>ה</w:t>
      </w:r>
      <w:r w:rsidRPr="00A85E0B">
        <w:rPr>
          <w:rFonts w:ascii="Times New Roman" w:hAnsi="Times New Roman" w:cs="David" w:hint="cs"/>
          <w:sz w:val="24"/>
          <w:szCs w:val="24"/>
          <w:rtl/>
        </w:rPr>
        <w:t>אג"ח לקראת סוף דצמבר</w:t>
      </w:r>
      <w:r>
        <w:rPr>
          <w:rFonts w:ascii="Times New Roman" w:hAnsi="Times New Roman" w:cs="David" w:hint="cs"/>
          <w:sz w:val="24"/>
          <w:szCs w:val="24"/>
          <w:rtl/>
        </w:rPr>
        <w:t>, בשעה ש</w:t>
      </w:r>
      <w:r w:rsidRPr="00A85E0B">
        <w:rPr>
          <w:rFonts w:ascii="Times New Roman" w:hAnsi="Times New Roman" w:cs="David" w:hint="cs"/>
          <w:sz w:val="24"/>
          <w:szCs w:val="24"/>
          <w:rtl/>
        </w:rPr>
        <w:t xml:space="preserve">בתחילת התקופה הנסקרת </w:t>
      </w:r>
      <w:r>
        <w:rPr>
          <w:rFonts w:ascii="Times New Roman" w:hAnsi="Times New Roman" w:cs="David" w:hint="cs"/>
          <w:sz w:val="24"/>
          <w:szCs w:val="24"/>
          <w:rtl/>
        </w:rPr>
        <w:t>היו הערכות שהצמצום י</w:t>
      </w:r>
      <w:r w:rsidRPr="00A85E0B">
        <w:rPr>
          <w:rFonts w:ascii="Times New Roman" w:hAnsi="Times New Roman" w:cs="David" w:hint="cs"/>
          <w:sz w:val="24"/>
          <w:szCs w:val="24"/>
          <w:rtl/>
        </w:rPr>
        <w:t>תחיל כבר בספטמבר</w:t>
      </w:r>
      <w:r>
        <w:rPr>
          <w:rFonts w:ascii="Times New Roman" w:hAnsi="Times New Roman" w:cs="David" w:hint="cs"/>
          <w:sz w:val="24"/>
          <w:szCs w:val="24"/>
          <w:rtl/>
        </w:rPr>
        <w:t>, ולצד זאת הוא חזר על המחויבות לשמור על ריבית נמוכה עוד זמן רב</w:t>
      </w:r>
      <w:r w:rsidRPr="00A85E0B">
        <w:rPr>
          <w:rFonts w:ascii="Times New Roman" w:hAnsi="Times New Roman" w:cs="David" w:hint="cs"/>
          <w:sz w:val="24"/>
          <w:szCs w:val="24"/>
          <w:rtl/>
        </w:rPr>
        <w:t>. במדינות האירופי</w:t>
      </w:r>
      <w:r>
        <w:rPr>
          <w:rFonts w:ascii="Times New Roman" w:hAnsi="Times New Roman" w:cs="David" w:hint="cs"/>
          <w:sz w:val="24"/>
          <w:szCs w:val="24"/>
          <w:rtl/>
        </w:rPr>
        <w:t>ו</w:t>
      </w:r>
      <w:r w:rsidRPr="00A85E0B">
        <w:rPr>
          <w:rFonts w:ascii="Times New Roman" w:hAnsi="Times New Roman" w:cs="David" w:hint="cs"/>
          <w:sz w:val="24"/>
          <w:szCs w:val="24"/>
          <w:rtl/>
        </w:rPr>
        <w:t xml:space="preserve">ת שנקלעו לקשיי מימון </w:t>
      </w:r>
      <w:r>
        <w:rPr>
          <w:rFonts w:ascii="Times New Roman" w:hAnsi="Times New Roman" w:cs="David" w:hint="cs"/>
          <w:sz w:val="24"/>
          <w:szCs w:val="24"/>
          <w:rtl/>
        </w:rPr>
        <w:t>נמשכה הירידה בסיכון לחדלות פירעון.</w:t>
      </w:r>
      <w:r w:rsidRPr="00A85E0B">
        <w:rPr>
          <w:rFonts w:ascii="Times New Roman" w:hAnsi="Times New Roman" w:cs="David" w:hint="cs"/>
          <w:sz w:val="24"/>
          <w:szCs w:val="24"/>
          <w:rtl/>
        </w:rPr>
        <w:t xml:space="preserve"> </w:t>
      </w:r>
      <w:r>
        <w:rPr>
          <w:rFonts w:ascii="Times New Roman" w:hAnsi="Times New Roman" w:cs="David" w:hint="cs"/>
          <w:sz w:val="24"/>
          <w:szCs w:val="24"/>
          <w:rtl/>
        </w:rPr>
        <w:t>ה</w:t>
      </w:r>
      <w:r w:rsidRPr="00A04E11">
        <w:rPr>
          <w:rFonts w:ascii="Times New Roman" w:hAnsi="Times New Roman" w:cs="David" w:hint="cs"/>
          <w:sz w:val="24"/>
          <w:szCs w:val="24"/>
          <w:rtl/>
        </w:rPr>
        <w:t>מדינות המתעוררות</w:t>
      </w:r>
      <w:r>
        <w:rPr>
          <w:rFonts w:ascii="Times New Roman" w:hAnsi="Times New Roman" w:cs="David" w:hint="cs"/>
          <w:sz w:val="24"/>
          <w:szCs w:val="24"/>
          <w:rtl/>
        </w:rPr>
        <w:t xml:space="preserve"> צמחו בקצב </w:t>
      </w:r>
      <w:r w:rsidRPr="00433B43">
        <w:rPr>
          <w:rFonts w:ascii="Times New Roman" w:hAnsi="Times New Roman" w:cs="David"/>
          <w:sz w:val="24"/>
          <w:szCs w:val="24"/>
          <w:rtl/>
        </w:rPr>
        <w:t>איטי מזה שאפיין אותן בשנים האחרונות</w:t>
      </w:r>
      <w:r>
        <w:rPr>
          <w:rFonts w:ascii="Times New Roman" w:hAnsi="Times New Roman" w:cs="David" w:hint="cs"/>
          <w:sz w:val="24"/>
          <w:szCs w:val="24"/>
          <w:rtl/>
        </w:rPr>
        <w:t>, תוך שסין מוסיפה להוביל את הצמיחה</w:t>
      </w:r>
      <w:r w:rsidRPr="00BC1E56">
        <w:rPr>
          <w:rFonts w:ascii="Times New Roman" w:hAnsi="Times New Roman" w:cs="David" w:hint="cs"/>
          <w:sz w:val="24"/>
          <w:szCs w:val="24"/>
          <w:rtl/>
        </w:rPr>
        <w:t xml:space="preserve">, </w:t>
      </w:r>
      <w:r w:rsidRPr="00433B43">
        <w:rPr>
          <w:rFonts w:ascii="Times New Roman" w:hAnsi="Times New Roman" w:cs="David" w:hint="cs"/>
          <w:sz w:val="24"/>
          <w:szCs w:val="24"/>
          <w:rtl/>
        </w:rPr>
        <w:t>ותחזיות</w:t>
      </w:r>
      <w:r w:rsidRPr="00433B43">
        <w:rPr>
          <w:rFonts w:ascii="Times New Roman" w:hAnsi="Times New Roman" w:cs="David"/>
          <w:sz w:val="24"/>
          <w:szCs w:val="24"/>
          <w:rtl/>
        </w:rPr>
        <w:t xml:space="preserve"> הצמיחה </w:t>
      </w:r>
      <w:r w:rsidRPr="00433B43">
        <w:rPr>
          <w:rFonts w:ascii="Times New Roman" w:hAnsi="Times New Roman" w:cs="David" w:hint="cs"/>
          <w:sz w:val="24"/>
          <w:szCs w:val="24"/>
          <w:rtl/>
        </w:rPr>
        <w:t>לעתיד</w:t>
      </w:r>
      <w:r w:rsidRPr="00433B43">
        <w:rPr>
          <w:rFonts w:ascii="Times New Roman" w:hAnsi="Times New Roman" w:cs="David"/>
          <w:sz w:val="24"/>
          <w:szCs w:val="24"/>
          <w:rtl/>
        </w:rPr>
        <w:t xml:space="preserve"> </w:t>
      </w:r>
      <w:r w:rsidRPr="00433B43">
        <w:rPr>
          <w:rFonts w:ascii="Times New Roman" w:hAnsi="Times New Roman" w:cs="David" w:hint="cs"/>
          <w:sz w:val="24"/>
          <w:szCs w:val="24"/>
          <w:rtl/>
        </w:rPr>
        <w:t>עודכנו</w:t>
      </w:r>
      <w:r w:rsidRPr="00433B43">
        <w:rPr>
          <w:rFonts w:ascii="Times New Roman" w:hAnsi="Times New Roman" w:cs="David"/>
          <w:sz w:val="24"/>
          <w:szCs w:val="24"/>
          <w:rtl/>
        </w:rPr>
        <w:t xml:space="preserve"> </w:t>
      </w:r>
      <w:r w:rsidRPr="00433B43">
        <w:rPr>
          <w:rFonts w:ascii="Times New Roman" w:hAnsi="Times New Roman" w:cs="David" w:hint="cs"/>
          <w:sz w:val="24"/>
          <w:szCs w:val="24"/>
          <w:rtl/>
        </w:rPr>
        <w:t>כלפי</w:t>
      </w:r>
      <w:r w:rsidRPr="00433B43">
        <w:rPr>
          <w:rFonts w:ascii="Times New Roman" w:hAnsi="Times New Roman" w:cs="David"/>
          <w:sz w:val="24"/>
          <w:szCs w:val="24"/>
          <w:rtl/>
        </w:rPr>
        <w:t xml:space="preserve"> </w:t>
      </w:r>
      <w:r w:rsidRPr="00433B43">
        <w:rPr>
          <w:rFonts w:ascii="Times New Roman" w:hAnsi="Times New Roman" w:cs="David" w:hint="cs"/>
          <w:sz w:val="24"/>
          <w:szCs w:val="24"/>
          <w:rtl/>
        </w:rPr>
        <w:t>מטה</w:t>
      </w:r>
      <w:r>
        <w:rPr>
          <w:rFonts w:ascii="Times New Roman" w:hAnsi="Times New Roman" w:cs="David" w:hint="cs"/>
          <w:b/>
          <w:bCs/>
          <w:sz w:val="24"/>
          <w:szCs w:val="24"/>
          <w:rtl/>
        </w:rPr>
        <w:t>.</w:t>
      </w:r>
    </w:p>
    <w:p w:rsidR="00BB43C1" w:rsidRPr="008D18E0" w:rsidRDefault="00BB43C1" w:rsidP="00BB43C1">
      <w:pPr>
        <w:pStyle w:val="a3"/>
        <w:numPr>
          <w:ilvl w:val="0"/>
          <w:numId w:val="1"/>
        </w:numPr>
        <w:spacing w:line="360" w:lineRule="auto"/>
        <w:jc w:val="both"/>
        <w:rPr>
          <w:rFonts w:ascii="Times New Roman" w:hAnsi="Times New Roman" w:cs="David"/>
          <w:sz w:val="24"/>
          <w:szCs w:val="24"/>
        </w:rPr>
      </w:pPr>
      <w:r w:rsidRPr="008D18E0">
        <w:rPr>
          <w:rFonts w:ascii="Times New Roman" w:hAnsi="Times New Roman" w:cs="David"/>
          <w:b/>
          <w:bCs/>
          <w:sz w:val="24"/>
          <w:szCs w:val="24"/>
          <w:rtl/>
        </w:rPr>
        <w:t>שער החליפין</w:t>
      </w:r>
      <w:r w:rsidRPr="00F93DCB">
        <w:rPr>
          <w:rFonts w:ascii="Times New Roman" w:hAnsi="Times New Roman" w:cs="David"/>
          <w:b/>
          <w:bCs/>
          <w:sz w:val="24"/>
          <w:szCs w:val="24"/>
          <w:rtl/>
        </w:rPr>
        <w:t>:</w:t>
      </w:r>
      <w:r w:rsidRPr="008D18E0">
        <w:rPr>
          <w:rFonts w:ascii="Times New Roman" w:hAnsi="Times New Roman" w:cs="David" w:hint="cs"/>
          <w:sz w:val="24"/>
          <w:szCs w:val="24"/>
          <w:rtl/>
        </w:rPr>
        <w:t xml:space="preserve"> </w:t>
      </w:r>
      <w:r w:rsidRPr="008D18E0">
        <w:rPr>
          <w:rFonts w:ascii="Times New Roman" w:eastAsiaTheme="minorHAnsi" w:hAnsi="Times New Roman" w:cs="David" w:hint="cs"/>
          <w:sz w:val="24"/>
          <w:szCs w:val="24"/>
          <w:rtl/>
        </w:rPr>
        <w:t>במהלך התקופה הנסקרת</w:t>
      </w:r>
      <w:r>
        <w:rPr>
          <w:rFonts w:ascii="Times New Roman" w:eastAsiaTheme="minorHAnsi" w:hAnsi="Times New Roman" w:cs="David" w:hint="cs"/>
          <w:sz w:val="24"/>
          <w:szCs w:val="24"/>
          <w:rtl/>
        </w:rPr>
        <w:t xml:space="preserve"> </w:t>
      </w:r>
      <w:proofErr w:type="spellStart"/>
      <w:r>
        <w:rPr>
          <w:rFonts w:ascii="Times New Roman" w:eastAsiaTheme="minorHAnsi" w:hAnsi="Times New Roman" w:cs="David" w:hint="cs"/>
          <w:sz w:val="24"/>
          <w:szCs w:val="24"/>
          <w:rtl/>
        </w:rPr>
        <w:t>התייסף</w:t>
      </w:r>
      <w:proofErr w:type="spellEnd"/>
      <w:r w:rsidRPr="008D18E0">
        <w:rPr>
          <w:rFonts w:ascii="Times New Roman" w:eastAsiaTheme="minorHAnsi" w:hAnsi="Times New Roman" w:cs="David" w:hint="cs"/>
          <w:sz w:val="24"/>
          <w:szCs w:val="24"/>
          <w:rtl/>
        </w:rPr>
        <w:t xml:space="preserve"> </w:t>
      </w:r>
      <w:r>
        <w:rPr>
          <w:rFonts w:ascii="Times New Roman" w:eastAsiaTheme="minorHAnsi" w:hAnsi="Times New Roman" w:cs="David" w:hint="cs"/>
          <w:sz w:val="24"/>
          <w:szCs w:val="24"/>
          <w:rtl/>
        </w:rPr>
        <w:t xml:space="preserve">השקל בכ-2.5% במונחי </w:t>
      </w:r>
      <w:r w:rsidRPr="008D18E0">
        <w:rPr>
          <w:rFonts w:ascii="Times New Roman" w:eastAsiaTheme="minorHAnsi" w:hAnsi="Times New Roman" w:cs="David" w:hint="cs"/>
          <w:sz w:val="24"/>
          <w:szCs w:val="24"/>
          <w:rtl/>
        </w:rPr>
        <w:t xml:space="preserve">שער החליפין הנומינלי </w:t>
      </w:r>
      <w:r>
        <w:rPr>
          <w:rFonts w:ascii="Times New Roman" w:eastAsiaTheme="minorHAnsi" w:hAnsi="Times New Roman" w:cs="David" w:hint="cs"/>
          <w:sz w:val="24"/>
          <w:szCs w:val="24"/>
          <w:rtl/>
        </w:rPr>
        <w:t>ה</w:t>
      </w:r>
      <w:r w:rsidRPr="008D18E0">
        <w:rPr>
          <w:rFonts w:ascii="Times New Roman" w:eastAsiaTheme="minorHAnsi" w:hAnsi="Times New Roman" w:cs="David" w:hint="cs"/>
          <w:sz w:val="24"/>
          <w:szCs w:val="24"/>
          <w:rtl/>
        </w:rPr>
        <w:t>אפקטיבי</w:t>
      </w:r>
      <w:r>
        <w:rPr>
          <w:rFonts w:ascii="Times New Roman" w:eastAsiaTheme="minorHAnsi" w:hAnsi="Times New Roman" w:cs="David" w:hint="cs"/>
          <w:sz w:val="24"/>
          <w:szCs w:val="24"/>
          <w:rtl/>
        </w:rPr>
        <w:t>,</w:t>
      </w:r>
      <w:r w:rsidRPr="008D18E0">
        <w:rPr>
          <w:rFonts w:ascii="Times New Roman" w:eastAsiaTheme="minorHAnsi" w:hAnsi="Times New Roman" w:cs="David" w:hint="cs"/>
          <w:sz w:val="24"/>
          <w:szCs w:val="24"/>
          <w:rtl/>
        </w:rPr>
        <w:t xml:space="preserve"> </w:t>
      </w:r>
      <w:r>
        <w:rPr>
          <w:rFonts w:ascii="Times New Roman" w:eastAsiaTheme="minorHAnsi" w:hAnsi="Times New Roman" w:cs="David" w:hint="cs"/>
          <w:sz w:val="24"/>
          <w:szCs w:val="24"/>
          <w:rtl/>
        </w:rPr>
        <w:t xml:space="preserve">ובכ-4.5% </w:t>
      </w:r>
      <w:r w:rsidRPr="008D18E0">
        <w:rPr>
          <w:rFonts w:ascii="Times New Roman" w:eastAsiaTheme="minorHAnsi" w:hAnsi="Times New Roman" w:cs="David" w:hint="cs"/>
          <w:sz w:val="24"/>
          <w:szCs w:val="24"/>
          <w:rtl/>
        </w:rPr>
        <w:t>מול הדולר.</w:t>
      </w:r>
      <w:r w:rsidRPr="008D18E0">
        <w:rPr>
          <w:rFonts w:ascii="Times New Roman" w:hAnsi="Times New Roman" w:cs="David" w:hint="cs"/>
          <w:sz w:val="24"/>
          <w:szCs w:val="24"/>
          <w:rtl/>
        </w:rPr>
        <w:t xml:space="preserve"> </w:t>
      </w:r>
      <w:r>
        <w:rPr>
          <w:rFonts w:ascii="Times New Roman" w:hAnsi="Times New Roman" w:cs="David" w:hint="cs"/>
          <w:sz w:val="24"/>
          <w:szCs w:val="24"/>
          <w:rtl/>
        </w:rPr>
        <w:t xml:space="preserve">התיסוף פחת במחצית השנייה, בין השאר בעקבות ההודעה של בנק ישראל על התוכנית לרכוש מט"ח במטרה למתן את ההשפעה של הפקת הגז על שער החליפין. </w:t>
      </w:r>
    </w:p>
    <w:p w:rsidR="00BB43C1" w:rsidRPr="00BE174B" w:rsidRDefault="00BB43C1" w:rsidP="00BB43C1">
      <w:pPr>
        <w:pStyle w:val="a3"/>
        <w:numPr>
          <w:ilvl w:val="0"/>
          <w:numId w:val="1"/>
        </w:numPr>
        <w:spacing w:line="360" w:lineRule="auto"/>
        <w:jc w:val="both"/>
        <w:rPr>
          <w:rFonts w:ascii="Times New Roman" w:hAnsi="Times New Roman" w:cs="David"/>
          <w:sz w:val="24"/>
          <w:szCs w:val="24"/>
        </w:rPr>
      </w:pPr>
      <w:r w:rsidRPr="00BE174B">
        <w:rPr>
          <w:rFonts w:ascii="Times New Roman" w:hAnsi="Times New Roman" w:cs="David" w:hint="cs"/>
          <w:b/>
          <w:bCs/>
          <w:sz w:val="24"/>
          <w:szCs w:val="24"/>
          <w:rtl/>
        </w:rPr>
        <w:t>השווקים הפיננסיים:</w:t>
      </w:r>
      <w:r w:rsidRPr="00BE174B">
        <w:rPr>
          <w:rFonts w:ascii="Times New Roman" w:hAnsi="Times New Roman" w:cs="David" w:hint="cs"/>
          <w:sz w:val="24"/>
          <w:szCs w:val="24"/>
          <w:rtl/>
        </w:rPr>
        <w:t xml:space="preserve"> במהלך התקופה</w:t>
      </w:r>
      <w:r w:rsidRPr="002E144F">
        <w:rPr>
          <w:rFonts w:ascii="Times New Roman" w:hAnsi="Times New Roman" w:cs="David" w:hint="cs"/>
          <w:sz w:val="24"/>
          <w:szCs w:val="24"/>
          <w:rtl/>
        </w:rPr>
        <w:t xml:space="preserve"> הנסקרת עלה מדד ת"א 25 בכ-</w:t>
      </w:r>
      <w:r w:rsidRPr="00A11960">
        <w:rPr>
          <w:rFonts w:ascii="Times New Roman" w:hAnsi="Times New Roman" w:cs="David"/>
          <w:sz w:val="24"/>
          <w:szCs w:val="24"/>
          <w:rtl/>
        </w:rPr>
        <w:t>11</w:t>
      </w:r>
      <w:r w:rsidRPr="002E144F">
        <w:rPr>
          <w:rFonts w:ascii="Times New Roman" w:hAnsi="Times New Roman" w:cs="David" w:hint="cs"/>
          <w:sz w:val="24"/>
          <w:szCs w:val="24"/>
          <w:rtl/>
        </w:rPr>
        <w:t xml:space="preserve"> אחוזים והגיע לרמה גבוהה </w:t>
      </w:r>
      <w:r>
        <w:rPr>
          <w:rFonts w:ascii="Times New Roman" w:hAnsi="Times New Roman" w:cs="David" w:hint="cs"/>
          <w:sz w:val="24"/>
          <w:szCs w:val="24"/>
          <w:rtl/>
        </w:rPr>
        <w:t xml:space="preserve">מבחינה </w:t>
      </w:r>
      <w:r w:rsidRPr="002E144F">
        <w:rPr>
          <w:rFonts w:ascii="Times New Roman" w:hAnsi="Times New Roman" w:cs="David" w:hint="cs"/>
          <w:sz w:val="24"/>
          <w:szCs w:val="24"/>
          <w:rtl/>
        </w:rPr>
        <w:t xml:space="preserve">היסטורית. השינוי במדד המניות היה </w:t>
      </w:r>
      <w:r>
        <w:rPr>
          <w:rFonts w:ascii="Times New Roman" w:hAnsi="Times New Roman" w:cs="David" w:hint="cs"/>
          <w:sz w:val="24"/>
          <w:szCs w:val="24"/>
          <w:rtl/>
        </w:rPr>
        <w:t>במרבית התקופה</w:t>
      </w:r>
      <w:r w:rsidRPr="002E144F">
        <w:rPr>
          <w:rFonts w:ascii="Times New Roman" w:hAnsi="Times New Roman" w:cs="David" w:hint="cs"/>
          <w:sz w:val="24"/>
          <w:szCs w:val="24"/>
          <w:rtl/>
        </w:rPr>
        <w:t xml:space="preserve"> מתואם עם המגמה </w:t>
      </w:r>
      <w:r>
        <w:rPr>
          <w:rFonts w:ascii="Times New Roman" w:hAnsi="Times New Roman" w:cs="David" w:hint="cs"/>
          <w:sz w:val="24"/>
          <w:szCs w:val="24"/>
          <w:rtl/>
        </w:rPr>
        <w:t>ב</w:t>
      </w:r>
      <w:r w:rsidRPr="002E144F">
        <w:rPr>
          <w:rFonts w:ascii="Times New Roman" w:hAnsi="Times New Roman" w:cs="David" w:hint="cs"/>
          <w:sz w:val="24"/>
          <w:szCs w:val="24"/>
          <w:rtl/>
        </w:rPr>
        <w:t xml:space="preserve">שווקים המפותחים, למעט </w:t>
      </w:r>
      <w:r>
        <w:rPr>
          <w:rFonts w:ascii="Times New Roman" w:hAnsi="Times New Roman" w:cs="David" w:hint="cs"/>
          <w:sz w:val="24"/>
          <w:szCs w:val="24"/>
          <w:rtl/>
        </w:rPr>
        <w:t>ב</w:t>
      </w:r>
      <w:r w:rsidRPr="002E144F">
        <w:rPr>
          <w:rFonts w:ascii="Times New Roman" w:hAnsi="Times New Roman" w:cs="David" w:hint="cs"/>
          <w:sz w:val="24"/>
          <w:szCs w:val="24"/>
          <w:rtl/>
        </w:rPr>
        <w:t>חודשי</w:t>
      </w:r>
      <w:r>
        <w:rPr>
          <w:rFonts w:ascii="Times New Roman" w:hAnsi="Times New Roman" w:cs="David" w:hint="cs"/>
          <w:sz w:val="24"/>
          <w:szCs w:val="24"/>
          <w:rtl/>
        </w:rPr>
        <w:t>ם</w:t>
      </w:r>
      <w:r w:rsidRPr="002E144F">
        <w:rPr>
          <w:rFonts w:ascii="Times New Roman" w:hAnsi="Times New Roman" w:cs="David" w:hint="cs"/>
          <w:sz w:val="24"/>
          <w:szCs w:val="24"/>
          <w:rtl/>
        </w:rPr>
        <w:t xml:space="preserve"> אוגוסט וספטמבר, וזאת ככל הנראה </w:t>
      </w:r>
      <w:r>
        <w:rPr>
          <w:rFonts w:ascii="Times New Roman" w:hAnsi="Times New Roman" w:cs="David" w:hint="cs"/>
          <w:sz w:val="24"/>
          <w:szCs w:val="24"/>
          <w:rtl/>
        </w:rPr>
        <w:t>כתוצאה</w:t>
      </w:r>
      <w:r w:rsidRPr="002E144F">
        <w:rPr>
          <w:rFonts w:ascii="Times New Roman" w:hAnsi="Times New Roman" w:cs="David" w:hint="cs"/>
          <w:sz w:val="24"/>
          <w:szCs w:val="24"/>
          <w:rtl/>
        </w:rPr>
        <w:t xml:space="preserve"> </w:t>
      </w:r>
      <w:r>
        <w:rPr>
          <w:rFonts w:ascii="Times New Roman" w:hAnsi="Times New Roman" w:cs="David" w:hint="cs"/>
          <w:sz w:val="24"/>
          <w:szCs w:val="24"/>
          <w:rtl/>
        </w:rPr>
        <w:t>מ</w:t>
      </w:r>
      <w:r w:rsidRPr="002E144F">
        <w:rPr>
          <w:rFonts w:ascii="Times New Roman" w:hAnsi="Times New Roman" w:cs="David" w:hint="cs"/>
          <w:sz w:val="24"/>
          <w:szCs w:val="24"/>
          <w:rtl/>
        </w:rPr>
        <w:t xml:space="preserve">העלייה בסיכון </w:t>
      </w:r>
      <w:proofErr w:type="spellStart"/>
      <w:r w:rsidRPr="002E144F">
        <w:rPr>
          <w:rFonts w:ascii="Times New Roman" w:hAnsi="Times New Roman" w:cs="David" w:hint="cs"/>
          <w:sz w:val="24"/>
          <w:szCs w:val="24"/>
          <w:rtl/>
        </w:rPr>
        <w:t>הגיאו</w:t>
      </w:r>
      <w:proofErr w:type="spellEnd"/>
      <w:r>
        <w:rPr>
          <w:rFonts w:ascii="Times New Roman" w:hAnsi="Times New Roman" w:cs="David" w:hint="cs"/>
          <w:sz w:val="24"/>
          <w:szCs w:val="24"/>
          <w:rtl/>
        </w:rPr>
        <w:t>-</w:t>
      </w:r>
      <w:r w:rsidRPr="002E144F">
        <w:rPr>
          <w:rFonts w:ascii="Times New Roman" w:hAnsi="Times New Roman" w:cs="David" w:hint="cs"/>
          <w:sz w:val="24"/>
          <w:szCs w:val="24"/>
          <w:rtl/>
        </w:rPr>
        <w:t>פוליטי</w:t>
      </w:r>
      <w:r>
        <w:rPr>
          <w:rFonts w:ascii="Times New Roman" w:hAnsi="Times New Roman" w:cs="David" w:hint="cs"/>
          <w:sz w:val="24"/>
          <w:szCs w:val="24"/>
          <w:rtl/>
        </w:rPr>
        <w:t xml:space="preserve"> (השערות לגבי תקיפה אפשרית בסוריה)</w:t>
      </w:r>
      <w:r w:rsidRPr="002E144F">
        <w:rPr>
          <w:rFonts w:ascii="Times New Roman" w:hAnsi="Times New Roman" w:cs="David" w:hint="cs"/>
          <w:sz w:val="24"/>
          <w:szCs w:val="24"/>
          <w:rtl/>
        </w:rPr>
        <w:t>. התשואות</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על</w:t>
      </w:r>
      <w:r w:rsidRPr="002E144F">
        <w:rPr>
          <w:rFonts w:ascii="Times New Roman" w:hAnsi="Times New Roman" w:cs="David"/>
          <w:sz w:val="24"/>
          <w:szCs w:val="24"/>
          <w:rtl/>
        </w:rPr>
        <w:t xml:space="preserve"> </w:t>
      </w:r>
      <w:r>
        <w:rPr>
          <w:rFonts w:ascii="Times New Roman" w:hAnsi="Times New Roman" w:cs="David" w:hint="cs"/>
          <w:sz w:val="24"/>
          <w:szCs w:val="24"/>
          <w:rtl/>
        </w:rPr>
        <w:t>האג"ח</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הממשלתיות</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עלו</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ביוני</w:t>
      </w:r>
      <w:r>
        <w:rPr>
          <w:rFonts w:ascii="Times New Roman" w:hAnsi="Times New Roman" w:cs="David" w:hint="cs"/>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בדומה ל</w:t>
      </w:r>
      <w:r w:rsidRPr="002E144F">
        <w:rPr>
          <w:rFonts w:ascii="Times New Roman" w:hAnsi="Times New Roman" w:cs="David" w:hint="cs"/>
          <w:sz w:val="24"/>
          <w:szCs w:val="24"/>
          <w:rtl/>
        </w:rPr>
        <w:t>תשואות</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בעולם</w:t>
      </w:r>
      <w:r>
        <w:rPr>
          <w:rFonts w:ascii="Times New Roman" w:hAnsi="Times New Roman" w:cs="David" w:hint="cs"/>
          <w:sz w:val="24"/>
          <w:szCs w:val="24"/>
          <w:rtl/>
        </w:rPr>
        <w:t>,</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על</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רקע</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הצפי</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לצמצום</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ההקלה</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הכמותית</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בארה</w:t>
      </w:r>
      <w:r w:rsidRPr="002E144F">
        <w:rPr>
          <w:rFonts w:ascii="Times New Roman" w:hAnsi="Times New Roman" w:cs="David"/>
          <w:sz w:val="24"/>
          <w:szCs w:val="24"/>
          <w:rtl/>
        </w:rPr>
        <w:t>"</w:t>
      </w:r>
      <w:r w:rsidRPr="002E144F">
        <w:rPr>
          <w:rFonts w:ascii="Times New Roman" w:hAnsi="Times New Roman" w:cs="David" w:hint="cs"/>
          <w:sz w:val="24"/>
          <w:szCs w:val="24"/>
          <w:rtl/>
        </w:rPr>
        <w:t>ב</w:t>
      </w:r>
      <w:r>
        <w:rPr>
          <w:rFonts w:ascii="Times New Roman" w:hAnsi="Times New Roman" w:cs="David" w:hint="cs"/>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w:t>
      </w:r>
      <w:r w:rsidRPr="002E144F">
        <w:rPr>
          <w:rFonts w:ascii="Times New Roman" w:hAnsi="Times New Roman" w:cs="David" w:hint="cs"/>
          <w:sz w:val="24"/>
          <w:szCs w:val="24"/>
          <w:rtl/>
        </w:rPr>
        <w:t xml:space="preserve">אך לקראת סוף המחצית </w:t>
      </w:r>
      <w:r>
        <w:rPr>
          <w:rFonts w:ascii="Times New Roman" w:hAnsi="Times New Roman" w:cs="David" w:hint="cs"/>
          <w:sz w:val="24"/>
          <w:szCs w:val="24"/>
          <w:rtl/>
        </w:rPr>
        <w:t>הן שבו לרדת</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יתרת</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האשראי</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למגזר</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העסקי</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נותרה</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יציבה.</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מנגד</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יתרת</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האשראי</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למשקי</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הבית</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עלתה</w:t>
      </w:r>
      <w:r>
        <w:rPr>
          <w:rFonts w:ascii="Times New Roman" w:hAnsi="Times New Roman" w:cs="David" w:hint="cs"/>
          <w:sz w:val="24"/>
          <w:szCs w:val="24"/>
          <w:rtl/>
        </w:rPr>
        <w:t>, ועלייה זו התרחשה</w:t>
      </w:r>
      <w:r w:rsidRPr="002E144F">
        <w:rPr>
          <w:rFonts w:ascii="Times New Roman" w:hAnsi="Times New Roman" w:cs="David"/>
          <w:sz w:val="24"/>
          <w:szCs w:val="24"/>
          <w:rtl/>
        </w:rPr>
        <w:t xml:space="preserve"> </w:t>
      </w:r>
      <w:r>
        <w:rPr>
          <w:rFonts w:ascii="Times New Roman" w:hAnsi="Times New Roman" w:cs="David" w:hint="cs"/>
          <w:sz w:val="24"/>
          <w:szCs w:val="24"/>
          <w:rtl/>
        </w:rPr>
        <w:t>ב</w:t>
      </w:r>
      <w:r w:rsidRPr="002E144F">
        <w:rPr>
          <w:rFonts w:ascii="Times New Roman" w:hAnsi="Times New Roman" w:cs="David" w:hint="cs"/>
          <w:sz w:val="24"/>
          <w:szCs w:val="24"/>
          <w:rtl/>
        </w:rPr>
        <w:t>רובה</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באשראי</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לדיור</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המרווחים</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בשוק</w:t>
      </w:r>
      <w:r w:rsidRPr="002E144F">
        <w:rPr>
          <w:rFonts w:ascii="Times New Roman" w:hAnsi="Times New Roman" w:cs="David"/>
          <w:sz w:val="24"/>
          <w:szCs w:val="24"/>
          <w:rtl/>
        </w:rPr>
        <w:t xml:space="preserve"> </w:t>
      </w:r>
      <w:r>
        <w:rPr>
          <w:rFonts w:ascii="Times New Roman" w:hAnsi="Times New Roman" w:cs="David" w:hint="cs"/>
          <w:sz w:val="24"/>
          <w:szCs w:val="24"/>
          <w:rtl/>
        </w:rPr>
        <w:t>האג"ח</w:t>
      </w:r>
      <w:r w:rsidRPr="002E144F">
        <w:rPr>
          <w:rFonts w:ascii="Times New Roman" w:hAnsi="Times New Roman" w:cs="David"/>
          <w:sz w:val="24"/>
          <w:szCs w:val="24"/>
          <w:rtl/>
        </w:rPr>
        <w:t xml:space="preserve"> </w:t>
      </w:r>
      <w:proofErr w:type="spellStart"/>
      <w:r w:rsidRPr="002E144F">
        <w:rPr>
          <w:rFonts w:ascii="Times New Roman" w:hAnsi="Times New Roman" w:cs="David" w:hint="cs"/>
          <w:sz w:val="24"/>
          <w:szCs w:val="24"/>
          <w:rtl/>
        </w:rPr>
        <w:t>הקונצרניות</w:t>
      </w:r>
      <w:proofErr w:type="spellEnd"/>
      <w:r w:rsidRPr="002E144F">
        <w:rPr>
          <w:rFonts w:ascii="Times New Roman" w:hAnsi="Times New Roman" w:cs="David"/>
          <w:sz w:val="24"/>
          <w:szCs w:val="24"/>
          <w:rtl/>
        </w:rPr>
        <w:t xml:space="preserve"> </w:t>
      </w:r>
      <w:r w:rsidRPr="002E144F">
        <w:rPr>
          <w:rFonts w:ascii="Times New Roman" w:hAnsi="Times New Roman" w:cs="David" w:hint="cs"/>
          <w:sz w:val="24"/>
          <w:szCs w:val="24"/>
          <w:rtl/>
        </w:rPr>
        <w:t>המשיכו</w:t>
      </w:r>
      <w:r w:rsidRPr="002E144F">
        <w:rPr>
          <w:rFonts w:ascii="Times New Roman" w:hAnsi="Times New Roman" w:cs="David"/>
          <w:sz w:val="24"/>
          <w:szCs w:val="24"/>
          <w:rtl/>
        </w:rPr>
        <w:t xml:space="preserve"> </w:t>
      </w:r>
      <w:r w:rsidRPr="002E144F">
        <w:rPr>
          <w:rFonts w:ascii="Times New Roman" w:hAnsi="Times New Roman" w:cs="David" w:hint="cs"/>
          <w:sz w:val="24"/>
          <w:szCs w:val="24"/>
          <w:rtl/>
        </w:rPr>
        <w:t>לרדת</w:t>
      </w:r>
      <w:r>
        <w:rPr>
          <w:rFonts w:ascii="Times New Roman" w:hAnsi="Times New Roman" w:cs="David" w:hint="cs"/>
          <w:sz w:val="24"/>
          <w:szCs w:val="24"/>
          <w:rtl/>
        </w:rPr>
        <w:t xml:space="preserve"> ו</w:t>
      </w:r>
      <w:r w:rsidRPr="000C0E70">
        <w:rPr>
          <w:rFonts w:ascii="Times New Roman" w:hAnsi="Times New Roman" w:cs="David" w:hint="cs"/>
          <w:sz w:val="24"/>
          <w:szCs w:val="24"/>
          <w:rtl/>
        </w:rPr>
        <w:t xml:space="preserve">יתרת </w:t>
      </w:r>
      <w:r>
        <w:rPr>
          <w:rFonts w:ascii="Times New Roman" w:hAnsi="Times New Roman" w:cs="David" w:hint="cs"/>
          <w:sz w:val="24"/>
          <w:szCs w:val="24"/>
          <w:rtl/>
        </w:rPr>
        <w:t>ה</w:t>
      </w:r>
      <w:r w:rsidRPr="000C0E70">
        <w:rPr>
          <w:rFonts w:ascii="Times New Roman" w:hAnsi="Times New Roman" w:cs="David" w:hint="cs"/>
          <w:sz w:val="24"/>
          <w:szCs w:val="24"/>
          <w:rtl/>
        </w:rPr>
        <w:t xml:space="preserve">אג"ח </w:t>
      </w:r>
      <w:r>
        <w:rPr>
          <w:rFonts w:ascii="Times New Roman" w:hAnsi="Times New Roman" w:cs="David" w:hint="cs"/>
          <w:sz w:val="24"/>
          <w:szCs w:val="24"/>
          <w:rtl/>
        </w:rPr>
        <w:t>הסחירות</w:t>
      </w:r>
      <w:r w:rsidRPr="000C0E70">
        <w:rPr>
          <w:rFonts w:ascii="Times New Roman" w:hAnsi="Times New Roman" w:cs="David" w:hint="cs"/>
          <w:sz w:val="24"/>
          <w:szCs w:val="24"/>
          <w:rtl/>
        </w:rPr>
        <w:t xml:space="preserve"> </w:t>
      </w:r>
      <w:r>
        <w:rPr>
          <w:rFonts w:ascii="Times New Roman" w:hAnsi="Times New Roman" w:cs="David" w:hint="cs"/>
          <w:sz w:val="24"/>
          <w:szCs w:val="24"/>
          <w:rtl/>
        </w:rPr>
        <w:t xml:space="preserve">אפילו ירדה מעט, בעקבות גיוס הון שלילי והסדרי החוב המתגבשים. רק בענף הנדל"ן </w:t>
      </w:r>
      <w:r w:rsidRPr="000C0E70">
        <w:rPr>
          <w:rFonts w:ascii="Times New Roman" w:hAnsi="Times New Roman" w:cs="David" w:hint="cs"/>
          <w:sz w:val="24"/>
          <w:szCs w:val="24"/>
          <w:rtl/>
        </w:rPr>
        <w:t xml:space="preserve">היקף </w:t>
      </w:r>
      <w:r>
        <w:rPr>
          <w:rFonts w:ascii="Times New Roman" w:hAnsi="Times New Roman" w:cs="David" w:hint="cs"/>
          <w:sz w:val="24"/>
          <w:szCs w:val="24"/>
          <w:rtl/>
        </w:rPr>
        <w:t>ה</w:t>
      </w:r>
      <w:r w:rsidRPr="000C0E70">
        <w:rPr>
          <w:rFonts w:ascii="Times New Roman" w:hAnsi="Times New Roman" w:cs="David" w:hint="cs"/>
          <w:sz w:val="24"/>
          <w:szCs w:val="24"/>
          <w:rtl/>
        </w:rPr>
        <w:t xml:space="preserve">גיוסים נטו </w:t>
      </w:r>
      <w:r>
        <w:rPr>
          <w:rFonts w:ascii="Times New Roman" w:hAnsi="Times New Roman" w:cs="David" w:hint="cs"/>
          <w:sz w:val="24"/>
          <w:szCs w:val="24"/>
          <w:rtl/>
        </w:rPr>
        <w:t>היה חיובי</w:t>
      </w:r>
      <w:r w:rsidRPr="00BE174B">
        <w:rPr>
          <w:rFonts w:ascii="Times New Roman" w:hAnsi="Times New Roman" w:cs="David" w:hint="cs"/>
          <w:sz w:val="24"/>
          <w:szCs w:val="24"/>
          <w:rtl/>
        </w:rPr>
        <w:t>.</w:t>
      </w:r>
      <w:r>
        <w:rPr>
          <w:rFonts w:ascii="Times New Roman" w:hAnsi="Times New Roman" w:cs="David" w:hint="cs"/>
          <w:sz w:val="24"/>
          <w:szCs w:val="24"/>
          <w:rtl/>
        </w:rPr>
        <w:t xml:space="preserve"> </w:t>
      </w:r>
    </w:p>
    <w:p w:rsidR="00BB43C1" w:rsidRDefault="00BB43C1" w:rsidP="00BB43C1">
      <w:pPr>
        <w:pStyle w:val="a3"/>
        <w:numPr>
          <w:ilvl w:val="0"/>
          <w:numId w:val="1"/>
        </w:numPr>
        <w:spacing w:after="0" w:line="360" w:lineRule="auto"/>
        <w:jc w:val="both"/>
        <w:rPr>
          <w:rFonts w:ascii="Times New Roman" w:hAnsi="Times New Roman" w:cs="David"/>
          <w:sz w:val="24"/>
          <w:szCs w:val="24"/>
        </w:rPr>
      </w:pPr>
      <w:r w:rsidRPr="00C45730">
        <w:rPr>
          <w:rFonts w:ascii="Times New Roman" w:hAnsi="Times New Roman" w:cs="David"/>
          <w:b/>
          <w:bCs/>
          <w:sz w:val="24"/>
          <w:szCs w:val="24"/>
          <w:rtl/>
        </w:rPr>
        <w:t>המדיניות הפיסקלית:</w:t>
      </w:r>
      <w:r w:rsidRPr="00C45730">
        <w:rPr>
          <w:rFonts w:ascii="Times New Roman" w:hAnsi="Times New Roman" w:cs="David" w:hint="cs"/>
          <w:sz w:val="24"/>
          <w:szCs w:val="24"/>
          <w:rtl/>
        </w:rPr>
        <w:t xml:space="preserve"> בתחילת התקופה הנסקרת הועלה יעד הג</w:t>
      </w:r>
      <w:r>
        <w:rPr>
          <w:rFonts w:ascii="Times New Roman" w:hAnsi="Times New Roman" w:cs="David" w:hint="cs"/>
          <w:sz w:val="24"/>
          <w:szCs w:val="24"/>
          <w:rtl/>
        </w:rPr>
        <w:t>י</w:t>
      </w:r>
      <w:r w:rsidRPr="00C45730">
        <w:rPr>
          <w:rFonts w:ascii="Times New Roman" w:hAnsi="Times New Roman" w:cs="David" w:hint="cs"/>
          <w:sz w:val="24"/>
          <w:szCs w:val="24"/>
          <w:rtl/>
        </w:rPr>
        <w:t xml:space="preserve">רעון של הממשלה במסגרת </w:t>
      </w:r>
      <w:r>
        <w:rPr>
          <w:rFonts w:ascii="Times New Roman" w:hAnsi="Times New Roman" w:cs="David" w:hint="cs"/>
          <w:sz w:val="24"/>
          <w:szCs w:val="24"/>
          <w:rtl/>
        </w:rPr>
        <w:t>אישור</w:t>
      </w:r>
      <w:r w:rsidRPr="00C45730">
        <w:rPr>
          <w:rFonts w:ascii="Times New Roman" w:hAnsi="Times New Roman" w:cs="David" w:hint="cs"/>
          <w:sz w:val="24"/>
          <w:szCs w:val="24"/>
          <w:rtl/>
        </w:rPr>
        <w:t xml:space="preserve"> </w:t>
      </w:r>
      <w:r>
        <w:rPr>
          <w:rFonts w:ascii="Times New Roman" w:hAnsi="Times New Roman" w:cs="David" w:hint="cs"/>
          <w:sz w:val="24"/>
          <w:szCs w:val="24"/>
          <w:rtl/>
        </w:rPr>
        <w:t>ה</w:t>
      </w:r>
      <w:r w:rsidRPr="00C45730">
        <w:rPr>
          <w:rFonts w:ascii="Times New Roman" w:hAnsi="Times New Roman" w:cs="David" w:hint="cs"/>
          <w:sz w:val="24"/>
          <w:szCs w:val="24"/>
          <w:rtl/>
        </w:rPr>
        <w:t>תקציב</w:t>
      </w:r>
      <w:r>
        <w:rPr>
          <w:rFonts w:ascii="Times New Roman" w:hAnsi="Times New Roman" w:cs="David" w:hint="cs"/>
          <w:sz w:val="24"/>
          <w:szCs w:val="24"/>
          <w:rtl/>
        </w:rPr>
        <w:t>,</w:t>
      </w:r>
      <w:r w:rsidRPr="00C45730">
        <w:rPr>
          <w:rFonts w:ascii="Times New Roman" w:hAnsi="Times New Roman" w:cs="David" w:hint="cs"/>
          <w:sz w:val="24"/>
          <w:szCs w:val="24"/>
          <w:rtl/>
        </w:rPr>
        <w:t xml:space="preserve"> </w:t>
      </w:r>
      <w:r>
        <w:rPr>
          <w:rFonts w:ascii="Times New Roman" w:hAnsi="Times New Roman" w:cs="David" w:hint="cs"/>
          <w:sz w:val="24"/>
          <w:szCs w:val="24"/>
          <w:rtl/>
        </w:rPr>
        <w:t>ו</w:t>
      </w:r>
      <w:r w:rsidRPr="00C45730">
        <w:rPr>
          <w:rFonts w:ascii="Times New Roman" w:hAnsi="Times New Roman" w:cs="David" w:hint="cs"/>
          <w:sz w:val="24"/>
          <w:szCs w:val="24"/>
          <w:rtl/>
        </w:rPr>
        <w:t xml:space="preserve">במהלך התקופה </w:t>
      </w:r>
      <w:r>
        <w:rPr>
          <w:rFonts w:ascii="Times New Roman" w:hAnsi="Times New Roman" w:cs="David" w:hint="cs"/>
          <w:sz w:val="24"/>
          <w:szCs w:val="24"/>
          <w:rtl/>
        </w:rPr>
        <w:t>ההערכה הייתה כי הגירעון שיירשם בסוף 2013 יהיה נמוך מהתקרה של 4.65 אחוזי תוצר שנקבעה בעת אישור התקציב. בהתחשב בכך הממשלה החליטה, בסוף נובמבר, לבטל את התוכנית להעלות את מס ההכנסה ב</w:t>
      </w:r>
      <w:r w:rsidRPr="00C45730">
        <w:rPr>
          <w:rFonts w:ascii="Times New Roman" w:hAnsi="Times New Roman" w:cs="David" w:hint="cs"/>
          <w:sz w:val="24"/>
          <w:szCs w:val="24"/>
          <w:rtl/>
        </w:rPr>
        <w:t>תחילת 2014</w:t>
      </w:r>
      <w:r>
        <w:rPr>
          <w:rFonts w:ascii="Times New Roman" w:hAnsi="Times New Roman" w:cs="David" w:hint="cs"/>
          <w:sz w:val="24"/>
          <w:szCs w:val="24"/>
          <w:rtl/>
        </w:rPr>
        <w:t>, ובמקביל לכך להפחית את ההוצאה המתוכננת לשנת 2014 בסעיף הרזרבה והריבית</w:t>
      </w:r>
      <w:r w:rsidRPr="00C45730">
        <w:rPr>
          <w:rFonts w:ascii="Times New Roman" w:hAnsi="Times New Roman" w:cs="David" w:hint="cs"/>
          <w:sz w:val="24"/>
          <w:szCs w:val="24"/>
          <w:rtl/>
        </w:rPr>
        <w:t xml:space="preserve">. </w:t>
      </w:r>
      <w:r>
        <w:rPr>
          <w:rFonts w:ascii="Times New Roman" w:hAnsi="Times New Roman" w:cs="David" w:hint="cs"/>
          <w:sz w:val="24"/>
          <w:szCs w:val="24"/>
          <w:rtl/>
        </w:rPr>
        <w:t>הפער בין הגירעון לתקרה</w:t>
      </w:r>
      <w:r w:rsidRPr="00C45730">
        <w:rPr>
          <w:rFonts w:ascii="Times New Roman" w:hAnsi="Times New Roman" w:cs="David" w:hint="cs"/>
          <w:sz w:val="24"/>
          <w:szCs w:val="24"/>
          <w:rtl/>
        </w:rPr>
        <w:t xml:space="preserve"> </w:t>
      </w:r>
      <w:r>
        <w:rPr>
          <w:rFonts w:ascii="Times New Roman" w:hAnsi="Times New Roman" w:cs="David" w:hint="cs"/>
          <w:sz w:val="24"/>
          <w:szCs w:val="24"/>
          <w:rtl/>
        </w:rPr>
        <w:t>נבע</w:t>
      </w:r>
      <w:r w:rsidRPr="00C45730">
        <w:rPr>
          <w:rFonts w:ascii="Times New Roman" w:hAnsi="Times New Roman" w:cs="David" w:hint="cs"/>
          <w:sz w:val="24"/>
          <w:szCs w:val="24"/>
          <w:rtl/>
        </w:rPr>
        <w:t xml:space="preserve"> </w:t>
      </w:r>
      <w:r>
        <w:rPr>
          <w:rFonts w:ascii="Times New Roman" w:hAnsi="Times New Roman" w:cs="David" w:hint="cs"/>
          <w:sz w:val="24"/>
          <w:szCs w:val="24"/>
          <w:rtl/>
        </w:rPr>
        <w:t>בעיקר מצמצום של הגידול ב</w:t>
      </w:r>
      <w:r w:rsidRPr="00C45730">
        <w:rPr>
          <w:rFonts w:ascii="Times New Roman" w:hAnsi="Times New Roman" w:cs="David" w:hint="cs"/>
          <w:sz w:val="24"/>
          <w:szCs w:val="24"/>
          <w:rtl/>
        </w:rPr>
        <w:t>הוצאות</w:t>
      </w:r>
      <w:r>
        <w:rPr>
          <w:rFonts w:ascii="Times New Roman" w:hAnsi="Times New Roman" w:cs="David" w:hint="cs"/>
          <w:sz w:val="24"/>
          <w:szCs w:val="24"/>
          <w:rtl/>
        </w:rPr>
        <w:t xml:space="preserve">, יחסית לגידול </w:t>
      </w:r>
      <w:r w:rsidRPr="00C45730">
        <w:rPr>
          <w:rFonts w:ascii="Times New Roman" w:hAnsi="Times New Roman" w:cs="David" w:hint="cs"/>
          <w:sz w:val="24"/>
          <w:szCs w:val="24"/>
          <w:rtl/>
        </w:rPr>
        <w:t xml:space="preserve"> שאושר</w:t>
      </w:r>
      <w:r>
        <w:rPr>
          <w:rFonts w:ascii="Times New Roman" w:hAnsi="Times New Roman" w:cs="David" w:hint="cs"/>
          <w:sz w:val="24"/>
          <w:szCs w:val="24"/>
          <w:rtl/>
        </w:rPr>
        <w:t>,</w:t>
      </w:r>
      <w:r w:rsidRPr="00C45730">
        <w:rPr>
          <w:rFonts w:ascii="Times New Roman" w:hAnsi="Times New Roman" w:cs="David" w:hint="cs"/>
          <w:sz w:val="24"/>
          <w:szCs w:val="24"/>
          <w:rtl/>
        </w:rPr>
        <w:t xml:space="preserve"> </w:t>
      </w:r>
      <w:r>
        <w:rPr>
          <w:rFonts w:ascii="Times New Roman" w:hAnsi="Times New Roman" w:cs="David" w:hint="cs"/>
          <w:sz w:val="24"/>
          <w:szCs w:val="24"/>
          <w:rtl/>
        </w:rPr>
        <w:t>ומתקבולי מסים חד-פעמיים.</w:t>
      </w:r>
    </w:p>
    <w:p w:rsidR="0099069C" w:rsidRDefault="00BB43C1" w:rsidP="006E3F4B">
      <w:pPr>
        <w:pStyle w:val="a3"/>
        <w:numPr>
          <w:ilvl w:val="0"/>
          <w:numId w:val="1"/>
        </w:numPr>
        <w:spacing w:line="360" w:lineRule="auto"/>
        <w:jc w:val="both"/>
      </w:pPr>
      <w:r w:rsidRPr="006E3F4B">
        <w:rPr>
          <w:rFonts w:ascii="Times New Roman" w:hAnsi="Times New Roman" w:cs="David"/>
          <w:b/>
          <w:bCs/>
          <w:sz w:val="24"/>
          <w:szCs w:val="24"/>
          <w:rtl/>
        </w:rPr>
        <w:t>התחזית:</w:t>
      </w:r>
      <w:r w:rsidRPr="006E3F4B">
        <w:rPr>
          <w:rFonts w:ascii="Times New Roman" w:hAnsi="Times New Roman" w:cs="David" w:hint="cs"/>
          <w:sz w:val="24"/>
          <w:szCs w:val="24"/>
          <w:rtl/>
        </w:rPr>
        <w:t xml:space="preserve"> </w:t>
      </w:r>
      <w:r w:rsidRPr="006E3F4B">
        <w:rPr>
          <w:rFonts w:ascii="Times New Roman" w:hAnsi="Times New Roman" w:cs="David"/>
          <w:sz w:val="24"/>
          <w:szCs w:val="24"/>
          <w:rtl/>
        </w:rPr>
        <w:t xml:space="preserve">לפי התחזית </w:t>
      </w:r>
      <w:r w:rsidRPr="006E3F4B">
        <w:rPr>
          <w:rFonts w:ascii="Times New Roman" w:hAnsi="Times New Roman" w:cs="David" w:hint="cs"/>
          <w:sz w:val="24"/>
          <w:szCs w:val="24"/>
          <w:rtl/>
        </w:rPr>
        <w:t>שערכה</w:t>
      </w:r>
      <w:r w:rsidRPr="006E3F4B">
        <w:rPr>
          <w:rFonts w:ascii="Times New Roman" w:hAnsi="Times New Roman" w:cs="David"/>
          <w:sz w:val="24"/>
          <w:szCs w:val="24"/>
          <w:rtl/>
        </w:rPr>
        <w:t xml:space="preserve"> חטיבת המחקר</w:t>
      </w:r>
      <w:r w:rsidRPr="006E3F4B">
        <w:rPr>
          <w:rFonts w:ascii="Times New Roman" w:hAnsi="Times New Roman" w:cs="David" w:hint="cs"/>
          <w:sz w:val="24"/>
          <w:szCs w:val="24"/>
          <w:rtl/>
        </w:rPr>
        <w:t xml:space="preserve"> </w:t>
      </w:r>
      <w:r w:rsidRPr="006E3F4B">
        <w:rPr>
          <w:rFonts w:ascii="Times New Roman" w:hAnsi="Times New Roman" w:cs="David"/>
          <w:sz w:val="24"/>
          <w:szCs w:val="24"/>
          <w:rtl/>
        </w:rPr>
        <w:t xml:space="preserve">בסוף </w:t>
      </w:r>
      <w:r w:rsidRPr="006E3F4B">
        <w:rPr>
          <w:rFonts w:ascii="Times New Roman" w:hAnsi="Times New Roman" w:cs="David" w:hint="cs"/>
          <w:sz w:val="24"/>
          <w:szCs w:val="24"/>
          <w:rtl/>
        </w:rPr>
        <w:t>דצמבר</w:t>
      </w:r>
      <w:r w:rsidRPr="006E3F4B">
        <w:rPr>
          <w:rFonts w:ascii="Times New Roman" w:hAnsi="Times New Roman" w:cs="David"/>
          <w:sz w:val="24"/>
          <w:szCs w:val="24"/>
          <w:rtl/>
        </w:rPr>
        <w:t xml:space="preserve"> 2013, האינפלציה בארבעת הרבעונים הבאים צפויה </w:t>
      </w:r>
      <w:r w:rsidRPr="006E3F4B">
        <w:rPr>
          <w:rFonts w:ascii="Times New Roman" w:hAnsi="Times New Roman" w:cs="David" w:hint="cs"/>
          <w:sz w:val="24"/>
          <w:szCs w:val="24"/>
          <w:rtl/>
        </w:rPr>
        <w:t>להימצא</w:t>
      </w:r>
      <w:r w:rsidRPr="006E3F4B">
        <w:rPr>
          <w:rFonts w:ascii="Times New Roman" w:hAnsi="Times New Roman" w:cs="David"/>
          <w:sz w:val="24"/>
          <w:szCs w:val="24"/>
          <w:rtl/>
        </w:rPr>
        <w:t xml:space="preserve"> במרכז</w:t>
      </w:r>
      <w:r w:rsidRPr="006E3F4B">
        <w:rPr>
          <w:rFonts w:ascii="Times New Roman" w:hAnsi="Times New Roman" w:cs="David" w:hint="cs"/>
          <w:sz w:val="24"/>
          <w:szCs w:val="24"/>
          <w:rtl/>
        </w:rPr>
        <w:t>ו של טווח</w:t>
      </w:r>
      <w:r w:rsidRPr="006E3F4B">
        <w:rPr>
          <w:rFonts w:ascii="Times New Roman" w:hAnsi="Times New Roman" w:cs="David"/>
          <w:sz w:val="24"/>
          <w:szCs w:val="24"/>
          <w:rtl/>
        </w:rPr>
        <w:t xml:space="preserve"> היעד</w:t>
      </w:r>
      <w:r w:rsidRPr="006E3F4B">
        <w:rPr>
          <w:rFonts w:ascii="Times New Roman" w:hAnsi="Times New Roman" w:cs="David" w:hint="cs"/>
          <w:sz w:val="24"/>
          <w:szCs w:val="24"/>
          <w:rtl/>
        </w:rPr>
        <w:t xml:space="preserve">. </w:t>
      </w:r>
      <w:r w:rsidRPr="006E3F4B">
        <w:rPr>
          <w:rFonts w:ascii="Times New Roman" w:hAnsi="Times New Roman" w:cs="David"/>
          <w:sz w:val="24"/>
          <w:szCs w:val="24"/>
          <w:rtl/>
        </w:rPr>
        <w:t>ריבית בנק ישראל צפויה להי</w:t>
      </w:r>
      <w:r w:rsidRPr="006E3F4B">
        <w:rPr>
          <w:rFonts w:ascii="Times New Roman" w:hAnsi="Times New Roman" w:cs="David" w:hint="cs"/>
          <w:sz w:val="24"/>
          <w:szCs w:val="24"/>
          <w:rtl/>
        </w:rPr>
        <w:t>וותר</w:t>
      </w:r>
      <w:r w:rsidRPr="006E3F4B">
        <w:rPr>
          <w:rFonts w:ascii="Times New Roman" w:hAnsi="Times New Roman" w:cs="David"/>
          <w:sz w:val="24"/>
          <w:szCs w:val="24"/>
          <w:rtl/>
        </w:rPr>
        <w:t xml:space="preserve"> ברמתה הנוכחית</w:t>
      </w:r>
      <w:r w:rsidRPr="006E3F4B">
        <w:rPr>
          <w:rFonts w:ascii="Times New Roman" w:hAnsi="Times New Roman" w:cs="David" w:hint="cs"/>
          <w:sz w:val="24"/>
          <w:szCs w:val="24"/>
          <w:rtl/>
        </w:rPr>
        <w:t xml:space="preserve"> עד למחצית השנייה של 2014, וברבעון האחרון של 2014 היא צפויה לעמוד על 1.25 אחוזים</w:t>
      </w:r>
      <w:r w:rsidRPr="006E3F4B">
        <w:rPr>
          <w:rFonts w:ascii="Times New Roman" w:hAnsi="Times New Roman" w:cs="David"/>
          <w:sz w:val="24"/>
          <w:szCs w:val="24"/>
          <w:rtl/>
        </w:rPr>
        <w:t xml:space="preserve">. </w:t>
      </w:r>
      <w:r w:rsidRPr="006E3F4B">
        <w:rPr>
          <w:rFonts w:ascii="Times New Roman" w:hAnsi="Times New Roman" w:cs="David" w:hint="cs"/>
          <w:sz w:val="24"/>
          <w:szCs w:val="24"/>
          <w:rtl/>
        </w:rPr>
        <w:t>צמיחת התוצר ב-</w:t>
      </w:r>
      <w:r w:rsidRPr="006E3F4B">
        <w:rPr>
          <w:rFonts w:ascii="Times New Roman" w:hAnsi="Times New Roman" w:cs="David"/>
          <w:sz w:val="24"/>
          <w:szCs w:val="24"/>
          <w:rtl/>
        </w:rPr>
        <w:t xml:space="preserve">2013 </w:t>
      </w:r>
      <w:r w:rsidRPr="006E3F4B">
        <w:rPr>
          <w:rFonts w:ascii="Times New Roman" w:hAnsi="Times New Roman" w:cs="David" w:hint="cs"/>
          <w:sz w:val="24"/>
          <w:szCs w:val="24"/>
          <w:rtl/>
        </w:rPr>
        <w:t>צפויה לעמוד על 3.5 אחוזים (ועל 2.6 אחוזים בניכוי ההשפעה של הפקת הגז מקידוח "תמר"). תחזית צמיחה זו דומה לתחזית הצמיחה בתחזית הקודמת של חטיבת המחקר (מספטמבר). התחזית לגבי צמיחת התוצר ב-2014 וב-2015, בניכוי התרומה של הפקת הגז, התעדכנה כלפי מעלה תוך עדכון כלפי מעלה של הצריכה הפרטית והיצוא, וזאת כתוצאה משיפור בהערכות לגבי הצמיחה העולמית ומביטול התוכנית להעלות את מס ההכנסה בתחילת 2014.</w:t>
      </w:r>
      <w:r w:rsidRPr="006E3F4B">
        <w:rPr>
          <w:rFonts w:ascii="Times New Roman" w:hAnsi="Times New Roman" w:cs="David"/>
          <w:color w:val="3366FF"/>
          <w:sz w:val="28"/>
          <w:szCs w:val="28"/>
          <w:rtl/>
        </w:rPr>
        <w:t xml:space="preserve"> </w:t>
      </w:r>
    </w:p>
    <w:sectPr w:rsidR="0099069C" w:rsidSect="006E3F4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340" w:footer="34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F4B" w:rsidRDefault="006E3F4B" w:rsidP="006E3F4B">
      <w:pPr>
        <w:spacing w:after="0" w:line="240" w:lineRule="auto"/>
      </w:pPr>
      <w:r>
        <w:separator/>
      </w:r>
    </w:p>
  </w:endnote>
  <w:endnote w:type="continuationSeparator" w:id="0">
    <w:p w:rsidR="006E3F4B" w:rsidRDefault="006E3F4B" w:rsidP="006E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71" w:rsidRDefault="008B457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lang w:val="he-IL"/>
      </w:rPr>
      <w:id w:val="2107456696"/>
      <w:docPartObj>
        <w:docPartGallery w:val="Page Numbers (Bottom of Page)"/>
        <w:docPartUnique/>
      </w:docPartObj>
    </w:sdtPr>
    <w:sdtEndPr>
      <w:rPr>
        <w:cs/>
        <w:lang w:val="en-US"/>
      </w:rPr>
    </w:sdtEndPr>
    <w:sdtContent>
      <w:sdt>
        <w:sdtPr>
          <w:rPr>
            <w:rFonts w:cs="David"/>
            <w:sz w:val="18"/>
            <w:szCs w:val="18"/>
            <w:rtl/>
            <w:lang w:val="he-IL"/>
          </w:rPr>
          <w:id w:val="860082579"/>
          <w:docPartObj>
            <w:docPartGallery w:val="Page Numbers (Top of Page)"/>
            <w:docPartUnique/>
          </w:docPartObj>
        </w:sdtPr>
        <w:sdtEndPr>
          <w:rPr>
            <w:lang w:val="en-US"/>
          </w:rPr>
        </w:sdtEndPr>
        <w:sdtContent>
          <w:p w:rsidR="006E3F4B" w:rsidRPr="006E3F4B" w:rsidRDefault="006E3F4B" w:rsidP="006E3F4B">
            <w:pPr>
              <w:spacing w:after="0" w:line="360" w:lineRule="auto"/>
              <w:ind w:left="-483"/>
              <w:jc w:val="center"/>
              <w:rPr>
                <w:rFonts w:cs="David"/>
                <w:sz w:val="18"/>
                <w:szCs w:val="18"/>
                <w:cs/>
              </w:rPr>
            </w:pPr>
            <w:r>
              <w:rPr>
                <w:rFonts w:cs="David" w:hint="cs"/>
                <w:sz w:val="18"/>
                <w:szCs w:val="18"/>
                <w:rtl/>
                <w:cs/>
                <w:lang w:val="he-IL"/>
              </w:rPr>
              <w:t xml:space="preserve">בנק ישראל </w:t>
            </w:r>
            <w:r>
              <w:rPr>
                <w:rFonts w:cs="David"/>
                <w:sz w:val="18"/>
                <w:szCs w:val="18"/>
                <w:rtl/>
                <w:lang w:val="he-IL"/>
              </w:rPr>
              <w:t>–</w:t>
            </w:r>
            <w:r>
              <w:rPr>
                <w:rFonts w:cs="David" w:hint="cs"/>
                <w:sz w:val="18"/>
                <w:szCs w:val="18"/>
                <w:rtl/>
                <w:cs/>
                <w:lang w:val="he-IL"/>
              </w:rPr>
              <w:t xml:space="preserve"> </w:t>
            </w:r>
            <w:r>
              <w:rPr>
                <w:rFonts w:cs="David" w:hint="cs"/>
                <w:sz w:val="18"/>
                <w:szCs w:val="18"/>
                <w:rtl/>
                <w:lang w:val="he-IL"/>
              </w:rPr>
              <w:t xml:space="preserve">תקציר </w:t>
            </w:r>
            <w:r w:rsidRPr="006E3F4B">
              <w:rPr>
                <w:rFonts w:cs="David" w:hint="cs"/>
                <w:sz w:val="18"/>
                <w:szCs w:val="18"/>
                <w:rtl/>
                <w:lang w:val="he-IL"/>
              </w:rPr>
              <w:t>דוח המדיניות המוניטרית למחצית השנייה של 2013</w:t>
            </w:r>
            <w:r>
              <w:rPr>
                <w:rFonts w:cs="David" w:hint="cs"/>
                <w:sz w:val="18"/>
                <w:szCs w:val="18"/>
                <w:rtl/>
                <w:cs/>
                <w:lang w:val="he-IL"/>
              </w:rPr>
              <w:tab/>
            </w:r>
            <w:r>
              <w:rPr>
                <w:rFonts w:cs="David" w:hint="cs"/>
                <w:sz w:val="18"/>
                <w:szCs w:val="18"/>
                <w:rtl/>
                <w:cs/>
                <w:lang w:val="he-IL"/>
              </w:rPr>
              <w:tab/>
            </w:r>
            <w:r>
              <w:rPr>
                <w:rFonts w:cs="David" w:hint="cs"/>
                <w:sz w:val="18"/>
                <w:szCs w:val="18"/>
                <w:rtl/>
                <w:cs/>
                <w:lang w:val="he-IL"/>
              </w:rPr>
              <w:tab/>
            </w:r>
            <w:r>
              <w:rPr>
                <w:rFonts w:cs="David" w:hint="cs"/>
                <w:sz w:val="18"/>
                <w:szCs w:val="18"/>
                <w:rtl/>
                <w:cs/>
                <w:lang w:val="he-IL"/>
              </w:rPr>
              <w:tab/>
            </w:r>
            <w:r>
              <w:rPr>
                <w:rFonts w:cs="David" w:hint="cs"/>
                <w:sz w:val="18"/>
                <w:szCs w:val="18"/>
                <w:rtl/>
                <w:cs/>
                <w:lang w:val="he-IL"/>
              </w:rPr>
              <w:tab/>
            </w:r>
            <w:r w:rsidRPr="006E3F4B">
              <w:rPr>
                <w:rFonts w:cs="David"/>
                <w:sz w:val="18"/>
                <w:szCs w:val="18"/>
                <w:rtl/>
                <w:cs/>
                <w:lang w:val="he-IL"/>
              </w:rPr>
              <w:t xml:space="preserve">עמוד </w:t>
            </w:r>
            <w:r w:rsidRPr="006E3F4B">
              <w:rPr>
                <w:rFonts w:cs="David"/>
                <w:b/>
                <w:bCs/>
                <w:sz w:val="18"/>
                <w:szCs w:val="18"/>
              </w:rPr>
              <w:fldChar w:fldCharType="begin"/>
            </w:r>
            <w:r w:rsidRPr="006E3F4B">
              <w:rPr>
                <w:rFonts w:cs="David"/>
                <w:b/>
                <w:bCs/>
                <w:sz w:val="18"/>
                <w:szCs w:val="18"/>
                <w:cs/>
              </w:rPr>
              <w:instrText>PAGE</w:instrText>
            </w:r>
            <w:r w:rsidRPr="006E3F4B">
              <w:rPr>
                <w:rFonts w:cs="David"/>
                <w:b/>
                <w:bCs/>
                <w:sz w:val="18"/>
                <w:szCs w:val="18"/>
              </w:rPr>
              <w:fldChar w:fldCharType="separate"/>
            </w:r>
            <w:r w:rsidR="00CA2DA9">
              <w:rPr>
                <w:rFonts w:cs="David"/>
                <w:b/>
                <w:bCs/>
                <w:noProof/>
                <w:sz w:val="18"/>
                <w:szCs w:val="18"/>
                <w:rtl/>
              </w:rPr>
              <w:t>1</w:t>
            </w:r>
            <w:r w:rsidRPr="006E3F4B">
              <w:rPr>
                <w:rFonts w:cs="David"/>
                <w:b/>
                <w:bCs/>
                <w:sz w:val="18"/>
                <w:szCs w:val="18"/>
              </w:rPr>
              <w:fldChar w:fldCharType="end"/>
            </w:r>
            <w:r w:rsidRPr="006E3F4B">
              <w:rPr>
                <w:rFonts w:cs="David"/>
                <w:sz w:val="18"/>
                <w:szCs w:val="18"/>
                <w:rtl/>
                <w:cs/>
                <w:lang w:val="he-IL"/>
              </w:rPr>
              <w:t xml:space="preserve"> מתוך </w:t>
            </w:r>
            <w:r w:rsidRPr="006E3F4B">
              <w:rPr>
                <w:rFonts w:cs="David"/>
                <w:b/>
                <w:bCs/>
                <w:sz w:val="18"/>
                <w:szCs w:val="18"/>
              </w:rPr>
              <w:fldChar w:fldCharType="begin"/>
            </w:r>
            <w:r w:rsidRPr="006E3F4B">
              <w:rPr>
                <w:rFonts w:cs="David"/>
                <w:b/>
                <w:bCs/>
                <w:sz w:val="18"/>
                <w:szCs w:val="18"/>
                <w:cs/>
              </w:rPr>
              <w:instrText>NUMPAGES</w:instrText>
            </w:r>
            <w:r w:rsidRPr="006E3F4B">
              <w:rPr>
                <w:rFonts w:cs="David"/>
                <w:b/>
                <w:bCs/>
                <w:sz w:val="18"/>
                <w:szCs w:val="18"/>
              </w:rPr>
              <w:fldChar w:fldCharType="separate"/>
            </w:r>
            <w:r w:rsidR="00CA2DA9">
              <w:rPr>
                <w:rFonts w:cs="David"/>
                <w:b/>
                <w:bCs/>
                <w:noProof/>
                <w:sz w:val="18"/>
                <w:szCs w:val="18"/>
                <w:rtl/>
              </w:rPr>
              <w:t>2</w:t>
            </w:r>
            <w:r w:rsidRPr="006E3F4B">
              <w:rPr>
                <w:rFonts w:cs="David"/>
                <w:b/>
                <w:bCs/>
                <w:sz w:val="18"/>
                <w:szCs w:val="18"/>
              </w:rPr>
              <w:fldChar w:fldCharType="end"/>
            </w:r>
          </w:p>
        </w:sdtContent>
      </w:sdt>
    </w:sdtContent>
  </w:sdt>
  <w:p w:rsidR="006E3F4B" w:rsidRDefault="006E3F4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71" w:rsidRDefault="008B45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F4B" w:rsidRDefault="006E3F4B" w:rsidP="006E3F4B">
      <w:pPr>
        <w:spacing w:after="0" w:line="240" w:lineRule="auto"/>
      </w:pPr>
      <w:r>
        <w:separator/>
      </w:r>
    </w:p>
  </w:footnote>
  <w:footnote w:type="continuationSeparator" w:id="0">
    <w:p w:rsidR="006E3F4B" w:rsidRDefault="006E3F4B" w:rsidP="006E3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71" w:rsidRDefault="008B457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71" w:rsidRDefault="008B457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71" w:rsidRDefault="008B45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425EF"/>
    <w:multiLevelType w:val="hybridMultilevel"/>
    <w:tmpl w:val="0864206A"/>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2FF8A704">
      <w:start w:val="1"/>
      <w:numFmt w:val="bullet"/>
      <w:lvlText w:val=""/>
      <w:lvlJc w:val="left"/>
      <w:pPr>
        <w:ind w:left="2520" w:hanging="360"/>
      </w:pPr>
      <w:rPr>
        <w:rFonts w:ascii="Wingdings" w:hAnsi="Wingdings" w:hint="default"/>
        <w:lang w:bidi="he-IL"/>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C1"/>
    <w:rsid w:val="006A5631"/>
    <w:rsid w:val="006E3F4B"/>
    <w:rsid w:val="008B4571"/>
    <w:rsid w:val="00AB4BBF"/>
    <w:rsid w:val="00BB43C1"/>
    <w:rsid w:val="00C35C47"/>
    <w:rsid w:val="00CA2D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3C1"/>
    <w:pPr>
      <w:ind w:left="720"/>
      <w:contextualSpacing/>
    </w:pPr>
  </w:style>
  <w:style w:type="paragraph" w:styleId="a4">
    <w:name w:val="Balloon Text"/>
    <w:basedOn w:val="a"/>
    <w:link w:val="a5"/>
    <w:uiPriority w:val="99"/>
    <w:semiHidden/>
    <w:unhideWhenUsed/>
    <w:rsid w:val="006E3F4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E3F4B"/>
    <w:rPr>
      <w:rFonts w:ascii="Tahoma" w:eastAsia="Calibri" w:hAnsi="Tahoma" w:cs="Tahoma"/>
      <w:sz w:val="16"/>
      <w:szCs w:val="16"/>
    </w:rPr>
  </w:style>
  <w:style w:type="paragraph" w:styleId="a6">
    <w:name w:val="header"/>
    <w:basedOn w:val="a"/>
    <w:link w:val="a7"/>
    <w:uiPriority w:val="99"/>
    <w:unhideWhenUsed/>
    <w:rsid w:val="006E3F4B"/>
    <w:pPr>
      <w:tabs>
        <w:tab w:val="center" w:pos="4153"/>
        <w:tab w:val="right" w:pos="8306"/>
      </w:tabs>
      <w:spacing w:after="0" w:line="240" w:lineRule="auto"/>
    </w:pPr>
  </w:style>
  <w:style w:type="character" w:customStyle="1" w:styleId="a7">
    <w:name w:val="כותרת עליונה תו"/>
    <w:basedOn w:val="a0"/>
    <w:link w:val="a6"/>
    <w:uiPriority w:val="99"/>
    <w:rsid w:val="006E3F4B"/>
    <w:rPr>
      <w:rFonts w:ascii="Calibri" w:eastAsia="Calibri" w:hAnsi="Calibri" w:cs="Arial"/>
    </w:rPr>
  </w:style>
  <w:style w:type="paragraph" w:styleId="a8">
    <w:name w:val="footer"/>
    <w:basedOn w:val="a"/>
    <w:link w:val="a9"/>
    <w:uiPriority w:val="99"/>
    <w:unhideWhenUsed/>
    <w:rsid w:val="006E3F4B"/>
    <w:pPr>
      <w:tabs>
        <w:tab w:val="center" w:pos="4153"/>
        <w:tab w:val="right" w:pos="8306"/>
      </w:tabs>
      <w:spacing w:after="0" w:line="240" w:lineRule="auto"/>
    </w:pPr>
  </w:style>
  <w:style w:type="character" w:customStyle="1" w:styleId="a9">
    <w:name w:val="כותרת תחתונה תו"/>
    <w:basedOn w:val="a0"/>
    <w:link w:val="a8"/>
    <w:uiPriority w:val="99"/>
    <w:rsid w:val="006E3F4B"/>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3C1"/>
    <w:pPr>
      <w:ind w:left="720"/>
      <w:contextualSpacing/>
    </w:pPr>
  </w:style>
  <w:style w:type="paragraph" w:styleId="a4">
    <w:name w:val="Balloon Text"/>
    <w:basedOn w:val="a"/>
    <w:link w:val="a5"/>
    <w:uiPriority w:val="99"/>
    <w:semiHidden/>
    <w:unhideWhenUsed/>
    <w:rsid w:val="006E3F4B"/>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E3F4B"/>
    <w:rPr>
      <w:rFonts w:ascii="Tahoma" w:eastAsia="Calibri" w:hAnsi="Tahoma" w:cs="Tahoma"/>
      <w:sz w:val="16"/>
      <w:szCs w:val="16"/>
    </w:rPr>
  </w:style>
  <w:style w:type="paragraph" w:styleId="a6">
    <w:name w:val="header"/>
    <w:basedOn w:val="a"/>
    <w:link w:val="a7"/>
    <w:uiPriority w:val="99"/>
    <w:unhideWhenUsed/>
    <w:rsid w:val="006E3F4B"/>
    <w:pPr>
      <w:tabs>
        <w:tab w:val="center" w:pos="4153"/>
        <w:tab w:val="right" w:pos="8306"/>
      </w:tabs>
      <w:spacing w:after="0" w:line="240" w:lineRule="auto"/>
    </w:pPr>
  </w:style>
  <w:style w:type="character" w:customStyle="1" w:styleId="a7">
    <w:name w:val="כותרת עליונה תו"/>
    <w:basedOn w:val="a0"/>
    <w:link w:val="a6"/>
    <w:uiPriority w:val="99"/>
    <w:rsid w:val="006E3F4B"/>
    <w:rPr>
      <w:rFonts w:ascii="Calibri" w:eastAsia="Calibri" w:hAnsi="Calibri" w:cs="Arial"/>
    </w:rPr>
  </w:style>
  <w:style w:type="paragraph" w:styleId="a8">
    <w:name w:val="footer"/>
    <w:basedOn w:val="a"/>
    <w:link w:val="a9"/>
    <w:uiPriority w:val="99"/>
    <w:unhideWhenUsed/>
    <w:rsid w:val="006E3F4B"/>
    <w:pPr>
      <w:tabs>
        <w:tab w:val="center" w:pos="4153"/>
        <w:tab w:val="right" w:pos="8306"/>
      </w:tabs>
      <w:spacing w:after="0" w:line="240" w:lineRule="auto"/>
    </w:pPr>
  </w:style>
  <w:style w:type="character" w:customStyle="1" w:styleId="a9">
    <w:name w:val="כותרת תחתונה תו"/>
    <w:basedOn w:val="a0"/>
    <w:link w:val="a8"/>
    <w:uiPriority w:val="99"/>
    <w:rsid w:val="006E3F4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3BF0A-A2AF-4D7C-A28F-E168A0291266}"/>
</file>

<file path=customXml/itemProps2.xml><?xml version="1.0" encoding="utf-8"?>
<ds:datastoreItem xmlns:ds="http://schemas.openxmlformats.org/officeDocument/2006/customXml" ds:itemID="{02B4EE03-2AA0-43B5-AEC6-CAD0631B5085}"/>
</file>

<file path=customXml/itemProps3.xml><?xml version="1.0" encoding="utf-8"?>
<ds:datastoreItem xmlns:ds="http://schemas.openxmlformats.org/officeDocument/2006/customXml" ds:itemID="{23B388F3-C187-42B4-B261-10DD798B904D}"/>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4092</Characters>
  <Application>Microsoft Office Word</Application>
  <DocSecurity>0</DocSecurity>
  <Lines>34</Lines>
  <Paragraphs>9</Paragraphs>
  <ScaleCrop>false</ScaleCrop>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2014-02-02T07:32:00Z</dcterms:created>
  <dcterms:modified xsi:type="dcterms:W3CDTF">2014-02-02T07:32:00Z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