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1B" w:rsidRDefault="004C601B" w:rsidP="004C601B">
      <w:pPr>
        <w:bidi/>
        <w:spacing w:before="240" w:after="200"/>
        <w:jc w:val="both"/>
        <w:rPr>
          <w:rFonts w:cs="David" w:hint="default"/>
          <w:rtl/>
          <w:lang w:eastAsia="en-US"/>
        </w:rPr>
      </w:pPr>
    </w:p>
    <w:p w:rsidR="00C50C6E" w:rsidRPr="00D01913" w:rsidRDefault="00C50C6E" w:rsidP="004C601B">
      <w:pPr>
        <w:bidi/>
        <w:spacing w:before="240" w:after="200"/>
        <w:jc w:val="both"/>
        <w:rPr>
          <w:rFonts w:cs="David" w:hint="default"/>
          <w:rtl/>
          <w:lang w:eastAsia="en-US"/>
        </w:rPr>
      </w:pPr>
      <w:r>
        <w:rPr>
          <w:rFonts w:cs="David"/>
          <w:rtl/>
          <w:lang w:eastAsia="en-US"/>
        </w:rPr>
        <w:t>הודעה לעיתונות:</w:t>
      </w:r>
    </w:p>
    <w:tbl>
      <w:tblPr>
        <w:tblpPr w:leftFromText="180" w:rightFromText="180" w:vertAnchor="page" w:horzAnchor="margin" w:tblpXSpec="center" w:tblpY="961"/>
        <w:bidiVisual/>
        <w:tblW w:w="8520" w:type="dxa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5D2021" w:rsidRPr="00D01913" w:rsidTr="008D18F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21" w:rsidRPr="006702C1" w:rsidRDefault="005D2021" w:rsidP="005D2021">
            <w:pPr>
              <w:spacing w:line="360" w:lineRule="auto"/>
              <w:jc w:val="right"/>
              <w:rPr>
                <w:rFonts w:cs="David"/>
                <w:b/>
                <w:bCs/>
              </w:rPr>
            </w:pPr>
            <w:r w:rsidRPr="006702C1">
              <w:rPr>
                <w:rFonts w:cs="David"/>
                <w:b/>
                <w:bCs/>
                <w:rtl/>
              </w:rPr>
              <w:t>בנק ישראל</w:t>
            </w:r>
          </w:p>
          <w:p w:rsidR="005D2021" w:rsidRPr="006702C1" w:rsidRDefault="005D2021" w:rsidP="005D2021">
            <w:pPr>
              <w:spacing w:line="360" w:lineRule="auto"/>
              <w:ind w:right="-101"/>
              <w:jc w:val="right"/>
            </w:pPr>
            <w:r w:rsidRPr="006702C1">
              <w:rPr>
                <w:rFonts w:cs="David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5D2021" w:rsidRPr="006702C1" w:rsidRDefault="005D2021" w:rsidP="005D2021">
            <w:pPr>
              <w:jc w:val="both"/>
              <w:rPr>
                <w:rFonts w:hint="default"/>
              </w:rPr>
            </w:pPr>
            <w:r>
              <w:rPr>
                <w:noProof/>
              </w:rPr>
              <w:drawing>
                <wp:inline distT="0" distB="0" distL="0" distR="0" wp14:anchorId="25F8A1B3" wp14:editId="4E600633">
                  <wp:extent cx="975360" cy="975360"/>
                  <wp:effectExtent l="0" t="0" r="0" b="0"/>
                  <wp:docPr id="1" name="Picture 1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21" w:rsidRPr="008F2F50" w:rsidRDefault="005D2021" w:rsidP="00D706E0">
            <w:pPr>
              <w:spacing w:line="480" w:lineRule="auto"/>
              <w:rPr>
                <w:rFonts w:cs="David"/>
                <w:rtl/>
              </w:rPr>
            </w:pPr>
            <w:r w:rsidRPr="005A5417">
              <w:rPr>
                <w:rFonts w:cs="David" w:hint="eastAsia"/>
                <w:rtl/>
              </w:rPr>
              <w:t>‏</w:t>
            </w:r>
            <w:r w:rsidRPr="008F2F50">
              <w:rPr>
                <w:rFonts w:cs="David"/>
                <w:rtl/>
              </w:rPr>
              <w:t xml:space="preserve">ירושלים, </w:t>
            </w:r>
            <w:r w:rsidRPr="008F2F50">
              <w:rPr>
                <w:rFonts w:cs="David" w:hint="eastAsia"/>
                <w:rtl/>
              </w:rPr>
              <w:t>‏‏כ</w:t>
            </w:r>
            <w:r w:rsidRPr="008F2F50">
              <w:rPr>
                <w:rFonts w:cs="David"/>
                <w:rtl/>
              </w:rPr>
              <w:t>"</w:t>
            </w:r>
            <w:r w:rsidR="00D706E0">
              <w:rPr>
                <w:rFonts w:cs="David"/>
                <w:rtl/>
              </w:rPr>
              <w:t>ט</w:t>
            </w:r>
            <w:r w:rsidRPr="008F2F50">
              <w:rPr>
                <w:rFonts w:cs="David"/>
                <w:rtl/>
              </w:rPr>
              <w:t xml:space="preserve"> אב, תשפ"ג</w:t>
            </w:r>
          </w:p>
          <w:p w:rsidR="005D2021" w:rsidRPr="005A5417" w:rsidRDefault="005D2021" w:rsidP="00D706E0">
            <w:pPr>
              <w:spacing w:line="480" w:lineRule="auto"/>
              <w:rPr>
                <w:rFonts w:cs="David"/>
              </w:rPr>
            </w:pPr>
            <w:r w:rsidRPr="008F2F50">
              <w:rPr>
                <w:rFonts w:cs="David" w:hint="eastAsia"/>
                <w:rtl/>
              </w:rPr>
              <w:t>‏‏</w:t>
            </w:r>
            <w:r w:rsidRPr="008F2F50">
              <w:rPr>
                <w:rFonts w:cs="David"/>
                <w:rtl/>
              </w:rPr>
              <w:t>‏‏</w:t>
            </w:r>
            <w:r w:rsidRPr="008F2F50">
              <w:rPr>
                <w:rFonts w:cs="David" w:hint="eastAsia"/>
                <w:rtl/>
              </w:rPr>
              <w:t>‏‏</w:t>
            </w:r>
            <w:r w:rsidRPr="008F2F50">
              <w:rPr>
                <w:rFonts w:cs="David"/>
                <w:rtl/>
              </w:rPr>
              <w:t>1</w:t>
            </w:r>
            <w:r w:rsidR="00D706E0">
              <w:rPr>
                <w:rFonts w:cs="David"/>
                <w:rtl/>
              </w:rPr>
              <w:t>6</w:t>
            </w:r>
            <w:bookmarkStart w:id="0" w:name="_GoBack"/>
            <w:bookmarkEnd w:id="0"/>
            <w:r w:rsidRPr="008F2F50">
              <w:rPr>
                <w:rFonts w:cs="David"/>
                <w:rtl/>
              </w:rPr>
              <w:t xml:space="preserve"> אוגוסט, 2023</w:t>
            </w:r>
          </w:p>
        </w:tc>
      </w:tr>
    </w:tbl>
    <w:p w:rsidR="00C50C6E" w:rsidRPr="00D8201A" w:rsidRDefault="005B6E3A" w:rsidP="00D8201A">
      <w:pPr>
        <w:bidi/>
        <w:jc w:val="center"/>
        <w:rPr>
          <w:rFonts w:ascii="David" w:hAnsi="David" w:cs="David" w:hint="default"/>
          <w:b/>
          <w:bCs/>
          <w:sz w:val="28"/>
          <w:szCs w:val="28"/>
        </w:rPr>
      </w:pPr>
      <w:r w:rsidRPr="00D8201A">
        <w:rPr>
          <w:rFonts w:ascii="David" w:hAnsi="David" w:cs="David" w:hint="default"/>
          <w:b/>
          <w:bCs/>
          <w:sz w:val="28"/>
          <w:szCs w:val="28"/>
          <w:rtl/>
        </w:rPr>
        <w:t xml:space="preserve">סקירת מחלקת המטבע </w:t>
      </w:r>
      <w:r w:rsidR="00F47AEC" w:rsidRPr="00D8201A">
        <w:rPr>
          <w:rFonts w:ascii="David" w:hAnsi="David" w:cs="David" w:hint="default"/>
          <w:b/>
          <w:bCs/>
          <w:sz w:val="28"/>
          <w:szCs w:val="28"/>
          <w:rtl/>
        </w:rPr>
        <w:t>לשנים 2022-2020</w:t>
      </w:r>
    </w:p>
    <w:p w:rsidR="00AB2E52" w:rsidRPr="00AB2E52" w:rsidRDefault="00AB2E52" w:rsidP="00AB2E52">
      <w:pPr>
        <w:rPr>
          <w:rFonts w:hint="default"/>
        </w:rPr>
      </w:pPr>
    </w:p>
    <w:p w:rsidR="00A111B0" w:rsidRDefault="00A111B0" w:rsidP="00A111B0">
      <w:pPr>
        <w:rPr>
          <w:rFonts w:hint="default"/>
        </w:rPr>
      </w:pPr>
    </w:p>
    <w:p w:rsidR="00A111B0" w:rsidRDefault="00A111B0" w:rsidP="00A111B0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  <w:r>
        <w:rPr>
          <w:rFonts w:ascii="David" w:hAnsi="David" w:cs="David"/>
          <w:b/>
          <w:bCs/>
          <w:rtl/>
        </w:rPr>
        <w:t xml:space="preserve">מנכ"לית בנק ישראל, הגב' שולמית גרי: </w:t>
      </w:r>
    </w:p>
    <w:p w:rsidR="00B8069F" w:rsidRPr="00B8069F" w:rsidRDefault="00B8069F" w:rsidP="00B8069F">
      <w:pPr>
        <w:bidi/>
        <w:spacing w:line="360" w:lineRule="auto"/>
        <w:ind w:right="-57"/>
        <w:jc w:val="both"/>
        <w:rPr>
          <w:rFonts w:ascii="David" w:hAnsi="David" w:cs="David" w:hint="default"/>
        </w:rPr>
      </w:pPr>
      <w:r w:rsidRPr="00B8069F">
        <w:rPr>
          <w:rFonts w:ascii="David" w:hAnsi="David" w:cs="David" w:hint="default"/>
          <w:rtl/>
        </w:rPr>
        <w:t>" כחלק מתפקידו של בנק ישראל להנפיק מטבע ולהסדיר את מערכת המזומנים במשק ולכוונה אנו דואגים להבטיח זמינות ונגישות למזומן לציבור בישראל; כך בהווה ובעתיד.</w:t>
      </w:r>
    </w:p>
    <w:p w:rsidR="00B8069F" w:rsidRPr="00B8069F" w:rsidRDefault="00B8069F" w:rsidP="00B8069F">
      <w:pPr>
        <w:bidi/>
        <w:spacing w:line="360" w:lineRule="auto"/>
        <w:ind w:right="-57"/>
        <w:jc w:val="both"/>
        <w:rPr>
          <w:rFonts w:ascii="David" w:hAnsi="David" w:cs="David" w:hint="default"/>
        </w:rPr>
      </w:pPr>
    </w:p>
    <w:p w:rsidR="00B8069F" w:rsidRDefault="00B8069F" w:rsidP="00B8069F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  <w:r w:rsidRPr="00B8069F">
        <w:rPr>
          <w:rFonts w:ascii="David" w:hAnsi="David" w:cs="David" w:hint="default"/>
          <w:rtl/>
        </w:rPr>
        <w:t>בנק ישראל עושה זאת לצד פיתוח וקידום אמצעי תשלום אחרים, קיימים ועתידיים, כך שלציבור תתאפשר בחירה בין אמצעי התשלום השונים בהתאם להעדפותיו."</w:t>
      </w:r>
    </w:p>
    <w:p w:rsidR="00A111B0" w:rsidRDefault="00A111B0" w:rsidP="00A111B0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</w:p>
    <w:p w:rsidR="00A111B0" w:rsidRPr="007073A0" w:rsidRDefault="00A111B0" w:rsidP="00A111B0">
      <w:pPr>
        <w:bidi/>
        <w:spacing w:line="360" w:lineRule="auto"/>
        <w:ind w:right="-57"/>
        <w:jc w:val="both"/>
        <w:rPr>
          <w:rFonts w:ascii="David" w:hAnsi="David" w:cs="David" w:hint="default"/>
          <w:b/>
          <w:bCs/>
        </w:rPr>
      </w:pPr>
      <w:r w:rsidRPr="007073A0">
        <w:rPr>
          <w:rFonts w:ascii="David" w:hAnsi="David" w:cs="David"/>
          <w:b/>
          <w:bCs/>
          <w:rtl/>
        </w:rPr>
        <w:t xml:space="preserve">מנהלת מחלקת המטבע בבנק ישראל, הגב' לימור גולדשטיין: </w:t>
      </w:r>
    </w:p>
    <w:p w:rsidR="00A111B0" w:rsidRPr="001655FA" w:rsidRDefault="00A111B0" w:rsidP="00EE5B2B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David" w:hint="default"/>
          <w:rtl/>
          <w:lang w:eastAsia="en-US"/>
        </w:rPr>
      </w:pPr>
      <w:r>
        <w:rPr>
          <w:rFonts w:ascii="David" w:hAnsi="David" w:cs="David"/>
          <w:rtl/>
        </w:rPr>
        <w:t>"</w:t>
      </w:r>
      <w:r w:rsidRPr="001655FA">
        <w:rPr>
          <w:rFonts w:ascii="Arial" w:hAnsi="Arial" w:cs="David"/>
          <w:rtl/>
          <w:lang w:eastAsia="en-US"/>
        </w:rPr>
        <w:t xml:space="preserve">תפקידה העיקרי של מחלקת המטבע הוא לספק את הביקוש למזומן </w:t>
      </w:r>
      <w:r w:rsidR="00EE5B2B">
        <w:rPr>
          <w:rFonts w:ascii="Arial" w:hAnsi="Arial" w:cs="David"/>
          <w:rtl/>
          <w:lang w:eastAsia="en-US"/>
        </w:rPr>
        <w:t>ב</w:t>
      </w:r>
      <w:r w:rsidRPr="001655FA">
        <w:rPr>
          <w:rFonts w:ascii="Arial" w:hAnsi="Arial" w:cs="David"/>
          <w:rtl/>
          <w:lang w:eastAsia="en-US"/>
        </w:rPr>
        <w:t xml:space="preserve">שגרה </w:t>
      </w:r>
      <w:r w:rsidR="00EE5B2B">
        <w:rPr>
          <w:rFonts w:ascii="Arial" w:hAnsi="Arial" w:cs="David"/>
          <w:rtl/>
          <w:lang w:eastAsia="en-US"/>
        </w:rPr>
        <w:t>וב</w:t>
      </w:r>
      <w:r w:rsidRPr="001655FA">
        <w:rPr>
          <w:rFonts w:ascii="Arial" w:hAnsi="Arial" w:cs="David"/>
          <w:rtl/>
          <w:lang w:eastAsia="en-US"/>
        </w:rPr>
        <w:t>חירום</w:t>
      </w:r>
      <w:r>
        <w:rPr>
          <w:rFonts w:ascii="Arial" w:hAnsi="Arial" w:cs="David"/>
          <w:rtl/>
          <w:lang w:eastAsia="en-US"/>
        </w:rPr>
        <w:t xml:space="preserve">, תוך </w:t>
      </w:r>
      <w:r w:rsidRPr="00D06C6D">
        <w:rPr>
          <w:rFonts w:ascii="Arial" w:hAnsi="Arial" w:cs="David"/>
          <w:rtl/>
          <w:lang w:eastAsia="en-US"/>
        </w:rPr>
        <w:t>שמירה על איכות השטרות והמעות במחזור וחיזוק אמון הציבור במטבע</w:t>
      </w:r>
      <w:r w:rsidRPr="001655FA">
        <w:rPr>
          <w:rFonts w:ascii="Arial" w:hAnsi="Arial" w:cs="David"/>
          <w:rtl/>
          <w:lang w:eastAsia="en-US"/>
        </w:rPr>
        <w:t xml:space="preserve">. </w:t>
      </w:r>
      <w:r>
        <w:rPr>
          <w:rFonts w:ascii="Arial" w:hAnsi="Arial" w:cs="David"/>
          <w:rtl/>
          <w:lang w:eastAsia="en-US"/>
        </w:rPr>
        <w:t xml:space="preserve"> </w:t>
      </w:r>
      <w:r w:rsidRPr="001655FA">
        <w:rPr>
          <w:rFonts w:ascii="Arial" w:hAnsi="Arial" w:cs="David"/>
          <w:rtl/>
          <w:lang w:eastAsia="en-US"/>
        </w:rPr>
        <w:t>בנק ישראל פועל לוודא שהציבור ימשיך לקבל שירותי מזומן, באיכות נאותה ובאופן בטוח, רציף ותקין ובפריסה ארצית.</w:t>
      </w:r>
      <w:r>
        <w:rPr>
          <w:rFonts w:ascii="Arial" w:hAnsi="Arial" w:cs="David"/>
          <w:rtl/>
          <w:lang w:eastAsia="en-US"/>
        </w:rPr>
        <w:t>"</w:t>
      </w:r>
    </w:p>
    <w:p w:rsidR="00A111B0" w:rsidRDefault="00A111B0" w:rsidP="00A111B0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</w:p>
    <w:p w:rsidR="00D1387D" w:rsidRDefault="002E1718" w:rsidP="007E0D52">
      <w:pPr>
        <w:bidi/>
        <w:spacing w:line="360" w:lineRule="auto"/>
        <w:ind w:right="-57"/>
        <w:jc w:val="both"/>
        <w:rPr>
          <w:rFonts w:cs="David" w:hint="default"/>
          <w:rtl/>
        </w:rPr>
      </w:pPr>
      <w:r>
        <w:rPr>
          <w:rFonts w:cs="David"/>
          <w:rtl/>
        </w:rPr>
        <w:t xml:space="preserve">בנק ישראל מפרסם היום את סקירת מחלקת המטבע </w:t>
      </w:r>
      <w:r w:rsidR="00DA0E2A">
        <w:rPr>
          <w:rFonts w:cs="David"/>
          <w:rtl/>
        </w:rPr>
        <w:t xml:space="preserve">על </w:t>
      </w:r>
      <w:r w:rsidR="00D1387D" w:rsidRPr="00D1387D">
        <w:rPr>
          <w:rFonts w:cs="David"/>
          <w:rtl/>
        </w:rPr>
        <w:t>פעי</w:t>
      </w:r>
      <w:r w:rsidR="00007EB4">
        <w:rPr>
          <w:rFonts w:cs="David"/>
          <w:rtl/>
        </w:rPr>
        <w:t xml:space="preserve">לותה </w:t>
      </w:r>
      <w:r w:rsidR="00D1387D" w:rsidRPr="00D1387D">
        <w:rPr>
          <w:rFonts w:cs="David"/>
          <w:rtl/>
        </w:rPr>
        <w:t>במהלך השנים</w:t>
      </w:r>
      <w:r w:rsidR="000C3588">
        <w:rPr>
          <w:rFonts w:cs="David"/>
          <w:rtl/>
        </w:rPr>
        <w:t xml:space="preserve"> </w:t>
      </w:r>
      <w:r w:rsidR="00DA0E2A">
        <w:rPr>
          <w:rFonts w:cs="David"/>
          <w:rtl/>
        </w:rPr>
        <w:t>2022-2020</w:t>
      </w:r>
      <w:r w:rsidR="00D1387D" w:rsidRPr="00D1387D">
        <w:rPr>
          <w:rFonts w:cs="David"/>
          <w:rtl/>
        </w:rPr>
        <w:t xml:space="preserve">. בין הנושאים הנסקרים: </w:t>
      </w:r>
      <w:r w:rsidR="00495FFD">
        <w:rPr>
          <w:rFonts w:cs="David"/>
          <w:rtl/>
        </w:rPr>
        <w:t>התפתחות מחזור המטבע בשנים אלו</w:t>
      </w:r>
      <w:r w:rsidR="00A4441A">
        <w:rPr>
          <w:rFonts w:cs="David"/>
          <w:rtl/>
        </w:rPr>
        <w:t>;</w:t>
      </w:r>
      <w:r w:rsidR="00495FFD">
        <w:rPr>
          <w:rFonts w:cs="David"/>
          <w:rtl/>
        </w:rPr>
        <w:t xml:space="preserve"> </w:t>
      </w:r>
      <w:r w:rsidR="007647F8">
        <w:rPr>
          <w:rFonts w:cs="David"/>
          <w:rtl/>
        </w:rPr>
        <w:t xml:space="preserve">המענה המערכתי שניתן </w:t>
      </w:r>
      <w:r w:rsidR="00A4441A">
        <w:rPr>
          <w:rFonts w:cs="David"/>
          <w:rtl/>
        </w:rPr>
        <w:t>ל</w:t>
      </w:r>
      <w:r w:rsidR="007647F8">
        <w:rPr>
          <w:rFonts w:cs="David"/>
          <w:rtl/>
        </w:rPr>
        <w:t xml:space="preserve">גידול </w:t>
      </w:r>
      <w:r w:rsidR="00E5104B">
        <w:rPr>
          <w:rFonts w:cs="David"/>
          <w:rtl/>
        </w:rPr>
        <w:t>ב</w:t>
      </w:r>
      <w:r w:rsidR="00E5104B" w:rsidRPr="00D1387D">
        <w:rPr>
          <w:rFonts w:cs="David"/>
          <w:rtl/>
        </w:rPr>
        <w:t xml:space="preserve">ביקוש </w:t>
      </w:r>
      <w:r w:rsidR="00D1387D" w:rsidRPr="00D1387D">
        <w:rPr>
          <w:rFonts w:cs="David"/>
          <w:rtl/>
        </w:rPr>
        <w:t xml:space="preserve">למזומן </w:t>
      </w:r>
      <w:r w:rsidR="00A4441A">
        <w:rPr>
          <w:rFonts w:cs="David"/>
          <w:rtl/>
        </w:rPr>
        <w:t>ב</w:t>
      </w:r>
      <w:r w:rsidR="00D1387D" w:rsidRPr="00D1387D">
        <w:rPr>
          <w:rFonts w:cs="David"/>
          <w:rtl/>
        </w:rPr>
        <w:t>רקע משבר הקורונה</w:t>
      </w:r>
      <w:r w:rsidR="00A4441A">
        <w:rPr>
          <w:rFonts w:cs="David"/>
          <w:rtl/>
        </w:rPr>
        <w:t>;</w:t>
      </w:r>
      <w:r w:rsidR="00D1387D" w:rsidRPr="00D1387D">
        <w:rPr>
          <w:rFonts w:cs="David"/>
          <w:rtl/>
        </w:rPr>
        <w:t xml:space="preserve"> השקת מטבע ההוקרה שהוקדש למערך הרפואה והבריאות בישראל</w:t>
      </w:r>
      <w:r w:rsidR="00D1387D" w:rsidRPr="00D1387D">
        <w:rPr>
          <w:rFonts w:hint="default"/>
          <w:rtl/>
        </w:rPr>
        <w:t xml:space="preserve"> </w:t>
      </w:r>
      <w:r w:rsidR="00D1387D" w:rsidRPr="00D1387D">
        <w:rPr>
          <w:rFonts w:cs="David" w:hint="default"/>
          <w:rtl/>
        </w:rPr>
        <w:t xml:space="preserve">על תרומתם ומאבקם למען חייהם ובריאותם של </w:t>
      </w:r>
      <w:r w:rsidR="004C6B09">
        <w:rPr>
          <w:rFonts w:cs="David" w:hint="default"/>
          <w:rtl/>
        </w:rPr>
        <w:t>אזרחי המדינה במהלך מגפת הקורונה</w:t>
      </w:r>
      <w:r w:rsidR="00A4441A">
        <w:rPr>
          <w:rFonts w:cs="David"/>
          <w:rtl/>
        </w:rPr>
        <w:t>;</w:t>
      </w:r>
      <w:r w:rsidR="00D1387D" w:rsidRPr="00D1387D">
        <w:rPr>
          <w:rFonts w:cs="David"/>
          <w:rtl/>
        </w:rPr>
        <w:t xml:space="preserve"> תרגילי ההיערכות לחירום שהובילה המחלקה </w:t>
      </w:r>
      <w:r w:rsidR="007647F8">
        <w:rPr>
          <w:rFonts w:cs="David"/>
          <w:rtl/>
        </w:rPr>
        <w:t>לשיפור מוכנות מערכת המטבע לאירועי חירום ברמה הלאומית</w:t>
      </w:r>
      <w:r w:rsidR="00A4441A">
        <w:rPr>
          <w:rFonts w:cs="David"/>
          <w:rtl/>
        </w:rPr>
        <w:t>;</w:t>
      </w:r>
      <w:r w:rsidR="007647F8">
        <w:rPr>
          <w:rFonts w:cs="David"/>
          <w:rtl/>
        </w:rPr>
        <w:t xml:space="preserve"> ה</w:t>
      </w:r>
      <w:r w:rsidR="00007EB4">
        <w:rPr>
          <w:rFonts w:cs="David"/>
          <w:rtl/>
        </w:rPr>
        <w:t>גברת מודעות הציבור וה</w:t>
      </w:r>
      <w:r w:rsidR="007647F8">
        <w:rPr>
          <w:rFonts w:cs="David"/>
          <w:rtl/>
        </w:rPr>
        <w:t>דרכ</w:t>
      </w:r>
      <w:r w:rsidR="00007EB4">
        <w:rPr>
          <w:rFonts w:cs="David"/>
          <w:rtl/>
        </w:rPr>
        <w:t>ת</w:t>
      </w:r>
      <w:r w:rsidR="007647F8">
        <w:rPr>
          <w:rFonts w:cs="David"/>
          <w:rtl/>
        </w:rPr>
        <w:t xml:space="preserve"> בתי עסק </w:t>
      </w:r>
      <w:r w:rsidR="00007EB4">
        <w:rPr>
          <w:rFonts w:cs="David"/>
          <w:rtl/>
        </w:rPr>
        <w:t>לזיהוי</w:t>
      </w:r>
      <w:r w:rsidR="007647F8">
        <w:rPr>
          <w:rFonts w:cs="David"/>
          <w:rtl/>
        </w:rPr>
        <w:t xml:space="preserve"> </w:t>
      </w:r>
      <w:r w:rsidR="00007EB4">
        <w:rPr>
          <w:rFonts w:cs="David"/>
          <w:rtl/>
        </w:rPr>
        <w:t xml:space="preserve">שטרות </w:t>
      </w:r>
      <w:r w:rsidR="007647F8">
        <w:rPr>
          <w:rFonts w:cs="David"/>
          <w:rtl/>
        </w:rPr>
        <w:t>מזויפים</w:t>
      </w:r>
      <w:r w:rsidR="00A4441A">
        <w:rPr>
          <w:rFonts w:cs="David"/>
          <w:rtl/>
        </w:rPr>
        <w:t>;</w:t>
      </w:r>
      <w:r w:rsidR="007647F8">
        <w:rPr>
          <w:rFonts w:cs="David"/>
          <w:rtl/>
        </w:rPr>
        <w:t xml:space="preserve"> </w:t>
      </w:r>
      <w:r w:rsidR="00BC4D56">
        <w:rPr>
          <w:rFonts w:cs="David"/>
          <w:rtl/>
        </w:rPr>
        <w:t xml:space="preserve">מגמות של הרגלי השימוש במזומן מתוך סקרי דעת קהל, </w:t>
      </w:r>
      <w:r w:rsidR="00D1387D" w:rsidRPr="00D1387D">
        <w:rPr>
          <w:rFonts w:cs="David"/>
          <w:rtl/>
        </w:rPr>
        <w:t>ו</w:t>
      </w:r>
      <w:r w:rsidR="00007EB4">
        <w:rPr>
          <w:rFonts w:cs="David"/>
          <w:rtl/>
        </w:rPr>
        <w:t xml:space="preserve">כן </w:t>
      </w:r>
      <w:r w:rsidR="007647F8">
        <w:rPr>
          <w:rFonts w:cs="David"/>
          <w:rtl/>
        </w:rPr>
        <w:t xml:space="preserve">סקירה רחבה על מגוון </w:t>
      </w:r>
      <w:r w:rsidR="00D1387D" w:rsidRPr="00D1387D">
        <w:rPr>
          <w:rFonts w:cs="David"/>
          <w:rtl/>
        </w:rPr>
        <w:t xml:space="preserve">השירותים </w:t>
      </w:r>
      <w:r w:rsidR="00007EB4">
        <w:rPr>
          <w:rFonts w:cs="David"/>
          <w:rtl/>
        </w:rPr>
        <w:t xml:space="preserve">שניתנו ע"י מחלקת המטבע לציבור </w:t>
      </w:r>
      <w:r w:rsidR="00D1387D" w:rsidRPr="00D1387D">
        <w:rPr>
          <w:rFonts w:cs="David"/>
          <w:rtl/>
        </w:rPr>
        <w:t>בשנים אלו.</w:t>
      </w:r>
      <w:r w:rsidR="00F367A4">
        <w:rPr>
          <w:rFonts w:cs="David"/>
          <w:rtl/>
        </w:rPr>
        <w:t xml:space="preserve"> בנספח לסקירה </w:t>
      </w:r>
      <w:r w:rsidR="005B34C3">
        <w:rPr>
          <w:rFonts w:cs="David"/>
          <w:rtl/>
        </w:rPr>
        <w:t>מוצגים</w:t>
      </w:r>
      <w:r w:rsidR="00F367A4">
        <w:rPr>
          <w:rFonts w:cs="David"/>
          <w:rtl/>
        </w:rPr>
        <w:t xml:space="preserve"> נתונים סטטיסטיים של מחזור המטבע</w:t>
      </w:r>
      <w:r w:rsidR="00007EB4">
        <w:rPr>
          <w:rFonts w:cs="David"/>
          <w:rtl/>
        </w:rPr>
        <w:t xml:space="preserve"> ו</w:t>
      </w:r>
      <w:r w:rsidR="005B34C3">
        <w:rPr>
          <w:rFonts w:cs="David"/>
          <w:rtl/>
        </w:rPr>
        <w:t xml:space="preserve">כמות המזומן במחזור, </w:t>
      </w:r>
      <w:r w:rsidR="00F367A4">
        <w:rPr>
          <w:rFonts w:cs="David"/>
          <w:rtl/>
        </w:rPr>
        <w:t>בחלוקה לשטרות ומעות.</w:t>
      </w:r>
      <w:r w:rsidR="00F62C66">
        <w:rPr>
          <w:rFonts w:cs="David"/>
          <w:rtl/>
        </w:rPr>
        <w:t xml:space="preserve"> מידע נוסף </w:t>
      </w:r>
      <w:r w:rsidR="00F62C66" w:rsidRPr="005B34C3">
        <w:rPr>
          <w:rFonts w:cs="David" w:hint="default"/>
          <w:rtl/>
        </w:rPr>
        <w:t>מצוי באתר האינטרנט של בנק ישראל בכתובת</w:t>
      </w:r>
      <w:r w:rsidR="00F62C66">
        <w:rPr>
          <w:rFonts w:cs="David"/>
          <w:rtl/>
        </w:rPr>
        <w:t>:</w:t>
      </w:r>
      <w:r w:rsidR="00F62C66">
        <w:rPr>
          <w:rtl/>
        </w:rPr>
        <w:t xml:space="preserve"> </w:t>
      </w:r>
      <w:hyperlink r:id="rId8" w:history="1">
        <w:r w:rsidR="00F62C66" w:rsidRPr="008E32AE">
          <w:rPr>
            <w:rStyle w:val="Hyperlink"/>
            <w:rFonts w:cs="David" w:hint="default"/>
          </w:rPr>
          <w:t>www.boi.org.il/roles/banknotes</w:t>
        </w:r>
      </w:hyperlink>
    </w:p>
    <w:p w:rsidR="00F62C66" w:rsidRDefault="00F62C66" w:rsidP="00F62C66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</w:p>
    <w:p w:rsidR="002E1718" w:rsidRPr="00F62C66" w:rsidRDefault="002E1718" w:rsidP="00054BCE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  <w:r>
        <w:rPr>
          <w:rFonts w:ascii="David" w:hAnsi="David" w:cs="David"/>
          <w:rtl/>
        </w:rPr>
        <w:t>בשנת 2020, השנה הראשונה לקורונה</w:t>
      </w:r>
      <w:r w:rsidR="00DA0E2A">
        <w:rPr>
          <w:rFonts w:ascii="David" w:hAnsi="David" w:cs="David"/>
          <w:rtl/>
        </w:rPr>
        <w:t>,</w:t>
      </w:r>
      <w:r>
        <w:rPr>
          <w:rFonts w:ascii="David" w:hAnsi="David" w:cs="David"/>
          <w:rtl/>
        </w:rPr>
        <w:t xml:space="preserve"> מחזור המזומן גדל בשיעור שלא נראה כמותו מאז המשבר הכלכלי העולמי בשנים 2009-2008, בשנתיים שלאחר מכן התמתן הביקוש אך נותר גבוה לעומת השנים שקדמו לקורונה. </w:t>
      </w:r>
      <w:r w:rsidR="006A4167">
        <w:rPr>
          <w:rFonts w:ascii="David" w:hAnsi="David" w:cs="David"/>
          <w:rtl/>
        </w:rPr>
        <w:t>בסך הכול המחזור גדל</w:t>
      </w:r>
      <w:r w:rsidR="006A4167" w:rsidRPr="006A4167">
        <w:rPr>
          <w:rFonts w:ascii="David" w:hAnsi="David" w:cs="David"/>
          <w:rtl/>
        </w:rPr>
        <w:t xml:space="preserve"> </w:t>
      </w:r>
      <w:r w:rsidR="006A4167">
        <w:rPr>
          <w:rFonts w:ascii="David" w:hAnsi="David" w:cs="David"/>
          <w:rtl/>
        </w:rPr>
        <w:t xml:space="preserve">ב-32 מיליארד ש"ח (37%), מ-87.2 מיליארד ש"ח בסוף שנת 2019 ל-119.4 מיליארד ש"ח בסוף שנת 2022. </w:t>
      </w:r>
      <w:r w:rsidR="006A4167" w:rsidRPr="004C6B09">
        <w:rPr>
          <w:rFonts w:ascii="David" w:hAnsi="David" w:cs="David" w:hint="default"/>
          <w:rtl/>
        </w:rPr>
        <w:t>עם פרוץ משבר</w:t>
      </w:r>
      <w:r w:rsidR="006A4167">
        <w:rPr>
          <w:rFonts w:ascii="David" w:hAnsi="David" w:cs="David"/>
          <w:rtl/>
        </w:rPr>
        <w:t xml:space="preserve"> הקורונה</w:t>
      </w:r>
      <w:r w:rsidR="006A4167" w:rsidRPr="004C6B09">
        <w:rPr>
          <w:rFonts w:ascii="David" w:hAnsi="David" w:cs="David" w:hint="default"/>
          <w:rtl/>
        </w:rPr>
        <w:t xml:space="preserve"> נקטה מחלקת המטבע מספר צעדים כדי להבטיח </w:t>
      </w:r>
      <w:r w:rsidR="006A4167">
        <w:rPr>
          <w:rFonts w:ascii="David" w:hAnsi="David" w:cs="David"/>
          <w:rtl/>
        </w:rPr>
        <w:t>נגישות ו</w:t>
      </w:r>
      <w:r w:rsidR="006A4167" w:rsidRPr="004C6B09">
        <w:rPr>
          <w:rFonts w:ascii="David" w:hAnsi="David" w:cs="David" w:hint="default"/>
          <w:rtl/>
        </w:rPr>
        <w:t>אספק</w:t>
      </w:r>
      <w:r w:rsidR="006A4167">
        <w:rPr>
          <w:rFonts w:ascii="David" w:hAnsi="David" w:cs="David"/>
          <w:rtl/>
        </w:rPr>
        <w:t>ה</w:t>
      </w:r>
      <w:r w:rsidR="006A4167" w:rsidRPr="004C6B09">
        <w:rPr>
          <w:rFonts w:ascii="David" w:hAnsi="David" w:cs="David" w:hint="default"/>
          <w:rtl/>
        </w:rPr>
        <w:t xml:space="preserve"> </w:t>
      </w:r>
      <w:r w:rsidR="006A4167">
        <w:rPr>
          <w:rFonts w:ascii="David" w:hAnsi="David" w:cs="David"/>
          <w:rtl/>
        </w:rPr>
        <w:t xml:space="preserve">סדירה של </w:t>
      </w:r>
      <w:r w:rsidR="006A4167" w:rsidRPr="004C6B09">
        <w:rPr>
          <w:rFonts w:ascii="David" w:hAnsi="David" w:cs="David" w:hint="default"/>
          <w:rtl/>
        </w:rPr>
        <w:t>שטרות ומעות לציבור</w:t>
      </w:r>
      <w:r w:rsidR="006A4167">
        <w:rPr>
          <w:rFonts w:ascii="David" w:hAnsi="David" w:cs="David"/>
          <w:rtl/>
        </w:rPr>
        <w:t xml:space="preserve"> בהתאם לביקוש המוגבר. </w:t>
      </w:r>
      <w:r>
        <w:rPr>
          <w:rFonts w:ascii="David" w:hAnsi="David" w:cs="David"/>
          <w:rtl/>
        </w:rPr>
        <w:t xml:space="preserve">הביקוש המוגבר למזומן, בשלוש השנים הנסקרות </w:t>
      </w:r>
      <w:r w:rsidR="00054BCE">
        <w:rPr>
          <w:rFonts w:ascii="David" w:hAnsi="David" w:cs="David"/>
          <w:rtl/>
        </w:rPr>
        <w:t>ובפרט בתקופת הקורונה</w:t>
      </w:r>
      <w:r>
        <w:rPr>
          <w:rFonts w:ascii="David" w:hAnsi="David" w:cs="David"/>
          <w:rtl/>
        </w:rPr>
        <w:t xml:space="preserve">, </w:t>
      </w:r>
      <w:r>
        <w:rPr>
          <w:rFonts w:ascii="David" w:hAnsi="David" w:cs="David"/>
          <w:rtl/>
        </w:rPr>
        <w:lastRenderedPageBreak/>
        <w:t xml:space="preserve">ממחיש את חשיבותו של המזומן </w:t>
      </w:r>
      <w:r w:rsidRPr="004C6B09">
        <w:rPr>
          <w:rFonts w:ascii="David" w:hAnsi="David" w:cs="David" w:hint="default"/>
          <w:rtl/>
        </w:rPr>
        <w:t>כאמצעי תשלום לאומי חיוני בישראל בשגרה ובחירום</w:t>
      </w:r>
      <w:r w:rsidR="006A4167">
        <w:rPr>
          <w:rFonts w:ascii="David" w:hAnsi="David" w:cs="David"/>
          <w:rtl/>
        </w:rPr>
        <w:t xml:space="preserve"> אשר מחזק את הביטחון הלאומי של הציבור</w:t>
      </w:r>
      <w:r w:rsidR="00F62C66">
        <w:rPr>
          <w:rFonts w:ascii="David" w:hAnsi="David" w:cs="David"/>
          <w:rtl/>
        </w:rPr>
        <w:t>.</w:t>
      </w:r>
    </w:p>
    <w:p w:rsidR="00D8201A" w:rsidRDefault="00D8201A" w:rsidP="00B014E1">
      <w:pPr>
        <w:bidi/>
        <w:spacing w:after="160" w:line="259" w:lineRule="auto"/>
        <w:rPr>
          <w:rFonts w:cs="David" w:hint="default"/>
          <w:rtl/>
        </w:rPr>
      </w:pPr>
    </w:p>
    <w:p w:rsidR="007E0D52" w:rsidRPr="00CC66CF" w:rsidRDefault="00F62C66" w:rsidP="00351379">
      <w:pPr>
        <w:bidi/>
        <w:spacing w:line="360" w:lineRule="auto"/>
        <w:ind w:right="-57"/>
        <w:jc w:val="center"/>
        <w:rPr>
          <w:rFonts w:cs="David" w:hint="default"/>
          <w:u w:val="single"/>
          <w:rtl/>
        </w:rPr>
      </w:pPr>
      <w:r w:rsidRPr="00CC66CF">
        <w:rPr>
          <w:rFonts w:cs="David" w:hint="eastAsia"/>
          <w:u w:val="single"/>
          <w:rtl/>
        </w:rPr>
        <w:t>התפתחות</w:t>
      </w:r>
      <w:r w:rsidRPr="00CC66CF">
        <w:rPr>
          <w:rFonts w:cs="David" w:hint="default"/>
          <w:u w:val="single"/>
          <w:rtl/>
        </w:rPr>
        <w:t xml:space="preserve"> </w:t>
      </w:r>
      <w:r w:rsidRPr="00CC66CF">
        <w:rPr>
          <w:rFonts w:cs="David" w:hint="eastAsia"/>
          <w:u w:val="single"/>
          <w:rtl/>
        </w:rPr>
        <w:t>מחזור</w:t>
      </w:r>
      <w:r w:rsidRPr="00CC66CF">
        <w:rPr>
          <w:rFonts w:cs="David" w:hint="default"/>
          <w:u w:val="single"/>
          <w:rtl/>
        </w:rPr>
        <w:t xml:space="preserve"> </w:t>
      </w:r>
      <w:r w:rsidRPr="00CC66CF">
        <w:rPr>
          <w:rFonts w:cs="David" w:hint="eastAsia"/>
          <w:u w:val="single"/>
          <w:rtl/>
        </w:rPr>
        <w:t>המטבע</w:t>
      </w:r>
      <w:r w:rsidRPr="00CC66CF">
        <w:rPr>
          <w:rFonts w:cs="David" w:hint="default"/>
          <w:u w:val="single"/>
          <w:rtl/>
        </w:rPr>
        <w:t xml:space="preserve">, 2022-2002 (סופי </w:t>
      </w:r>
      <w:r w:rsidRPr="00CC66CF">
        <w:rPr>
          <w:rFonts w:cs="David" w:hint="eastAsia"/>
          <w:u w:val="single"/>
          <w:rtl/>
        </w:rPr>
        <w:t>שנים</w:t>
      </w:r>
      <w:r w:rsidRPr="00CC66CF">
        <w:rPr>
          <w:rFonts w:cs="David" w:hint="default"/>
          <w:u w:val="single"/>
          <w:rtl/>
        </w:rPr>
        <w:t>)</w:t>
      </w:r>
    </w:p>
    <w:p w:rsidR="00F62C66" w:rsidRDefault="00B858A3" w:rsidP="001D4D86">
      <w:pPr>
        <w:bidi/>
        <w:spacing w:line="360" w:lineRule="auto"/>
        <w:ind w:right="-57"/>
        <w:jc w:val="center"/>
        <w:rPr>
          <w:rFonts w:ascii="David" w:hAnsi="David" w:cs="David" w:hint="default"/>
          <w:rtl/>
        </w:rPr>
      </w:pPr>
      <w:r>
        <w:rPr>
          <w:noProof/>
          <w:lang w:eastAsia="en-US"/>
        </w:rPr>
        <w:drawing>
          <wp:inline distT="0" distB="0" distL="0" distR="0" wp14:anchorId="65610400" wp14:editId="0CF2DB8D">
            <wp:extent cx="4551325" cy="2586361"/>
            <wp:effectExtent l="0" t="0" r="1905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8066" cy="259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1A" w:rsidRDefault="00B9021A" w:rsidP="00B9021A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</w:p>
    <w:p w:rsidR="00D8201A" w:rsidRDefault="00463D5F" w:rsidP="00385679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  <w:r>
        <w:rPr>
          <w:rFonts w:ascii="David" w:hAnsi="David" w:cs="David"/>
          <w:rtl/>
        </w:rPr>
        <w:t>בסקרי דעת קהל תקופתיים שעורכים בעולם ובישראל נב</w:t>
      </w:r>
      <w:r w:rsidR="005C74DF">
        <w:rPr>
          <w:rFonts w:ascii="David" w:hAnsi="David" w:cs="David"/>
          <w:rtl/>
        </w:rPr>
        <w:t>חנים הרגלי השימוש במזומן</w:t>
      </w:r>
      <w:r>
        <w:rPr>
          <w:rFonts w:ascii="David" w:hAnsi="David" w:cs="David"/>
          <w:rtl/>
        </w:rPr>
        <w:t xml:space="preserve"> </w:t>
      </w:r>
      <w:r w:rsidR="005C74DF">
        <w:rPr>
          <w:rFonts w:ascii="David" w:hAnsi="David" w:cs="David"/>
          <w:rtl/>
        </w:rPr>
        <w:t>ותפיסת הציבור את המזומן</w:t>
      </w:r>
      <w:r>
        <w:rPr>
          <w:rFonts w:ascii="David" w:hAnsi="David" w:cs="David"/>
          <w:rtl/>
        </w:rPr>
        <w:t xml:space="preserve">. </w:t>
      </w:r>
      <w:r w:rsidR="005C74DF">
        <w:rPr>
          <w:rFonts w:ascii="David" w:hAnsi="David" w:cs="David"/>
          <w:rtl/>
        </w:rPr>
        <w:t>ה</w:t>
      </w:r>
      <w:r>
        <w:rPr>
          <w:rFonts w:ascii="David" w:hAnsi="David" w:cs="David"/>
          <w:rtl/>
        </w:rPr>
        <w:t xml:space="preserve">יתרונות </w:t>
      </w:r>
      <w:r w:rsidR="00D8201A">
        <w:rPr>
          <w:rFonts w:ascii="David" w:hAnsi="David" w:cs="David"/>
          <w:rtl/>
        </w:rPr>
        <w:t>הבולטים של המזומן ביחס לשאר אמצעי התשלום</w:t>
      </w:r>
      <w:r w:rsidR="005C74DF">
        <w:rPr>
          <w:rFonts w:ascii="David" w:hAnsi="David" w:cs="David"/>
          <w:rtl/>
        </w:rPr>
        <w:t xml:space="preserve"> שעולים בסקרים</w:t>
      </w:r>
      <w:r w:rsidR="00D8201A">
        <w:rPr>
          <w:rFonts w:ascii="David" w:hAnsi="David" w:cs="David"/>
          <w:rtl/>
        </w:rPr>
        <w:t xml:space="preserve"> הם שליטה בהוצאות, פרטיות, </w:t>
      </w:r>
      <w:proofErr w:type="spellStart"/>
      <w:r w:rsidR="00D8201A">
        <w:rPr>
          <w:rFonts w:ascii="David" w:hAnsi="David" w:cs="David"/>
          <w:rtl/>
        </w:rPr>
        <w:t>מיידיות</w:t>
      </w:r>
      <w:proofErr w:type="spellEnd"/>
      <w:r w:rsidR="005C74DF">
        <w:rPr>
          <w:rFonts w:ascii="David" w:hAnsi="David" w:cs="David"/>
          <w:rtl/>
        </w:rPr>
        <w:t>, נזילות</w:t>
      </w:r>
      <w:r w:rsidR="00D8201A">
        <w:rPr>
          <w:rFonts w:ascii="David" w:hAnsi="David" w:cs="David"/>
          <w:rtl/>
        </w:rPr>
        <w:t xml:space="preserve"> וסופיות. כמו כן, בסקרים אלו </w:t>
      </w:r>
      <w:r w:rsidR="00A73C65" w:rsidRPr="00A73C65">
        <w:rPr>
          <w:rFonts w:ascii="David" w:hAnsi="David" w:cs="David" w:hint="default"/>
          <w:rtl/>
        </w:rPr>
        <w:t xml:space="preserve">עולה </w:t>
      </w:r>
      <w:r w:rsidR="005A575B">
        <w:rPr>
          <w:rFonts w:ascii="David" w:hAnsi="David" w:cs="David" w:hint="default"/>
          <w:rtl/>
        </w:rPr>
        <w:t>הרצון הגבוה להמשך השימוש במזומן</w:t>
      </w:r>
      <w:r w:rsidR="005A575B">
        <w:rPr>
          <w:rFonts w:ascii="David" w:hAnsi="David" w:cs="David"/>
          <w:rtl/>
        </w:rPr>
        <w:t>, לצד אמצעי התשלום המתקדמים האחרים.</w:t>
      </w:r>
    </w:p>
    <w:p w:rsidR="00B8069F" w:rsidRDefault="00B8069F" w:rsidP="00B8069F">
      <w:pPr>
        <w:bidi/>
        <w:spacing w:line="360" w:lineRule="auto"/>
        <w:ind w:right="-57"/>
        <w:jc w:val="both"/>
        <w:rPr>
          <w:rFonts w:ascii="David" w:hAnsi="David" w:cs="David" w:hint="default"/>
          <w:rtl/>
        </w:rPr>
      </w:pPr>
    </w:p>
    <w:p w:rsidR="002F4D74" w:rsidRDefault="00A73C65" w:rsidP="00B8069F">
      <w:pPr>
        <w:bidi/>
        <w:spacing w:line="360" w:lineRule="auto"/>
        <w:ind w:right="-57"/>
        <w:jc w:val="center"/>
        <w:rPr>
          <w:rFonts w:ascii="David" w:hAnsi="David" w:cs="David" w:hint="default"/>
          <w:rtl/>
        </w:rPr>
      </w:pPr>
      <w:r w:rsidRPr="00A73C65">
        <w:rPr>
          <w:rFonts w:ascii="David" w:hAnsi="David" w:cs="David"/>
          <w:u w:val="single"/>
          <w:rtl/>
        </w:rPr>
        <w:lastRenderedPageBreak/>
        <w:t>שיעור באוכלוסי</w:t>
      </w:r>
      <w:r w:rsidR="00F62C66">
        <w:rPr>
          <w:rFonts w:ascii="David" w:hAnsi="David" w:cs="David"/>
          <w:u w:val="single"/>
          <w:rtl/>
        </w:rPr>
        <w:t>י</w:t>
      </w:r>
      <w:r w:rsidRPr="00A73C65">
        <w:rPr>
          <w:rFonts w:ascii="David" w:hAnsi="David" w:cs="David"/>
          <w:u w:val="single"/>
          <w:rtl/>
        </w:rPr>
        <w:t>ה הרואים חשיבות בשימוש במזומן בעתיד</w:t>
      </w:r>
      <w:r>
        <w:rPr>
          <w:noProof/>
          <w:lang w:eastAsia="en-US"/>
        </w:rPr>
        <w:drawing>
          <wp:inline distT="0" distB="0" distL="0" distR="0" wp14:anchorId="0F494F1F" wp14:editId="1DFFFE20">
            <wp:extent cx="4491794" cy="4094855"/>
            <wp:effectExtent l="0" t="0" r="4445" b="127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7398" cy="409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D74" w:rsidSect="00E55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97" w:rsidRDefault="00263397" w:rsidP="00AB2E52">
      <w:pPr>
        <w:rPr>
          <w:rFonts w:hint="default"/>
        </w:rPr>
      </w:pPr>
      <w:r>
        <w:separator/>
      </w:r>
    </w:p>
  </w:endnote>
  <w:endnote w:type="continuationSeparator" w:id="0">
    <w:p w:rsidR="00263397" w:rsidRDefault="00263397" w:rsidP="00AB2E5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0" w:rsidRDefault="005D3FE0">
    <w:pPr>
      <w:pStyle w:val="af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0" w:rsidRDefault="005D3FE0">
    <w:pPr>
      <w:pStyle w:val="af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0" w:rsidRDefault="005D3FE0">
    <w:pPr>
      <w:pStyle w:val="af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97" w:rsidRDefault="00263397" w:rsidP="00AB2E52">
      <w:pPr>
        <w:rPr>
          <w:rFonts w:hint="default"/>
        </w:rPr>
      </w:pPr>
      <w:r>
        <w:separator/>
      </w:r>
    </w:p>
  </w:footnote>
  <w:footnote w:type="continuationSeparator" w:id="0">
    <w:p w:rsidR="00263397" w:rsidRDefault="00263397" w:rsidP="00AB2E5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0" w:rsidRDefault="005D3FE0">
    <w:pPr>
      <w:pStyle w:val="ad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0" w:rsidRDefault="005D3FE0">
    <w:pPr>
      <w:pStyle w:val="ad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0" w:rsidRDefault="005D3FE0">
    <w:pPr>
      <w:pStyle w:val="ad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0"/>
    <w:rsid w:val="00007EB4"/>
    <w:rsid w:val="00054BCE"/>
    <w:rsid w:val="000C3588"/>
    <w:rsid w:val="000C7C73"/>
    <w:rsid w:val="000D3F34"/>
    <w:rsid w:val="00111E7D"/>
    <w:rsid w:val="00124B07"/>
    <w:rsid w:val="001314C5"/>
    <w:rsid w:val="0013425B"/>
    <w:rsid w:val="00154733"/>
    <w:rsid w:val="00175D08"/>
    <w:rsid w:val="0018141F"/>
    <w:rsid w:val="001815FD"/>
    <w:rsid w:val="001D4D86"/>
    <w:rsid w:val="001F1F21"/>
    <w:rsid w:val="001F7D01"/>
    <w:rsid w:val="00245574"/>
    <w:rsid w:val="00263397"/>
    <w:rsid w:val="002B029F"/>
    <w:rsid w:val="002B3DEA"/>
    <w:rsid w:val="002E1718"/>
    <w:rsid w:val="002E5261"/>
    <w:rsid w:val="002E533D"/>
    <w:rsid w:val="002F0159"/>
    <w:rsid w:val="002F4D74"/>
    <w:rsid w:val="00301655"/>
    <w:rsid w:val="003148C4"/>
    <w:rsid w:val="0032734F"/>
    <w:rsid w:val="00351379"/>
    <w:rsid w:val="00353A7A"/>
    <w:rsid w:val="003768D8"/>
    <w:rsid w:val="00385679"/>
    <w:rsid w:val="003B0C32"/>
    <w:rsid w:val="00463D5F"/>
    <w:rsid w:val="00467AFD"/>
    <w:rsid w:val="00477161"/>
    <w:rsid w:val="00495FFD"/>
    <w:rsid w:val="004B2E27"/>
    <w:rsid w:val="004B578E"/>
    <w:rsid w:val="004B7E5F"/>
    <w:rsid w:val="004B7E81"/>
    <w:rsid w:val="004C601B"/>
    <w:rsid w:val="004C6B09"/>
    <w:rsid w:val="00524BFB"/>
    <w:rsid w:val="00537DE1"/>
    <w:rsid w:val="005813AC"/>
    <w:rsid w:val="005A575B"/>
    <w:rsid w:val="005B34C3"/>
    <w:rsid w:val="005B5B0F"/>
    <w:rsid w:val="005B6E3A"/>
    <w:rsid w:val="005C6A37"/>
    <w:rsid w:val="005C74DF"/>
    <w:rsid w:val="005D2021"/>
    <w:rsid w:val="005D3FE0"/>
    <w:rsid w:val="00615A4C"/>
    <w:rsid w:val="006402EE"/>
    <w:rsid w:val="0064539D"/>
    <w:rsid w:val="006A4167"/>
    <w:rsid w:val="006B49EF"/>
    <w:rsid w:val="006C196E"/>
    <w:rsid w:val="006E69E9"/>
    <w:rsid w:val="007073A0"/>
    <w:rsid w:val="007309F4"/>
    <w:rsid w:val="00762018"/>
    <w:rsid w:val="007647F8"/>
    <w:rsid w:val="0079570B"/>
    <w:rsid w:val="007A53CE"/>
    <w:rsid w:val="007A670F"/>
    <w:rsid w:val="007B42D3"/>
    <w:rsid w:val="007E0D52"/>
    <w:rsid w:val="007E14C5"/>
    <w:rsid w:val="007F1280"/>
    <w:rsid w:val="00817CBE"/>
    <w:rsid w:val="008330F4"/>
    <w:rsid w:val="008563F7"/>
    <w:rsid w:val="00860E1A"/>
    <w:rsid w:val="00870AB9"/>
    <w:rsid w:val="00887F9E"/>
    <w:rsid w:val="00890621"/>
    <w:rsid w:val="008A2AFB"/>
    <w:rsid w:val="008C7D05"/>
    <w:rsid w:val="00922598"/>
    <w:rsid w:val="00934A8B"/>
    <w:rsid w:val="009634B8"/>
    <w:rsid w:val="00974783"/>
    <w:rsid w:val="009F2B70"/>
    <w:rsid w:val="00A111B0"/>
    <w:rsid w:val="00A23D88"/>
    <w:rsid w:val="00A4441A"/>
    <w:rsid w:val="00A670F4"/>
    <w:rsid w:val="00A73C65"/>
    <w:rsid w:val="00A82C59"/>
    <w:rsid w:val="00A96B61"/>
    <w:rsid w:val="00AB2E52"/>
    <w:rsid w:val="00AD0E4F"/>
    <w:rsid w:val="00B01425"/>
    <w:rsid w:val="00B014E1"/>
    <w:rsid w:val="00B05410"/>
    <w:rsid w:val="00B32FE1"/>
    <w:rsid w:val="00B43DA9"/>
    <w:rsid w:val="00B8069F"/>
    <w:rsid w:val="00B858A3"/>
    <w:rsid w:val="00B87A51"/>
    <w:rsid w:val="00B9021A"/>
    <w:rsid w:val="00B93525"/>
    <w:rsid w:val="00BA26A8"/>
    <w:rsid w:val="00BB3891"/>
    <w:rsid w:val="00BC4D56"/>
    <w:rsid w:val="00BF5177"/>
    <w:rsid w:val="00C054E3"/>
    <w:rsid w:val="00C50C6E"/>
    <w:rsid w:val="00CC66CF"/>
    <w:rsid w:val="00CD46B8"/>
    <w:rsid w:val="00CE3094"/>
    <w:rsid w:val="00CF2164"/>
    <w:rsid w:val="00CF28B5"/>
    <w:rsid w:val="00D1387D"/>
    <w:rsid w:val="00D706E0"/>
    <w:rsid w:val="00D80441"/>
    <w:rsid w:val="00D8201A"/>
    <w:rsid w:val="00D9268A"/>
    <w:rsid w:val="00D934B5"/>
    <w:rsid w:val="00D95686"/>
    <w:rsid w:val="00DA0E2A"/>
    <w:rsid w:val="00E03D76"/>
    <w:rsid w:val="00E14CC3"/>
    <w:rsid w:val="00E17705"/>
    <w:rsid w:val="00E271D6"/>
    <w:rsid w:val="00E4318C"/>
    <w:rsid w:val="00E5104B"/>
    <w:rsid w:val="00E55323"/>
    <w:rsid w:val="00E572B5"/>
    <w:rsid w:val="00E85444"/>
    <w:rsid w:val="00E85E77"/>
    <w:rsid w:val="00E86F64"/>
    <w:rsid w:val="00ED73AE"/>
    <w:rsid w:val="00EE5B2B"/>
    <w:rsid w:val="00EF57BE"/>
    <w:rsid w:val="00F00C6A"/>
    <w:rsid w:val="00F030E5"/>
    <w:rsid w:val="00F2052C"/>
    <w:rsid w:val="00F23F78"/>
    <w:rsid w:val="00F367A4"/>
    <w:rsid w:val="00F47AEC"/>
    <w:rsid w:val="00F62C66"/>
    <w:rsid w:val="00F7226F"/>
    <w:rsid w:val="00F9447E"/>
    <w:rsid w:val="00FD03FF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C9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E"/>
    <w:pPr>
      <w:spacing w:after="0" w:line="240" w:lineRule="auto"/>
    </w:pPr>
    <w:rPr>
      <w:rFonts w:ascii="Times New Roman" w:eastAsia="Times New Roman" w:hAnsi="Times New Roman" w:cs="Times New Roman" w:hint="cs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50C6E"/>
    <w:pPr>
      <w:keepNext/>
      <w:keepLines/>
      <w:spacing w:before="480"/>
      <w:outlineLvl w:val="0"/>
    </w:pPr>
    <w:rPr>
      <w:rFonts w:asciiTheme="majorHAnsi" w:eastAsiaTheme="majorEastAsia" w:hAnsiTheme="majorHAnsi"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50C6E"/>
    <w:rPr>
      <w:rFonts w:asciiTheme="majorHAnsi" w:eastAsiaTheme="majorEastAsia" w:hAnsiTheme="majorHAnsi" w:cs="David"/>
      <w:b/>
      <w:bCs/>
      <w:sz w:val="28"/>
      <w:szCs w:val="28"/>
      <w:lang w:eastAsia="he-IL"/>
    </w:rPr>
  </w:style>
  <w:style w:type="character" w:styleId="a3">
    <w:name w:val="annotation reference"/>
    <w:basedOn w:val="a0"/>
    <w:uiPriority w:val="99"/>
    <w:semiHidden/>
    <w:unhideWhenUsed/>
    <w:rsid w:val="005B6E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6E3A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5B6E3A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6E3A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5B6E3A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5B6E3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B6E3A"/>
    <w:rPr>
      <w:rFonts w:ascii="Tahoma" w:eastAsia="Times New Roman" w:hAnsi="Tahoma" w:cs="Tahoma"/>
      <w:sz w:val="18"/>
      <w:szCs w:val="18"/>
      <w:lang w:eastAsia="he-IL"/>
    </w:rPr>
  </w:style>
  <w:style w:type="character" w:styleId="Hyperlink">
    <w:name w:val="Hyperlink"/>
    <w:basedOn w:val="a0"/>
    <w:uiPriority w:val="99"/>
    <w:unhideWhenUsed/>
    <w:rsid w:val="005B34C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F0159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2E1718"/>
    <w:pPr>
      <w:spacing w:before="100" w:beforeAutospacing="1" w:after="100" w:afterAutospacing="1"/>
    </w:pPr>
    <w:rPr>
      <w:rFonts w:hint="default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B2E52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AB2E52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c">
    <w:name w:val="footnote reference"/>
    <w:basedOn w:val="a0"/>
    <w:uiPriority w:val="99"/>
    <w:semiHidden/>
    <w:unhideWhenUsed/>
    <w:rsid w:val="00AB2E5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D3FE0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5D3FE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f">
    <w:name w:val="footer"/>
    <w:basedOn w:val="a"/>
    <w:link w:val="af0"/>
    <w:uiPriority w:val="99"/>
    <w:unhideWhenUsed/>
    <w:rsid w:val="005D3FE0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5D3FE0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i.org.il/roles/banknot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7D33-F3E1-40FB-A1E8-1837F69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2023-08-16T05:44:00Z</dcterms:created>
  <dcterms:modified xsi:type="dcterms:W3CDTF">2023-08-16T06:06:00Z</dcterms:modified>
</cp:coreProperties>
</file>