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53" w:rsidRPr="00803A7F" w:rsidRDefault="00F71253" w:rsidP="006858A0">
      <w:pPr>
        <w:tabs>
          <w:tab w:val="left" w:pos="2315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</w:p>
    <w:tbl>
      <w:tblPr>
        <w:tblpPr w:leftFromText="180" w:rightFromText="180" w:horzAnchor="margin" w:tblpY="-519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6858A0" w:rsidRPr="00803A7F" w:rsidTr="00A76E4F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8A0" w:rsidRPr="00803A7F" w:rsidRDefault="006858A0" w:rsidP="006858A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803A7F">
              <w:rPr>
                <w:rFonts w:cs="David"/>
                <w:b/>
                <w:bCs/>
                <w:sz w:val="24"/>
                <w:szCs w:val="24"/>
                <w:rtl/>
              </w:rPr>
              <w:t>בנ</w:t>
            </w:r>
            <w:r w:rsidRPr="00803A7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ק </w:t>
            </w:r>
            <w:r w:rsidRPr="00803A7F">
              <w:rPr>
                <w:rFonts w:cs="David"/>
                <w:b/>
                <w:bCs/>
                <w:sz w:val="24"/>
                <w:szCs w:val="24"/>
                <w:rtl/>
              </w:rPr>
              <w:t>יש</w:t>
            </w:r>
            <w:r w:rsidRPr="00803A7F">
              <w:rPr>
                <w:rFonts w:cs="David" w:hint="cs"/>
                <w:b/>
                <w:bCs/>
                <w:sz w:val="24"/>
                <w:szCs w:val="24"/>
                <w:rtl/>
              </w:rPr>
              <w:t>ראל</w:t>
            </w:r>
          </w:p>
          <w:p w:rsidR="006858A0" w:rsidRPr="00803A7F" w:rsidRDefault="006858A0" w:rsidP="006858A0">
            <w:pPr>
              <w:spacing w:line="360" w:lineRule="auto"/>
              <w:ind w:right="-101"/>
              <w:jc w:val="center"/>
              <w:rPr>
                <w:rFonts w:cs="David"/>
                <w:sz w:val="24"/>
                <w:szCs w:val="24"/>
              </w:rPr>
            </w:pPr>
            <w:r w:rsidRPr="00803A7F">
              <w:rPr>
                <w:rFonts w:cs="David"/>
                <w:sz w:val="24"/>
                <w:szCs w:val="24"/>
                <w:rtl/>
              </w:rPr>
              <w:t>דו</w:t>
            </w:r>
            <w:r w:rsidRPr="00803A7F">
              <w:rPr>
                <w:rFonts w:cs="David" w:hint="cs"/>
                <w:sz w:val="24"/>
                <w:szCs w:val="24"/>
                <w:rtl/>
              </w:rPr>
              <w:t>בר</w:t>
            </w:r>
            <w:r w:rsidRPr="00803A7F">
              <w:rPr>
                <w:rFonts w:cs="David"/>
                <w:sz w:val="24"/>
                <w:szCs w:val="24"/>
                <w:rtl/>
              </w:rPr>
              <w:t>ות</w:t>
            </w:r>
            <w:r w:rsidRPr="00803A7F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6858A0" w:rsidRPr="00803A7F" w:rsidRDefault="006858A0" w:rsidP="006858A0">
            <w:pPr>
              <w:spacing w:line="360" w:lineRule="auto"/>
              <w:jc w:val="center"/>
              <w:rPr>
                <w:rFonts w:cs="David"/>
                <w:sz w:val="24"/>
                <w:szCs w:val="24"/>
              </w:rPr>
            </w:pPr>
            <w:r w:rsidRPr="00803A7F">
              <w:rPr>
                <w:rFonts w:cs="David"/>
                <w:noProof/>
                <w:sz w:val="24"/>
                <w:szCs w:val="24"/>
              </w:rPr>
              <w:drawing>
                <wp:inline distT="0" distB="0" distL="0" distR="0" wp14:anchorId="7B11C161" wp14:editId="7334B1C1">
                  <wp:extent cx="887105" cy="887105"/>
                  <wp:effectExtent l="0" t="0" r="8255" b="8255"/>
                  <wp:docPr id="4" name="תמונה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8A0" w:rsidRPr="00803A7F" w:rsidRDefault="006858A0" w:rsidP="002B439F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  <w:r w:rsidRPr="00803A7F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803A7F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2B439F" w:rsidRPr="00803A7F">
              <w:rPr>
                <w:rFonts w:cs="David"/>
                <w:sz w:val="24"/>
                <w:szCs w:val="24"/>
                <w:rtl/>
              </w:rPr>
              <w:fldChar w:fldCharType="begin"/>
            </w:r>
            <w:r w:rsidR="002B439F" w:rsidRPr="00803A7F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2B439F" w:rsidRPr="00803A7F">
              <w:rPr>
                <w:rFonts w:cs="David" w:hint="cs"/>
                <w:sz w:val="24"/>
                <w:szCs w:val="24"/>
              </w:rPr>
              <w:instrText>DATE</w:instrText>
            </w:r>
            <w:r w:rsidR="002B439F" w:rsidRPr="00803A7F"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 w:rsidR="002B439F" w:rsidRPr="00803A7F">
              <w:rPr>
                <w:rFonts w:cs="David" w:hint="cs"/>
                <w:sz w:val="24"/>
                <w:szCs w:val="24"/>
              </w:rPr>
              <w:instrText>d MMMM, yyyy" \h</w:instrText>
            </w:r>
            <w:r w:rsidR="002B439F" w:rsidRPr="00803A7F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2B439F" w:rsidRPr="00803A7F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046C16">
              <w:rPr>
                <w:rFonts w:cs="David"/>
                <w:noProof/>
                <w:sz w:val="24"/>
                <w:szCs w:val="24"/>
                <w:rtl/>
              </w:rPr>
              <w:t>‏י"ז אדר ב, תשפ"ב</w:t>
            </w:r>
            <w:r w:rsidR="002B439F" w:rsidRPr="00803A7F">
              <w:rPr>
                <w:rFonts w:cs="David"/>
                <w:sz w:val="24"/>
                <w:szCs w:val="24"/>
                <w:rtl/>
              </w:rPr>
              <w:fldChar w:fldCharType="end"/>
            </w:r>
          </w:p>
          <w:p w:rsidR="006858A0" w:rsidRPr="00803A7F" w:rsidRDefault="006858A0" w:rsidP="002B439F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 w:rsidRPr="00803A7F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2B439F" w:rsidRPr="00803A7F">
              <w:rPr>
                <w:rFonts w:cs="David"/>
                <w:sz w:val="24"/>
                <w:szCs w:val="24"/>
                <w:rtl/>
              </w:rPr>
              <w:fldChar w:fldCharType="begin"/>
            </w:r>
            <w:r w:rsidR="002B439F" w:rsidRPr="00803A7F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2B439F" w:rsidRPr="00803A7F">
              <w:rPr>
                <w:rFonts w:cs="David" w:hint="cs"/>
                <w:sz w:val="24"/>
                <w:szCs w:val="24"/>
              </w:rPr>
              <w:instrText>DATE</w:instrText>
            </w:r>
            <w:r w:rsidR="002B439F" w:rsidRPr="00803A7F"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 w:rsidR="002B439F" w:rsidRPr="00803A7F">
              <w:rPr>
                <w:rFonts w:cs="David" w:hint="cs"/>
                <w:sz w:val="24"/>
                <w:szCs w:val="24"/>
              </w:rPr>
              <w:instrText>d MMMM, yyyy</w:instrText>
            </w:r>
            <w:r w:rsidR="002B439F" w:rsidRPr="00803A7F">
              <w:rPr>
                <w:rFonts w:cs="David" w:hint="cs"/>
                <w:sz w:val="24"/>
                <w:szCs w:val="24"/>
                <w:rtl/>
              </w:rPr>
              <w:instrText>"</w:instrText>
            </w:r>
            <w:r w:rsidR="002B439F" w:rsidRPr="00803A7F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2B439F" w:rsidRPr="00803A7F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046C16">
              <w:rPr>
                <w:rFonts w:cs="David"/>
                <w:noProof/>
                <w:sz w:val="24"/>
                <w:szCs w:val="24"/>
                <w:rtl/>
              </w:rPr>
              <w:t>‏20 מרץ, 2022</w:t>
            </w:r>
            <w:r w:rsidR="002B439F" w:rsidRPr="00803A7F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</w:tbl>
    <w:p w:rsidR="00830625" w:rsidRPr="00803A7F" w:rsidRDefault="00F71253" w:rsidP="006858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03A7F">
        <w:rPr>
          <w:rFonts w:cs="David" w:hint="cs"/>
          <w:sz w:val="24"/>
          <w:szCs w:val="24"/>
          <w:rtl/>
        </w:rPr>
        <w:t>הודעה לעיתונות:</w:t>
      </w:r>
      <w:r w:rsidR="005E1F10" w:rsidRPr="00803A7F">
        <w:rPr>
          <w:rFonts w:hint="cs"/>
          <w:sz w:val="24"/>
          <w:szCs w:val="24"/>
          <w:rtl/>
        </w:rPr>
        <w:tab/>
      </w:r>
      <w:r w:rsidR="005E1F10" w:rsidRPr="00803A7F">
        <w:rPr>
          <w:rFonts w:hint="cs"/>
          <w:sz w:val="24"/>
          <w:szCs w:val="24"/>
          <w:rtl/>
        </w:rPr>
        <w:tab/>
      </w:r>
      <w:r w:rsidR="005E1F10" w:rsidRPr="00803A7F">
        <w:rPr>
          <w:rFonts w:hint="cs"/>
          <w:sz w:val="24"/>
          <w:szCs w:val="24"/>
          <w:rtl/>
        </w:rPr>
        <w:tab/>
      </w:r>
      <w:r w:rsidR="005E1F10" w:rsidRPr="00803A7F">
        <w:rPr>
          <w:rFonts w:hint="cs"/>
          <w:sz w:val="24"/>
          <w:szCs w:val="24"/>
          <w:rtl/>
        </w:rPr>
        <w:tab/>
      </w:r>
      <w:r w:rsidR="005E1F10" w:rsidRPr="00803A7F">
        <w:rPr>
          <w:rFonts w:hint="cs"/>
          <w:sz w:val="24"/>
          <w:szCs w:val="24"/>
          <w:rtl/>
        </w:rPr>
        <w:tab/>
      </w:r>
      <w:r w:rsidR="005E1F10" w:rsidRPr="00803A7F">
        <w:rPr>
          <w:rFonts w:hint="cs"/>
          <w:sz w:val="24"/>
          <w:szCs w:val="24"/>
          <w:rtl/>
        </w:rPr>
        <w:tab/>
      </w:r>
    </w:p>
    <w:p w:rsidR="00F203D3" w:rsidRPr="006858A0" w:rsidRDefault="00F203D3" w:rsidP="00C27672">
      <w:pPr>
        <w:tabs>
          <w:tab w:val="left" w:pos="2315"/>
        </w:tabs>
        <w:spacing w:line="240" w:lineRule="auto"/>
        <w:jc w:val="center"/>
        <w:rPr>
          <w:rStyle w:val="af"/>
          <w:rtl/>
        </w:rPr>
      </w:pPr>
      <w:r w:rsidRPr="006858A0">
        <w:rPr>
          <w:rStyle w:val="af"/>
          <w:rFonts w:hint="cs"/>
          <w:rtl/>
        </w:rPr>
        <w:t xml:space="preserve">הפיקוח על הבנקים </w:t>
      </w:r>
      <w:r w:rsidR="0025798A">
        <w:rPr>
          <w:rStyle w:val="af"/>
          <w:rFonts w:hint="cs"/>
          <w:rtl/>
        </w:rPr>
        <w:t xml:space="preserve">נוקט בצעדים </w:t>
      </w:r>
      <w:r w:rsidR="0004285F" w:rsidRPr="005B0C6E">
        <w:rPr>
          <w:rStyle w:val="af"/>
          <w:rFonts w:hint="eastAsia"/>
          <w:rtl/>
        </w:rPr>
        <w:t>נוספים</w:t>
      </w:r>
      <w:r w:rsidR="0004285F" w:rsidRPr="005B0C6E">
        <w:rPr>
          <w:rStyle w:val="af"/>
          <w:rtl/>
        </w:rPr>
        <w:t xml:space="preserve"> </w:t>
      </w:r>
      <w:r w:rsidR="0025798A">
        <w:rPr>
          <w:rStyle w:val="af"/>
          <w:rFonts w:hint="cs"/>
          <w:rtl/>
        </w:rPr>
        <w:t>נוכח עליה בסיכון האשראי לענף הבינוי והנדל"ן</w:t>
      </w:r>
    </w:p>
    <w:p w:rsidR="00DD2541" w:rsidRDefault="00DD2541" w:rsidP="005B5288">
      <w:pPr>
        <w:pStyle w:val="a5"/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DD2541" w:rsidRDefault="002A3B65" w:rsidP="00046C16">
      <w:pPr>
        <w:pStyle w:val="a5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C26983">
        <w:rPr>
          <w:rFonts w:cs="David"/>
          <w:sz w:val="24"/>
          <w:szCs w:val="24"/>
          <w:rtl/>
        </w:rPr>
        <w:t>בתקופה האחרונה חלה עלייה בסיכון האשראי במערכת הבנקאית לענף הבינוי והנדל"ן, אשר באה לידי ביטוי</w:t>
      </w:r>
      <w:r w:rsidR="005B0C6E">
        <w:rPr>
          <w:rFonts w:cs="David" w:hint="cs"/>
          <w:sz w:val="24"/>
          <w:szCs w:val="24"/>
          <w:rtl/>
        </w:rPr>
        <w:t>, בין היתר,</w:t>
      </w:r>
      <w:r w:rsidRPr="00C26983">
        <w:rPr>
          <w:rFonts w:cs="David"/>
          <w:sz w:val="24"/>
          <w:szCs w:val="24"/>
          <w:rtl/>
        </w:rPr>
        <w:t xml:space="preserve"> בגידול המואץ של יתרות האשראי ובמאפייני הסיכון לענף </w:t>
      </w:r>
      <w:r w:rsidR="00C27672">
        <w:rPr>
          <w:rFonts w:cs="David" w:hint="cs"/>
          <w:sz w:val="24"/>
          <w:szCs w:val="24"/>
          <w:rtl/>
        </w:rPr>
        <w:t xml:space="preserve">ובפרט בשיעורי המימון </w:t>
      </w:r>
      <w:r w:rsidRPr="00C26983">
        <w:rPr>
          <w:rFonts w:cs="David"/>
          <w:sz w:val="24"/>
          <w:szCs w:val="24"/>
          <w:rtl/>
        </w:rPr>
        <w:t>בחלק מהתאגידים הבנקאיים.</w:t>
      </w:r>
      <w:r w:rsidR="00B76A6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76A63">
        <w:rPr>
          <w:rFonts w:ascii="David" w:hAnsi="David" w:cs="David" w:hint="cs"/>
          <w:sz w:val="24"/>
          <w:szCs w:val="24"/>
          <w:rtl/>
        </w:rPr>
        <w:t>בעקבות כך, שלח המפקח על הבנקים במחצית השנייה של שנת 2</w:t>
      </w:r>
      <w:r w:rsidR="00C20168">
        <w:rPr>
          <w:rFonts w:ascii="David" w:hAnsi="David" w:cs="David" w:hint="cs"/>
          <w:sz w:val="24"/>
          <w:szCs w:val="24"/>
          <w:rtl/>
        </w:rPr>
        <w:t xml:space="preserve">021 הנחייה לנקוט בפעולות שמטרתן, בין היתר, </w:t>
      </w:r>
      <w:r w:rsidR="00B76A63">
        <w:rPr>
          <w:rFonts w:ascii="David" w:hAnsi="David" w:cs="David" w:hint="cs"/>
          <w:sz w:val="24"/>
          <w:szCs w:val="24"/>
          <w:rtl/>
        </w:rPr>
        <w:t>לחזק את ניהול סיכוני האשראי של המערכת הבנקאית</w:t>
      </w:r>
      <w:r w:rsidR="005B0C6E">
        <w:rPr>
          <w:rFonts w:ascii="David" w:hAnsi="David" w:cs="David" w:hint="cs"/>
          <w:sz w:val="24"/>
          <w:szCs w:val="24"/>
          <w:rtl/>
        </w:rPr>
        <w:t xml:space="preserve">, בזה, הגברת הליכי הניטור והבקרה אחר התפתחות סיכון האשראי, בחינת </w:t>
      </w:r>
      <w:proofErr w:type="spellStart"/>
      <w:r w:rsidR="005B0C6E">
        <w:rPr>
          <w:rFonts w:ascii="David" w:hAnsi="David" w:cs="David" w:hint="cs"/>
          <w:sz w:val="24"/>
          <w:szCs w:val="24"/>
          <w:rtl/>
        </w:rPr>
        <w:t>ואתגור</w:t>
      </w:r>
      <w:proofErr w:type="spellEnd"/>
      <w:r w:rsidR="005B0C6E">
        <w:rPr>
          <w:rFonts w:ascii="David" w:hAnsi="David" w:cs="David" w:hint="cs"/>
          <w:sz w:val="24"/>
          <w:szCs w:val="24"/>
          <w:rtl/>
        </w:rPr>
        <w:t xml:space="preserve"> ההפרשה הנדרשת להפסדי אשראי והרחבת התיאור האיכותני </w:t>
      </w:r>
      <w:proofErr w:type="spellStart"/>
      <w:r w:rsidR="005B0C6E">
        <w:rPr>
          <w:rFonts w:ascii="David" w:hAnsi="David" w:cs="David" w:hint="cs"/>
          <w:sz w:val="24"/>
          <w:szCs w:val="24"/>
          <w:rtl/>
        </w:rPr>
        <w:t>והכמותני</w:t>
      </w:r>
      <w:proofErr w:type="spellEnd"/>
      <w:r w:rsidR="005B0C6E">
        <w:rPr>
          <w:rFonts w:ascii="David" w:hAnsi="David" w:cs="David" w:hint="cs"/>
          <w:sz w:val="24"/>
          <w:szCs w:val="24"/>
          <w:rtl/>
        </w:rPr>
        <w:t xml:space="preserve"> במסגרת ה</w:t>
      </w:r>
      <w:r w:rsidR="00413550">
        <w:rPr>
          <w:rFonts w:ascii="David" w:hAnsi="David" w:cs="David" w:hint="cs"/>
          <w:sz w:val="24"/>
          <w:szCs w:val="24"/>
          <w:rtl/>
        </w:rPr>
        <w:t>ד</w:t>
      </w:r>
      <w:r w:rsidR="005B0C6E">
        <w:rPr>
          <w:rFonts w:ascii="David" w:hAnsi="David" w:cs="David" w:hint="cs"/>
          <w:sz w:val="24"/>
          <w:szCs w:val="24"/>
          <w:rtl/>
        </w:rPr>
        <w:t>וחות הכספיים להתפתחות הסיכון הענפי.</w:t>
      </w:r>
      <w:r w:rsidR="00206A08">
        <w:rPr>
          <w:rStyle w:val="af2"/>
          <w:rFonts w:ascii="David" w:hAnsi="David" w:cs="David"/>
          <w:sz w:val="24"/>
          <w:szCs w:val="24"/>
          <w:rtl/>
        </w:rPr>
        <w:footnoteReference w:id="1"/>
      </w:r>
    </w:p>
    <w:p w:rsidR="0004285F" w:rsidRPr="0004285F" w:rsidRDefault="0004285F" w:rsidP="00B76A63">
      <w:pPr>
        <w:pStyle w:val="a5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:rsidR="002A3B65" w:rsidRPr="0004285F" w:rsidRDefault="00B76A63" w:rsidP="00C27672">
      <w:pPr>
        <w:pStyle w:val="a5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לנוכח המשך המגמה </w:t>
      </w:r>
      <w:r w:rsidR="005B0C6E">
        <w:rPr>
          <w:rFonts w:ascii="David" w:hAnsi="David" w:cs="David" w:hint="cs"/>
          <w:sz w:val="24"/>
          <w:szCs w:val="24"/>
          <w:rtl/>
        </w:rPr>
        <w:t>של העלי</w:t>
      </w:r>
      <w:r w:rsidR="00413550">
        <w:rPr>
          <w:rFonts w:ascii="David" w:hAnsi="David" w:cs="David" w:hint="cs"/>
          <w:sz w:val="24"/>
          <w:szCs w:val="24"/>
          <w:rtl/>
        </w:rPr>
        <w:t>י</w:t>
      </w:r>
      <w:r w:rsidR="005B0C6E">
        <w:rPr>
          <w:rFonts w:ascii="David" w:hAnsi="David" w:cs="David" w:hint="cs"/>
          <w:sz w:val="24"/>
          <w:szCs w:val="24"/>
          <w:rtl/>
        </w:rPr>
        <w:t xml:space="preserve">ה במאפייני הסיכון </w:t>
      </w:r>
      <w:r>
        <w:rPr>
          <w:rFonts w:ascii="David" w:hAnsi="David" w:cs="David" w:hint="cs"/>
          <w:sz w:val="24"/>
          <w:szCs w:val="24"/>
          <w:rtl/>
        </w:rPr>
        <w:t xml:space="preserve">וכחלק מהחלטה לנקוט בצעדים פיקוחיים נוספים, שלח היום המפקח על הבנקים מכתב ובו הנחיות נוספות שמטרתן </w:t>
      </w:r>
      <w:r w:rsidRPr="00FE7127">
        <w:rPr>
          <w:rFonts w:ascii="David" w:hAnsi="David" w:cs="David"/>
          <w:sz w:val="24"/>
          <w:szCs w:val="24"/>
          <w:rtl/>
        </w:rPr>
        <w:t>לחזק את ניהול הסיכונים, את השקיפות</w:t>
      </w:r>
      <w:r w:rsidR="00C27672">
        <w:rPr>
          <w:rFonts w:ascii="David" w:hAnsi="David" w:cs="David" w:hint="cs"/>
          <w:sz w:val="24"/>
          <w:szCs w:val="24"/>
          <w:rtl/>
        </w:rPr>
        <w:t xml:space="preserve"> </w:t>
      </w:r>
      <w:r w:rsidRPr="00FE7127">
        <w:rPr>
          <w:rFonts w:ascii="David" w:hAnsi="David" w:cs="David"/>
          <w:sz w:val="24"/>
          <w:szCs w:val="24"/>
          <w:rtl/>
        </w:rPr>
        <w:t>ואת כושר הניטור אחר הסיכון בתיק.</w:t>
      </w:r>
    </w:p>
    <w:p w:rsidR="002A3B65" w:rsidRDefault="002A3B65" w:rsidP="005B5288">
      <w:pPr>
        <w:pStyle w:val="a5"/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C27672" w:rsidRDefault="00C27672" w:rsidP="005B5288">
      <w:pPr>
        <w:pStyle w:val="a5"/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להלן עיקרי הצעדים:</w:t>
      </w:r>
    </w:p>
    <w:p w:rsidR="00C27672" w:rsidRDefault="00C27672" w:rsidP="005B5288">
      <w:pPr>
        <w:pStyle w:val="a5"/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04285F" w:rsidRPr="0004285F" w:rsidRDefault="0004285F" w:rsidP="0004285F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4285F">
        <w:rPr>
          <w:rFonts w:ascii="David" w:hAnsi="David" w:cs="David"/>
          <w:b/>
          <w:bCs/>
          <w:sz w:val="24"/>
          <w:szCs w:val="24"/>
          <w:u w:val="single"/>
          <w:rtl/>
        </w:rPr>
        <w:t>דרישה להקצאת הון נוספת בגין מימון קרקעות במינוף גבוה</w:t>
      </w:r>
      <w:r w:rsidRPr="0004285F">
        <w:rPr>
          <w:rFonts w:ascii="David" w:hAnsi="David" w:cs="David"/>
          <w:sz w:val="24"/>
          <w:szCs w:val="24"/>
          <w:rtl/>
        </w:rPr>
        <w:t xml:space="preserve"> – הבנקים יידרשו להגדיל את משקל הסיכון של הלוואות שניתנו</w:t>
      </w:r>
      <w:r w:rsidR="005B0C6E">
        <w:rPr>
          <w:rFonts w:ascii="David" w:hAnsi="David" w:cs="David" w:hint="cs"/>
          <w:sz w:val="24"/>
          <w:szCs w:val="24"/>
          <w:rtl/>
        </w:rPr>
        <w:t xml:space="preserve"> וש</w:t>
      </w:r>
      <w:r w:rsidR="00413550">
        <w:rPr>
          <w:rFonts w:ascii="David" w:hAnsi="David" w:cs="David" w:hint="cs"/>
          <w:sz w:val="24"/>
          <w:szCs w:val="24"/>
          <w:rtl/>
        </w:rPr>
        <w:t>י</w:t>
      </w:r>
      <w:r w:rsidR="005B0C6E">
        <w:rPr>
          <w:rFonts w:ascii="David" w:hAnsi="David" w:cs="David" w:hint="cs"/>
          <w:sz w:val="24"/>
          <w:szCs w:val="24"/>
          <w:rtl/>
        </w:rPr>
        <w:t>ינתנו</w:t>
      </w:r>
      <w:r w:rsidRPr="0004285F">
        <w:rPr>
          <w:rFonts w:ascii="David" w:hAnsi="David" w:cs="David"/>
          <w:sz w:val="24"/>
          <w:szCs w:val="24"/>
          <w:rtl/>
        </w:rPr>
        <w:t xml:space="preserve"> לרכישת קרקעות, בשיעור</w:t>
      </w:r>
      <w:r w:rsidRPr="0004285F">
        <w:rPr>
          <w:rFonts w:ascii="David" w:hAnsi="David" w:cs="David" w:hint="cs"/>
          <w:sz w:val="24"/>
          <w:szCs w:val="24"/>
          <w:rtl/>
        </w:rPr>
        <w:t xml:space="preserve"> </w:t>
      </w:r>
      <w:r w:rsidRPr="0004285F">
        <w:rPr>
          <w:rFonts w:ascii="David" w:hAnsi="David" w:cs="David"/>
        </w:rPr>
        <w:t>LTV</w:t>
      </w:r>
      <w:r w:rsidRPr="0004285F">
        <w:rPr>
          <w:rFonts w:ascii="David" w:hAnsi="David" w:cs="David"/>
          <w:rtl/>
        </w:rPr>
        <w:t xml:space="preserve"> </w:t>
      </w:r>
      <w:r w:rsidRPr="0004285F">
        <w:rPr>
          <w:rFonts w:ascii="David" w:hAnsi="David" w:cs="David"/>
          <w:sz w:val="24"/>
          <w:szCs w:val="24"/>
          <w:rtl/>
        </w:rPr>
        <w:t>העולה על 75%</w:t>
      </w:r>
      <w:r w:rsidRPr="0004285F">
        <w:rPr>
          <w:rFonts w:ascii="David" w:hAnsi="David" w:cs="David" w:hint="cs"/>
          <w:sz w:val="24"/>
          <w:szCs w:val="24"/>
          <w:rtl/>
        </w:rPr>
        <w:t>.</w:t>
      </w:r>
    </w:p>
    <w:p w:rsidR="0004285F" w:rsidRPr="0004285F" w:rsidRDefault="0004285F" w:rsidP="00C27672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4285F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="005B0C6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פיקוח </w:t>
      </w:r>
      <w:r w:rsidRPr="0004285F">
        <w:rPr>
          <w:rFonts w:ascii="David" w:hAnsi="David" w:cs="David" w:hint="cs"/>
          <w:b/>
          <w:bCs/>
          <w:sz w:val="24"/>
          <w:szCs w:val="24"/>
          <w:u w:val="single"/>
          <w:rtl/>
        </w:rPr>
        <w:t>יעביר למערכת הבנקאית</w:t>
      </w:r>
      <w:r w:rsidRPr="0004285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5B0C6E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דוגמאות </w:t>
      </w:r>
      <w:r w:rsidR="005B0C6E">
        <w:rPr>
          <w:rFonts w:ascii="David" w:hAnsi="David" w:cs="David" w:hint="cs"/>
          <w:b/>
          <w:bCs/>
          <w:sz w:val="24"/>
          <w:szCs w:val="24"/>
          <w:u w:val="single"/>
          <w:rtl/>
        </w:rPr>
        <w:t>מיי</w:t>
      </w:r>
      <w:r w:rsidR="009373FA">
        <w:rPr>
          <w:rFonts w:ascii="David" w:hAnsi="David" w:cs="David" w:hint="cs"/>
          <w:b/>
          <w:bCs/>
          <w:sz w:val="24"/>
          <w:szCs w:val="24"/>
          <w:u w:val="single"/>
          <w:rtl/>
        </w:rPr>
        <w:t>צגות לתהליכי חיתום וסיווג אשראי</w:t>
      </w:r>
      <w:r w:rsidRPr="0004285F">
        <w:rPr>
          <w:rFonts w:ascii="David" w:hAnsi="David" w:cs="David" w:hint="cs"/>
          <w:sz w:val="24"/>
          <w:szCs w:val="24"/>
          <w:rtl/>
        </w:rPr>
        <w:t xml:space="preserve"> </w:t>
      </w:r>
      <w:r w:rsidRPr="0004285F">
        <w:rPr>
          <w:rFonts w:ascii="David" w:hAnsi="David" w:cs="David"/>
          <w:sz w:val="24"/>
          <w:szCs w:val="24"/>
          <w:rtl/>
        </w:rPr>
        <w:t xml:space="preserve">– </w:t>
      </w:r>
      <w:r w:rsidR="00C27672" w:rsidRPr="0004285F">
        <w:rPr>
          <w:rFonts w:ascii="David" w:hAnsi="David" w:cs="David"/>
          <w:sz w:val="24"/>
          <w:szCs w:val="24"/>
          <w:rtl/>
        </w:rPr>
        <w:t>במטרה להמחיש ולהדגים את תהליך הניתוח של צוותי הביקורת של הפיקוח על הבנקים</w:t>
      </w:r>
      <w:bookmarkStart w:id="0" w:name="_GoBack"/>
      <w:bookmarkEnd w:id="0"/>
      <w:r w:rsidR="00C27672" w:rsidRPr="0004285F">
        <w:rPr>
          <w:rFonts w:ascii="David" w:hAnsi="David" w:cs="David"/>
          <w:sz w:val="24"/>
          <w:szCs w:val="24"/>
          <w:rtl/>
        </w:rPr>
        <w:t xml:space="preserve"> ולסייע בכך לניהול הליכי </w:t>
      </w:r>
      <w:r w:rsidR="00C27672">
        <w:rPr>
          <w:rFonts w:ascii="David" w:hAnsi="David" w:cs="David"/>
          <w:sz w:val="24"/>
          <w:szCs w:val="24"/>
          <w:rtl/>
        </w:rPr>
        <w:t>החיתום והסיווג של האשראי בבנקים</w:t>
      </w:r>
      <w:r w:rsidR="00C27672">
        <w:rPr>
          <w:rFonts w:ascii="David" w:hAnsi="David" w:cs="David" w:hint="cs"/>
          <w:sz w:val="24"/>
          <w:szCs w:val="24"/>
          <w:rtl/>
        </w:rPr>
        <w:t xml:space="preserve"> יפורסמו </w:t>
      </w:r>
      <w:r w:rsidRPr="0004285F">
        <w:rPr>
          <w:rFonts w:ascii="David" w:hAnsi="David" w:cs="David" w:hint="cs"/>
          <w:sz w:val="24"/>
          <w:szCs w:val="24"/>
          <w:rtl/>
        </w:rPr>
        <w:t xml:space="preserve">דוגמאות </w:t>
      </w:r>
      <w:r w:rsidR="00C27672">
        <w:rPr>
          <w:rFonts w:ascii="David" w:hAnsi="David" w:cs="David" w:hint="cs"/>
          <w:sz w:val="24"/>
          <w:szCs w:val="24"/>
          <w:rtl/>
        </w:rPr>
        <w:t xml:space="preserve">למקרים מייצגים </w:t>
      </w:r>
      <w:r w:rsidRPr="0004285F">
        <w:rPr>
          <w:rFonts w:ascii="David" w:hAnsi="David" w:cs="David"/>
          <w:sz w:val="24"/>
          <w:szCs w:val="24"/>
          <w:rtl/>
        </w:rPr>
        <w:t xml:space="preserve">שעלו </w:t>
      </w:r>
      <w:r w:rsidRPr="0004285F">
        <w:rPr>
          <w:rFonts w:ascii="David" w:hAnsi="David" w:cs="David" w:hint="cs"/>
          <w:sz w:val="24"/>
          <w:szCs w:val="24"/>
          <w:rtl/>
        </w:rPr>
        <w:t xml:space="preserve">אגב ביצוע של </w:t>
      </w:r>
      <w:r w:rsidRPr="0004285F">
        <w:rPr>
          <w:rFonts w:ascii="David" w:hAnsi="David" w:cs="David"/>
          <w:sz w:val="24"/>
          <w:szCs w:val="24"/>
          <w:rtl/>
        </w:rPr>
        <w:t>תהליכי ביקורת</w:t>
      </w:r>
      <w:r w:rsidRPr="0004285F">
        <w:rPr>
          <w:rFonts w:ascii="David" w:hAnsi="David" w:cs="David" w:hint="cs"/>
          <w:sz w:val="24"/>
          <w:szCs w:val="24"/>
          <w:rtl/>
        </w:rPr>
        <w:t xml:space="preserve"> שביצע הפיקוח</w:t>
      </w:r>
      <w:r w:rsidRPr="0004285F">
        <w:rPr>
          <w:rFonts w:ascii="David" w:hAnsi="David" w:cs="David"/>
          <w:sz w:val="24"/>
          <w:szCs w:val="24"/>
          <w:rtl/>
        </w:rPr>
        <w:t xml:space="preserve"> בהתייחס לאשראי לענף הבינוי והנדל"ן</w:t>
      </w:r>
      <w:r w:rsidRPr="0004285F">
        <w:rPr>
          <w:rFonts w:ascii="David" w:hAnsi="David" w:cs="David" w:hint="cs"/>
          <w:sz w:val="24"/>
          <w:szCs w:val="24"/>
          <w:rtl/>
        </w:rPr>
        <w:t>.</w:t>
      </w:r>
      <w:r w:rsidRPr="0004285F">
        <w:rPr>
          <w:rFonts w:ascii="David" w:hAnsi="David" w:cs="David"/>
          <w:sz w:val="24"/>
          <w:szCs w:val="24"/>
          <w:rtl/>
        </w:rPr>
        <w:t xml:space="preserve"> הדוגמאות </w:t>
      </w:r>
      <w:r w:rsidR="00C27672">
        <w:rPr>
          <w:rFonts w:ascii="David" w:hAnsi="David" w:cs="David" w:hint="cs"/>
          <w:sz w:val="24"/>
          <w:szCs w:val="24"/>
          <w:rtl/>
        </w:rPr>
        <w:t>י</w:t>
      </w:r>
      <w:r w:rsidRPr="0004285F">
        <w:rPr>
          <w:rFonts w:ascii="David" w:hAnsi="David" w:cs="David"/>
          <w:sz w:val="24"/>
          <w:szCs w:val="24"/>
          <w:rtl/>
        </w:rPr>
        <w:t>תייחסו, בין היתר למימון פרויקטים בליווי פיננסי סגור ולמימון רכישת קרקעות</w:t>
      </w:r>
      <w:r w:rsidR="00C27672">
        <w:rPr>
          <w:rFonts w:ascii="David" w:hAnsi="David" w:cs="David" w:hint="cs"/>
          <w:sz w:val="24"/>
          <w:szCs w:val="24"/>
          <w:rtl/>
        </w:rPr>
        <w:t>.</w:t>
      </w:r>
    </w:p>
    <w:p w:rsidR="0004285F" w:rsidRPr="0004285F" w:rsidRDefault="0004285F" w:rsidP="009373FA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4285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הרחבת </w:t>
      </w:r>
      <w:r w:rsidR="00C2767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דרישות </w:t>
      </w:r>
      <w:r w:rsidRPr="0004285F">
        <w:rPr>
          <w:rFonts w:ascii="David" w:hAnsi="David" w:cs="David"/>
          <w:b/>
          <w:bCs/>
          <w:sz w:val="24"/>
          <w:szCs w:val="24"/>
          <w:u w:val="single"/>
          <w:rtl/>
        </w:rPr>
        <w:t>הדיווח לפיקוח על ענף הבינוי והנדל"ן</w:t>
      </w:r>
      <w:r w:rsidRPr="0004285F">
        <w:rPr>
          <w:rFonts w:ascii="David" w:hAnsi="David" w:cs="David"/>
          <w:sz w:val="24"/>
          <w:szCs w:val="24"/>
          <w:rtl/>
        </w:rPr>
        <w:t xml:space="preserve"> </w:t>
      </w:r>
      <w:r w:rsidR="009373FA" w:rsidRPr="0004285F">
        <w:rPr>
          <w:rFonts w:ascii="David" w:hAnsi="David" w:cs="David"/>
          <w:sz w:val="24"/>
          <w:szCs w:val="24"/>
          <w:rtl/>
        </w:rPr>
        <w:t>–</w:t>
      </w:r>
      <w:r w:rsidRPr="0004285F">
        <w:rPr>
          <w:rFonts w:ascii="David" w:hAnsi="David" w:cs="David"/>
          <w:sz w:val="24"/>
          <w:szCs w:val="24"/>
          <w:rtl/>
        </w:rPr>
        <w:t xml:space="preserve"> </w:t>
      </w:r>
      <w:r w:rsidR="009373FA">
        <w:rPr>
          <w:rFonts w:ascii="David" w:hAnsi="David" w:cs="David" w:hint="cs"/>
          <w:sz w:val="24"/>
          <w:szCs w:val="24"/>
          <w:rtl/>
        </w:rPr>
        <w:t xml:space="preserve">על אף  קיומו של מידע שמדווח בנושא הנדל"ן, הוחלט על </w:t>
      </w:r>
      <w:r w:rsidRPr="0004285F">
        <w:rPr>
          <w:rFonts w:ascii="David" w:hAnsi="David" w:cs="David"/>
          <w:sz w:val="24"/>
          <w:szCs w:val="24"/>
          <w:rtl/>
        </w:rPr>
        <w:t>הרחב</w:t>
      </w:r>
      <w:r w:rsidR="00C27672">
        <w:rPr>
          <w:rFonts w:ascii="David" w:hAnsi="David" w:cs="David" w:hint="cs"/>
          <w:sz w:val="24"/>
          <w:szCs w:val="24"/>
          <w:rtl/>
        </w:rPr>
        <w:t>ה</w:t>
      </w:r>
      <w:r w:rsidRPr="0004285F">
        <w:rPr>
          <w:rFonts w:ascii="David" w:hAnsi="David" w:cs="David"/>
          <w:sz w:val="24"/>
          <w:szCs w:val="24"/>
          <w:rtl/>
        </w:rPr>
        <w:t xml:space="preserve"> </w:t>
      </w:r>
      <w:r w:rsidRPr="0004285F">
        <w:rPr>
          <w:rFonts w:ascii="David" w:hAnsi="David" w:cs="David" w:hint="cs"/>
          <w:sz w:val="24"/>
          <w:szCs w:val="24"/>
          <w:rtl/>
        </w:rPr>
        <w:t>והעמק</w:t>
      </w:r>
      <w:r w:rsidR="00C27672">
        <w:rPr>
          <w:rFonts w:ascii="David" w:hAnsi="David" w:cs="David" w:hint="cs"/>
          <w:sz w:val="24"/>
          <w:szCs w:val="24"/>
          <w:rtl/>
        </w:rPr>
        <w:t>ה</w:t>
      </w:r>
      <w:r w:rsidRPr="0004285F">
        <w:rPr>
          <w:rFonts w:ascii="David" w:hAnsi="David" w:cs="David" w:hint="cs"/>
          <w:sz w:val="24"/>
          <w:szCs w:val="24"/>
          <w:rtl/>
        </w:rPr>
        <w:t xml:space="preserve"> </w:t>
      </w:r>
      <w:r w:rsidR="00465416">
        <w:rPr>
          <w:rFonts w:ascii="David" w:hAnsi="David" w:cs="David" w:hint="cs"/>
          <w:sz w:val="24"/>
          <w:szCs w:val="24"/>
          <w:rtl/>
        </w:rPr>
        <w:t xml:space="preserve">של דרישות </w:t>
      </w:r>
      <w:r w:rsidRPr="0004285F">
        <w:rPr>
          <w:rFonts w:ascii="David" w:hAnsi="David" w:cs="David"/>
          <w:sz w:val="24"/>
          <w:szCs w:val="24"/>
          <w:rtl/>
        </w:rPr>
        <w:t xml:space="preserve">המידע </w:t>
      </w:r>
      <w:r w:rsidR="00465416">
        <w:rPr>
          <w:rFonts w:ascii="David" w:hAnsi="David" w:cs="David" w:hint="cs"/>
          <w:sz w:val="24"/>
          <w:szCs w:val="24"/>
          <w:rtl/>
        </w:rPr>
        <w:t xml:space="preserve">שימסרו </w:t>
      </w:r>
      <w:r w:rsidR="00465416">
        <w:rPr>
          <w:rFonts w:ascii="David" w:hAnsi="David" w:cs="David" w:hint="cs"/>
          <w:sz w:val="24"/>
          <w:szCs w:val="24"/>
          <w:rtl/>
        </w:rPr>
        <w:lastRenderedPageBreak/>
        <w:t>הבנקים</w:t>
      </w:r>
      <w:r w:rsidRPr="0004285F">
        <w:rPr>
          <w:rFonts w:ascii="David" w:hAnsi="David" w:cs="David"/>
          <w:sz w:val="24"/>
          <w:szCs w:val="24"/>
          <w:rtl/>
        </w:rPr>
        <w:t xml:space="preserve"> בדיווח</w:t>
      </w:r>
      <w:r w:rsidR="00465416">
        <w:rPr>
          <w:rFonts w:ascii="David" w:hAnsi="David" w:cs="David" w:hint="cs"/>
          <w:sz w:val="24"/>
          <w:szCs w:val="24"/>
          <w:rtl/>
        </w:rPr>
        <w:t>יהם</w:t>
      </w:r>
      <w:r w:rsidRPr="0004285F">
        <w:rPr>
          <w:rFonts w:ascii="David" w:hAnsi="David" w:cs="David" w:hint="cs"/>
          <w:sz w:val="24"/>
          <w:szCs w:val="24"/>
          <w:rtl/>
        </w:rPr>
        <w:t xml:space="preserve"> לפיקוח</w:t>
      </w:r>
      <w:r w:rsidRPr="0004285F">
        <w:rPr>
          <w:rFonts w:ascii="David" w:hAnsi="David" w:cs="David"/>
          <w:sz w:val="24"/>
          <w:szCs w:val="24"/>
          <w:rtl/>
        </w:rPr>
        <w:t xml:space="preserve"> </w:t>
      </w:r>
      <w:r w:rsidR="00465416">
        <w:rPr>
          <w:rFonts w:ascii="David" w:hAnsi="David" w:cs="David" w:hint="cs"/>
          <w:sz w:val="24"/>
          <w:szCs w:val="24"/>
          <w:rtl/>
        </w:rPr>
        <w:t>כדי ל</w:t>
      </w:r>
      <w:r w:rsidRPr="0004285F">
        <w:rPr>
          <w:rFonts w:ascii="David" w:hAnsi="David" w:cs="David"/>
          <w:sz w:val="24"/>
          <w:szCs w:val="24"/>
          <w:rtl/>
        </w:rPr>
        <w:t>אפשר מעקב טוב יותר אחר התפתחות הסיכון לענ</w:t>
      </w:r>
      <w:r w:rsidR="00465416">
        <w:rPr>
          <w:rFonts w:ascii="David" w:hAnsi="David" w:cs="David" w:hint="cs"/>
          <w:sz w:val="24"/>
          <w:szCs w:val="24"/>
          <w:rtl/>
        </w:rPr>
        <w:t>פים אלו</w:t>
      </w:r>
      <w:r w:rsidRPr="0004285F">
        <w:rPr>
          <w:rFonts w:ascii="David" w:hAnsi="David" w:cs="David"/>
          <w:sz w:val="24"/>
          <w:szCs w:val="24"/>
          <w:rtl/>
        </w:rPr>
        <w:t>.</w:t>
      </w:r>
    </w:p>
    <w:p w:rsidR="00C20168" w:rsidRPr="00C20168" w:rsidRDefault="00C20168" w:rsidP="0046541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שלושת צעדים אלו יידונו בהליכי ההתייעצות המקובלים </w:t>
      </w:r>
      <w:r w:rsidR="00465416">
        <w:rPr>
          <w:rFonts w:ascii="David" w:hAnsi="David" w:cs="David" w:hint="cs"/>
          <w:sz w:val="24"/>
          <w:szCs w:val="24"/>
          <w:rtl/>
        </w:rPr>
        <w:t xml:space="preserve">ויכנסו לתוקפם </w:t>
      </w:r>
      <w:r>
        <w:rPr>
          <w:rFonts w:ascii="David" w:hAnsi="David" w:cs="David" w:hint="cs"/>
          <w:sz w:val="24"/>
          <w:szCs w:val="24"/>
          <w:rtl/>
        </w:rPr>
        <w:t>בהקדם.</w:t>
      </w:r>
    </w:p>
    <w:p w:rsidR="00046C16" w:rsidRDefault="00046C16" w:rsidP="00D26F3D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820B72" w:rsidRPr="00B76A63" w:rsidRDefault="00F50C25" w:rsidP="00D26F3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76A63">
        <w:rPr>
          <w:rFonts w:ascii="David" w:hAnsi="David" w:cs="David"/>
          <w:b/>
          <w:bCs/>
          <w:sz w:val="24"/>
          <w:szCs w:val="24"/>
          <w:rtl/>
        </w:rPr>
        <w:t xml:space="preserve">המפקח על הבנקים, </w:t>
      </w:r>
      <w:r w:rsidR="00BB398A" w:rsidRPr="00B76A63">
        <w:rPr>
          <w:rFonts w:ascii="David" w:hAnsi="David" w:cs="David"/>
          <w:b/>
          <w:bCs/>
          <w:sz w:val="24"/>
          <w:szCs w:val="24"/>
          <w:rtl/>
        </w:rPr>
        <w:t>מר יאיר אבידן:</w:t>
      </w:r>
      <w:r w:rsidRPr="00B76A63">
        <w:rPr>
          <w:rFonts w:ascii="David" w:hAnsi="David" w:cs="David"/>
          <w:sz w:val="24"/>
          <w:szCs w:val="24"/>
          <w:rtl/>
        </w:rPr>
        <w:t xml:space="preserve"> </w:t>
      </w:r>
    </w:p>
    <w:p w:rsidR="009373FA" w:rsidRPr="009373FA" w:rsidRDefault="00D26F3D" w:rsidP="009373FA">
      <w:pPr>
        <w:pStyle w:val="a5"/>
        <w:spacing w:line="360" w:lineRule="auto"/>
        <w:ind w:left="0"/>
        <w:jc w:val="both"/>
        <w:rPr>
          <w:rFonts w:cs="David"/>
          <w:sz w:val="24"/>
          <w:szCs w:val="24"/>
          <w:rtl/>
        </w:rPr>
      </w:pPr>
      <w:r w:rsidRPr="009373FA">
        <w:rPr>
          <w:rFonts w:cs="David" w:hint="cs"/>
          <w:sz w:val="24"/>
          <w:szCs w:val="24"/>
          <w:rtl/>
        </w:rPr>
        <w:t>"</w:t>
      </w:r>
      <w:r w:rsidR="00465416" w:rsidRPr="009373FA">
        <w:rPr>
          <w:rFonts w:cs="David" w:hint="eastAsia"/>
          <w:sz w:val="24"/>
          <w:szCs w:val="24"/>
          <w:rtl/>
        </w:rPr>
        <w:t>לאור</w:t>
      </w:r>
      <w:r w:rsidR="00465416" w:rsidRPr="009373FA">
        <w:rPr>
          <w:rFonts w:cs="David"/>
          <w:sz w:val="24"/>
          <w:szCs w:val="24"/>
          <w:rtl/>
        </w:rPr>
        <w:t xml:space="preserve"> עליה בתיאבון לסיכון</w:t>
      </w:r>
      <w:r w:rsidR="00465416" w:rsidRPr="009373FA">
        <w:rPr>
          <w:rFonts w:cs="David" w:hint="cs"/>
          <w:sz w:val="24"/>
          <w:szCs w:val="24"/>
          <w:rtl/>
        </w:rPr>
        <w:t xml:space="preserve"> </w:t>
      </w:r>
      <w:r w:rsidR="00465416" w:rsidRPr="009373FA">
        <w:rPr>
          <w:rFonts w:cs="David" w:hint="eastAsia"/>
          <w:sz w:val="24"/>
          <w:szCs w:val="24"/>
          <w:rtl/>
        </w:rPr>
        <w:t>ו</w:t>
      </w:r>
      <w:r w:rsidR="00465416" w:rsidRPr="009373FA">
        <w:rPr>
          <w:rFonts w:cs="David"/>
          <w:sz w:val="24"/>
          <w:szCs w:val="24"/>
          <w:rtl/>
        </w:rPr>
        <w:t>בחשיפ</w:t>
      </w:r>
      <w:r w:rsidR="00465416" w:rsidRPr="009373FA">
        <w:rPr>
          <w:rFonts w:cs="David" w:hint="cs"/>
          <w:sz w:val="24"/>
          <w:szCs w:val="24"/>
          <w:rtl/>
        </w:rPr>
        <w:t>ו</w:t>
      </w:r>
      <w:r w:rsidR="00465416" w:rsidRPr="009373FA">
        <w:rPr>
          <w:rFonts w:cs="David"/>
          <w:sz w:val="24"/>
          <w:szCs w:val="24"/>
          <w:rtl/>
        </w:rPr>
        <w:t>ת המערכת הבנקאית לענף הבינוי והנדל"ן</w:t>
      </w:r>
      <w:r w:rsidR="009373FA" w:rsidRPr="009373FA">
        <w:rPr>
          <w:rFonts w:cs="David" w:hint="cs"/>
          <w:sz w:val="24"/>
          <w:szCs w:val="24"/>
          <w:rtl/>
        </w:rPr>
        <w:t xml:space="preserve"> הנחנו</w:t>
      </w:r>
      <w:r w:rsidR="00465416" w:rsidRPr="009373FA">
        <w:rPr>
          <w:rFonts w:cs="David"/>
          <w:sz w:val="24"/>
          <w:szCs w:val="24"/>
          <w:rtl/>
        </w:rPr>
        <w:t xml:space="preserve"> </w:t>
      </w:r>
      <w:r w:rsidR="00465416" w:rsidRPr="009373FA">
        <w:rPr>
          <w:rFonts w:cs="David" w:hint="cs"/>
          <w:sz w:val="24"/>
          <w:szCs w:val="24"/>
          <w:rtl/>
        </w:rPr>
        <w:t>בתקופה האחרונה</w:t>
      </w:r>
      <w:r w:rsidR="00465416" w:rsidRPr="009373FA">
        <w:rPr>
          <w:rFonts w:cs="David"/>
          <w:sz w:val="24"/>
          <w:szCs w:val="24"/>
          <w:rtl/>
        </w:rPr>
        <w:t xml:space="preserve"> </w:t>
      </w:r>
      <w:r w:rsidR="009373FA" w:rsidRPr="009373FA">
        <w:rPr>
          <w:rFonts w:cs="David" w:hint="cs"/>
          <w:sz w:val="24"/>
          <w:szCs w:val="24"/>
          <w:rtl/>
        </w:rPr>
        <w:t xml:space="preserve">את </w:t>
      </w:r>
      <w:r w:rsidR="00465416" w:rsidRPr="009373FA">
        <w:rPr>
          <w:rFonts w:cs="David" w:hint="eastAsia"/>
          <w:sz w:val="24"/>
          <w:szCs w:val="24"/>
          <w:rtl/>
        </w:rPr>
        <w:t>הבנקים</w:t>
      </w:r>
      <w:r w:rsidR="00465416" w:rsidRPr="009373FA">
        <w:rPr>
          <w:rFonts w:cs="David"/>
          <w:sz w:val="24"/>
          <w:szCs w:val="24"/>
          <w:rtl/>
        </w:rPr>
        <w:t xml:space="preserve"> </w:t>
      </w:r>
      <w:r w:rsidR="00465416" w:rsidRPr="009373FA">
        <w:rPr>
          <w:rFonts w:cs="David" w:hint="eastAsia"/>
          <w:sz w:val="24"/>
          <w:szCs w:val="24"/>
          <w:rtl/>
        </w:rPr>
        <w:t>לקיים</w:t>
      </w:r>
      <w:r w:rsidR="00465416" w:rsidRPr="009373FA">
        <w:rPr>
          <w:rFonts w:cs="David"/>
          <w:sz w:val="24"/>
          <w:szCs w:val="24"/>
          <w:rtl/>
        </w:rPr>
        <w:t xml:space="preserve"> </w:t>
      </w:r>
      <w:r w:rsidR="00465416" w:rsidRPr="009373FA">
        <w:rPr>
          <w:rFonts w:cs="David" w:hint="eastAsia"/>
          <w:sz w:val="24"/>
          <w:szCs w:val="24"/>
          <w:rtl/>
        </w:rPr>
        <w:t>דיונים</w:t>
      </w:r>
      <w:r w:rsidR="00465416" w:rsidRPr="009373FA">
        <w:rPr>
          <w:rFonts w:cs="David"/>
          <w:sz w:val="24"/>
          <w:szCs w:val="24"/>
          <w:rtl/>
        </w:rPr>
        <w:t xml:space="preserve"> מתאימים בנושא בדירקטוריו</w:t>
      </w:r>
      <w:r w:rsidR="00465416" w:rsidRPr="009373FA">
        <w:rPr>
          <w:rFonts w:cs="David" w:hint="eastAsia"/>
          <w:sz w:val="24"/>
          <w:szCs w:val="24"/>
          <w:rtl/>
        </w:rPr>
        <w:t>ן</w:t>
      </w:r>
      <w:r w:rsidR="00465416" w:rsidRPr="009373FA">
        <w:rPr>
          <w:rFonts w:cs="David"/>
          <w:sz w:val="24"/>
          <w:szCs w:val="24"/>
          <w:rtl/>
        </w:rPr>
        <w:t xml:space="preserve"> ובהנהלות</w:t>
      </w:r>
      <w:r w:rsidR="00465416" w:rsidRPr="009373FA">
        <w:rPr>
          <w:rFonts w:cs="David" w:hint="eastAsia"/>
          <w:sz w:val="24"/>
          <w:szCs w:val="24"/>
          <w:rtl/>
        </w:rPr>
        <w:t>יהם</w:t>
      </w:r>
      <w:r w:rsidR="00465416" w:rsidRPr="009373FA">
        <w:rPr>
          <w:rFonts w:cs="David"/>
          <w:sz w:val="24"/>
          <w:szCs w:val="24"/>
          <w:rtl/>
        </w:rPr>
        <w:t xml:space="preserve">, </w:t>
      </w:r>
      <w:r w:rsidR="009373FA" w:rsidRPr="009373FA">
        <w:rPr>
          <w:rFonts w:cs="David" w:hint="cs"/>
          <w:sz w:val="24"/>
          <w:szCs w:val="24"/>
          <w:rtl/>
        </w:rPr>
        <w:t>שמטרתם בחינת תיאבון הסיכון, מדיניות האשראי, הגברת</w:t>
      </w:r>
      <w:r w:rsidR="00465416" w:rsidRPr="009373FA">
        <w:rPr>
          <w:rFonts w:cs="David"/>
          <w:sz w:val="24"/>
          <w:szCs w:val="24"/>
          <w:rtl/>
        </w:rPr>
        <w:t xml:space="preserve"> הניטור והבקרה</w:t>
      </w:r>
      <w:r w:rsidR="009373FA" w:rsidRPr="009373FA">
        <w:rPr>
          <w:rFonts w:cs="David" w:hint="cs"/>
          <w:sz w:val="24"/>
          <w:szCs w:val="24"/>
          <w:rtl/>
        </w:rPr>
        <w:t>, ניתוח מאפייני התפתחות הסיכון</w:t>
      </w:r>
      <w:r w:rsidR="00465416" w:rsidRPr="009373FA">
        <w:rPr>
          <w:rFonts w:cs="David"/>
          <w:sz w:val="24"/>
          <w:szCs w:val="24"/>
          <w:rtl/>
        </w:rPr>
        <w:t xml:space="preserve"> ו</w:t>
      </w:r>
      <w:r w:rsidR="00465416" w:rsidRPr="009373FA">
        <w:rPr>
          <w:rFonts w:cs="David" w:hint="eastAsia"/>
          <w:sz w:val="24"/>
          <w:szCs w:val="24"/>
          <w:rtl/>
        </w:rPr>
        <w:t>ל</w:t>
      </w:r>
      <w:r w:rsidR="00465416" w:rsidRPr="009373FA">
        <w:rPr>
          <w:rFonts w:cs="David"/>
          <w:sz w:val="24"/>
          <w:szCs w:val="24"/>
          <w:rtl/>
        </w:rPr>
        <w:t>ו</w:t>
      </w:r>
      <w:r w:rsidR="00465416" w:rsidRPr="009373FA">
        <w:rPr>
          <w:rFonts w:cs="David" w:hint="eastAsia"/>
          <w:sz w:val="24"/>
          <w:szCs w:val="24"/>
          <w:rtl/>
        </w:rPr>
        <w:t>ודא</w:t>
      </w:r>
      <w:r w:rsidR="00465416" w:rsidRPr="009373FA">
        <w:rPr>
          <w:rFonts w:cs="David"/>
          <w:sz w:val="24"/>
          <w:szCs w:val="24"/>
          <w:rtl/>
        </w:rPr>
        <w:t xml:space="preserve"> </w:t>
      </w:r>
      <w:r w:rsidR="00465416" w:rsidRPr="009373FA">
        <w:rPr>
          <w:rFonts w:cs="David" w:hint="eastAsia"/>
          <w:sz w:val="24"/>
          <w:szCs w:val="24"/>
          <w:rtl/>
        </w:rPr>
        <w:t>קיומם</w:t>
      </w:r>
      <w:r w:rsidR="00465416" w:rsidRPr="009373FA">
        <w:rPr>
          <w:rFonts w:cs="David"/>
          <w:sz w:val="24"/>
          <w:szCs w:val="24"/>
          <w:rtl/>
        </w:rPr>
        <w:t xml:space="preserve"> של הפרשות נאותות</w:t>
      </w:r>
      <w:r w:rsidR="00465416" w:rsidRPr="009373FA">
        <w:rPr>
          <w:rFonts w:cs="David" w:hint="cs"/>
          <w:sz w:val="24"/>
          <w:szCs w:val="24"/>
          <w:rtl/>
        </w:rPr>
        <w:t xml:space="preserve">. </w:t>
      </w:r>
    </w:p>
    <w:p w:rsidR="009373FA" w:rsidRDefault="009373FA" w:rsidP="009373FA">
      <w:pPr>
        <w:pStyle w:val="a5"/>
        <w:spacing w:line="360" w:lineRule="auto"/>
        <w:ind w:left="0"/>
        <w:jc w:val="both"/>
        <w:rPr>
          <w:rFonts w:cs="David"/>
          <w:sz w:val="24"/>
          <w:szCs w:val="24"/>
          <w:rtl/>
        </w:rPr>
      </w:pPr>
    </w:p>
    <w:p w:rsidR="00B76A63" w:rsidRPr="009373FA" w:rsidRDefault="00465416" w:rsidP="009373FA">
      <w:pPr>
        <w:pStyle w:val="a5"/>
        <w:spacing w:line="360" w:lineRule="auto"/>
        <w:ind w:left="0"/>
        <w:jc w:val="both"/>
        <w:rPr>
          <w:rFonts w:cs="David"/>
          <w:sz w:val="24"/>
          <w:szCs w:val="24"/>
          <w:rtl/>
        </w:rPr>
      </w:pPr>
      <w:r w:rsidRPr="009373FA">
        <w:rPr>
          <w:rFonts w:cs="David" w:hint="cs"/>
          <w:sz w:val="24"/>
          <w:szCs w:val="24"/>
          <w:rtl/>
        </w:rPr>
        <w:t>בנוסף, החלטנו ל</w:t>
      </w:r>
      <w:r w:rsidR="0004285F" w:rsidRPr="009373FA">
        <w:rPr>
          <w:rFonts w:cs="David" w:hint="cs"/>
          <w:sz w:val="24"/>
          <w:szCs w:val="24"/>
          <w:rtl/>
        </w:rPr>
        <w:t>פרס</w:t>
      </w:r>
      <w:r w:rsidRPr="009373FA">
        <w:rPr>
          <w:rFonts w:cs="David" w:hint="cs"/>
          <w:sz w:val="24"/>
          <w:szCs w:val="24"/>
          <w:rtl/>
        </w:rPr>
        <w:t>ם</w:t>
      </w:r>
      <w:r w:rsidR="0004285F" w:rsidRPr="009373FA">
        <w:rPr>
          <w:rFonts w:cs="David" w:hint="cs"/>
          <w:sz w:val="24"/>
          <w:szCs w:val="24"/>
          <w:rtl/>
        </w:rPr>
        <w:t xml:space="preserve"> היום </w:t>
      </w:r>
      <w:r w:rsidRPr="009373FA">
        <w:rPr>
          <w:rFonts w:cs="David" w:hint="cs"/>
          <w:sz w:val="24"/>
          <w:szCs w:val="24"/>
          <w:rtl/>
        </w:rPr>
        <w:t xml:space="preserve">סט </w:t>
      </w:r>
      <w:r w:rsidR="0004285F" w:rsidRPr="009373FA">
        <w:rPr>
          <w:rFonts w:cs="David" w:hint="cs"/>
          <w:sz w:val="24"/>
          <w:szCs w:val="24"/>
          <w:rtl/>
        </w:rPr>
        <w:t xml:space="preserve">צעדים נוספים </w:t>
      </w:r>
      <w:r w:rsidRPr="009373FA">
        <w:rPr>
          <w:rFonts w:cs="David" w:hint="cs"/>
          <w:sz w:val="24"/>
          <w:szCs w:val="24"/>
          <w:rtl/>
        </w:rPr>
        <w:t xml:space="preserve">שיאפשרו לקיים מערכת ניהול סיכונים אחראית יותר ובכללם, </w:t>
      </w:r>
      <w:r w:rsidRPr="009373FA">
        <w:rPr>
          <w:rFonts w:cs="David"/>
          <w:sz w:val="24"/>
          <w:szCs w:val="24"/>
          <w:rtl/>
        </w:rPr>
        <w:t>ריתוק הון נוסף למי</w:t>
      </w:r>
      <w:r w:rsidR="009373FA" w:rsidRPr="009373FA">
        <w:rPr>
          <w:rFonts w:cs="David"/>
          <w:sz w:val="24"/>
          <w:szCs w:val="24"/>
          <w:rtl/>
        </w:rPr>
        <w:t>מון קרקעות ממונפות,</w:t>
      </w:r>
      <w:r w:rsidRPr="009373FA">
        <w:rPr>
          <w:rFonts w:cs="David"/>
          <w:sz w:val="24"/>
          <w:szCs w:val="24"/>
          <w:rtl/>
        </w:rPr>
        <w:t xml:space="preserve"> ובנוסף, העמקת והרחבת </w:t>
      </w:r>
      <w:r w:rsidR="009373FA" w:rsidRPr="009373FA">
        <w:rPr>
          <w:rFonts w:cs="David" w:hint="cs"/>
          <w:sz w:val="24"/>
          <w:szCs w:val="24"/>
          <w:rtl/>
        </w:rPr>
        <w:t xml:space="preserve">דיווח </w:t>
      </w:r>
      <w:r w:rsidRPr="009373FA">
        <w:rPr>
          <w:rFonts w:cs="David"/>
          <w:sz w:val="24"/>
          <w:szCs w:val="24"/>
          <w:rtl/>
        </w:rPr>
        <w:t>המידע של חשיפת המערכת הבנקאית לענף. אנו רואים חשיבות רבה למימון וליווי ענף הנדל"ן במשק הישראלי, זאת לצד, שמירת תיאבון סיכון ומתודולוגיית חיתום אשראי שמרנית ונאותה.</w:t>
      </w:r>
      <w:r w:rsidR="00203B6D" w:rsidRPr="009373FA">
        <w:rPr>
          <w:rFonts w:cs="David" w:hint="cs"/>
          <w:sz w:val="24"/>
          <w:szCs w:val="24"/>
          <w:rtl/>
        </w:rPr>
        <w:t xml:space="preserve"> </w:t>
      </w:r>
      <w:r w:rsidR="006971C6" w:rsidRPr="009373FA">
        <w:rPr>
          <w:rFonts w:cs="David" w:hint="cs"/>
          <w:sz w:val="24"/>
          <w:szCs w:val="24"/>
          <w:rtl/>
        </w:rPr>
        <w:t xml:space="preserve">אנו </w:t>
      </w:r>
      <w:r w:rsidR="0004285F" w:rsidRPr="009373FA">
        <w:rPr>
          <w:rFonts w:cs="David" w:hint="cs"/>
          <w:sz w:val="24"/>
          <w:szCs w:val="24"/>
          <w:rtl/>
        </w:rPr>
        <w:t xml:space="preserve">נמשיך </w:t>
      </w:r>
      <w:r w:rsidR="00B76A63" w:rsidRPr="009373FA">
        <w:rPr>
          <w:rFonts w:cs="David"/>
          <w:sz w:val="24"/>
          <w:szCs w:val="24"/>
          <w:rtl/>
        </w:rPr>
        <w:t>לעקוב אחר ההתפתחויות</w:t>
      </w:r>
      <w:r w:rsidR="009373FA" w:rsidRPr="009373FA">
        <w:rPr>
          <w:rFonts w:cs="David" w:hint="cs"/>
          <w:sz w:val="24"/>
          <w:szCs w:val="24"/>
          <w:rtl/>
        </w:rPr>
        <w:t xml:space="preserve"> בשוק הבינוי והנדל"ן, בזה, תיאבון לסיכון, מדיניות האשראי, החיתום והתמחור</w:t>
      </w:r>
      <w:r w:rsidR="00B76A63" w:rsidRPr="009373FA">
        <w:rPr>
          <w:rFonts w:cs="David"/>
          <w:sz w:val="24"/>
          <w:szCs w:val="24"/>
          <w:rtl/>
        </w:rPr>
        <w:t xml:space="preserve"> </w:t>
      </w:r>
      <w:r w:rsidR="0004285F" w:rsidRPr="009373FA">
        <w:rPr>
          <w:rFonts w:cs="David" w:hint="cs"/>
          <w:sz w:val="24"/>
          <w:szCs w:val="24"/>
          <w:rtl/>
        </w:rPr>
        <w:t>ונשקול</w:t>
      </w:r>
      <w:r w:rsidR="00B76A63" w:rsidRPr="009373FA">
        <w:rPr>
          <w:rFonts w:cs="David"/>
          <w:sz w:val="24"/>
          <w:szCs w:val="24"/>
          <w:rtl/>
        </w:rPr>
        <w:t xml:space="preserve"> את הצורך בנקיטת צעדים נוספים בהמשך, לפי הצורך.</w:t>
      </w:r>
      <w:r w:rsidR="00D26F3D" w:rsidRPr="009373FA">
        <w:rPr>
          <w:rFonts w:cs="David" w:hint="cs"/>
          <w:sz w:val="24"/>
          <w:szCs w:val="24"/>
          <w:rtl/>
        </w:rPr>
        <w:t>"</w:t>
      </w:r>
    </w:p>
    <w:p w:rsidR="00203B6D" w:rsidRPr="00D26F3D" w:rsidRDefault="00203B6D" w:rsidP="00465416">
      <w:pPr>
        <w:spacing w:after="0" w:line="360" w:lineRule="auto"/>
        <w:jc w:val="both"/>
        <w:rPr>
          <w:rFonts w:ascii="David" w:eastAsia="Times New Roman" w:hAnsi="David" w:cs="David"/>
          <w:b/>
          <w:bCs/>
          <w:color w:val="333333"/>
          <w:sz w:val="24"/>
          <w:szCs w:val="24"/>
        </w:rPr>
      </w:pPr>
    </w:p>
    <w:p w:rsidR="006858A0" w:rsidRPr="00B76A63" w:rsidRDefault="008A4A29" w:rsidP="0004285F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1778C">
        <w:rPr>
          <w:rFonts w:ascii="David" w:hAnsi="David" w:cs="David" w:hint="cs"/>
          <w:sz w:val="24"/>
          <w:szCs w:val="24"/>
          <w:rtl/>
        </w:rPr>
        <w:t xml:space="preserve">להודעה </w:t>
      </w:r>
      <w:r w:rsidR="0004285F">
        <w:rPr>
          <w:rFonts w:ascii="David" w:hAnsi="David" w:cs="David" w:hint="cs"/>
          <w:sz w:val="24"/>
          <w:szCs w:val="24"/>
          <w:rtl/>
        </w:rPr>
        <w:t xml:space="preserve">זו </w:t>
      </w:r>
      <w:r w:rsidRPr="0061778C">
        <w:rPr>
          <w:rFonts w:ascii="David" w:hAnsi="David" w:cs="David" w:hint="cs"/>
          <w:sz w:val="24"/>
          <w:szCs w:val="24"/>
          <w:rtl/>
        </w:rPr>
        <w:t>מצור</w:t>
      </w:r>
      <w:r w:rsidR="0004285F">
        <w:rPr>
          <w:rFonts w:ascii="David" w:hAnsi="David" w:cs="David" w:hint="cs"/>
          <w:sz w:val="24"/>
          <w:szCs w:val="24"/>
          <w:rtl/>
        </w:rPr>
        <w:t xml:space="preserve">ף </w:t>
      </w:r>
      <w:r w:rsidR="00B76A63">
        <w:rPr>
          <w:rFonts w:ascii="David" w:hAnsi="David" w:cs="David" w:hint="cs"/>
          <w:sz w:val="24"/>
          <w:szCs w:val="24"/>
          <w:rtl/>
        </w:rPr>
        <w:t xml:space="preserve">מכתב המפקח </w:t>
      </w:r>
      <w:r w:rsidR="0004285F">
        <w:rPr>
          <w:rFonts w:ascii="David" w:hAnsi="David" w:cs="David" w:hint="cs"/>
          <w:sz w:val="24"/>
          <w:szCs w:val="24"/>
          <w:rtl/>
        </w:rPr>
        <w:t>שנשלח לתאגידים הבנקאיים</w:t>
      </w:r>
      <w:r w:rsidR="009373FA">
        <w:rPr>
          <w:rFonts w:ascii="David" w:hAnsi="David" w:cs="David" w:hint="cs"/>
          <w:sz w:val="24"/>
          <w:szCs w:val="24"/>
          <w:rtl/>
        </w:rPr>
        <w:t>.</w:t>
      </w:r>
    </w:p>
    <w:sectPr w:rsidR="006858A0" w:rsidRPr="00B76A63" w:rsidSect="008057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53" w:rsidRDefault="00450853" w:rsidP="002B49A8">
      <w:pPr>
        <w:spacing w:after="0" w:line="240" w:lineRule="auto"/>
      </w:pPr>
      <w:r>
        <w:separator/>
      </w:r>
    </w:p>
  </w:endnote>
  <w:endnote w:type="continuationSeparator" w:id="0">
    <w:p w:rsidR="00450853" w:rsidRDefault="00450853" w:rsidP="002B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F3" w:rsidRDefault="00D021F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F3" w:rsidRDefault="00D021F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F3" w:rsidRDefault="00D021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53" w:rsidRDefault="00450853" w:rsidP="002B49A8">
      <w:pPr>
        <w:spacing w:after="0" w:line="240" w:lineRule="auto"/>
      </w:pPr>
      <w:r>
        <w:separator/>
      </w:r>
    </w:p>
  </w:footnote>
  <w:footnote w:type="continuationSeparator" w:id="0">
    <w:p w:rsidR="00450853" w:rsidRDefault="00450853" w:rsidP="002B49A8">
      <w:pPr>
        <w:spacing w:after="0" w:line="240" w:lineRule="auto"/>
      </w:pPr>
      <w:r>
        <w:continuationSeparator/>
      </w:r>
    </w:p>
  </w:footnote>
  <w:footnote w:id="1">
    <w:p w:rsidR="00206A08" w:rsidRPr="00206A08" w:rsidRDefault="00206A08" w:rsidP="00206A08">
      <w:pPr>
        <w:pStyle w:val="af4"/>
        <w:rPr>
          <w:sz w:val="20"/>
          <w:szCs w:val="20"/>
        </w:rPr>
      </w:pPr>
      <w:r>
        <w:rPr>
          <w:rStyle w:val="af2"/>
        </w:rPr>
        <w:footnoteRef/>
      </w:r>
      <w:r>
        <w:rPr>
          <w:rtl/>
        </w:rPr>
        <w:t xml:space="preserve"> </w:t>
      </w:r>
      <w:hyperlink r:id="rId1" w:history="1">
        <w:r w:rsidRPr="00206A08">
          <w:rPr>
            <w:rStyle w:val="Hyperlink"/>
            <w:rFonts w:hint="cs"/>
            <w:sz w:val="20"/>
            <w:szCs w:val="20"/>
          </w:rPr>
          <w:t>https://e.boi.org.il/he/BankingSupervision/LettersAndCircularsSupervisorOfBanks/LettersOfTheBankingSupervisionDepartment/202138.pdf</w:t>
        </w:r>
      </w:hyperlink>
    </w:p>
    <w:p w:rsidR="00206A08" w:rsidRPr="00206A08" w:rsidRDefault="00206A08" w:rsidP="00206A08">
      <w:pPr>
        <w:pStyle w:val="af4"/>
        <w:rPr>
          <w:rFonts w:hint="cs"/>
          <w:sz w:val="20"/>
          <w:szCs w:val="20"/>
          <w:rtl/>
        </w:rPr>
      </w:pPr>
      <w:r w:rsidRPr="00206A08">
        <w:rPr>
          <w:rFonts w:ascii="Arial" w:hAnsi="Arial" w:cs="Arial"/>
          <w:sz w:val="20"/>
          <w:szCs w:val="20"/>
        </w:rPr>
        <w:t> </w:t>
      </w:r>
      <w:hyperlink r:id="rId2" w:history="1">
        <w:r w:rsidRPr="00206A08">
          <w:rPr>
            <w:rStyle w:val="Hyperlink"/>
            <w:sz w:val="20"/>
            <w:szCs w:val="20"/>
          </w:rPr>
          <w:t>https://e.boi.org.il/he/BankingSupervision/LettersAndCircularsSupervisorOfBanks/LettersOfTheBankingSupervisionDepartment/202139.pdf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F3" w:rsidRDefault="00D021F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F3" w:rsidRDefault="00D021F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F3" w:rsidRDefault="00D021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CF"/>
    <w:multiLevelType w:val="hybridMultilevel"/>
    <w:tmpl w:val="BC629444"/>
    <w:lvl w:ilvl="0" w:tplc="A1F82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083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232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C3B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A21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1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A0B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2E1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A32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218C2"/>
    <w:multiLevelType w:val="hybridMultilevel"/>
    <w:tmpl w:val="DA4E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4C71"/>
    <w:multiLevelType w:val="hybridMultilevel"/>
    <w:tmpl w:val="8B581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D2B9E"/>
    <w:multiLevelType w:val="hybridMultilevel"/>
    <w:tmpl w:val="34FC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A1577"/>
    <w:multiLevelType w:val="hybridMultilevel"/>
    <w:tmpl w:val="3A0C44B8"/>
    <w:lvl w:ilvl="0" w:tplc="94C00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287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4DF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422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65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49E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EC3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2F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0701A9"/>
    <w:multiLevelType w:val="hybridMultilevel"/>
    <w:tmpl w:val="D778B7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E5870"/>
    <w:multiLevelType w:val="hybridMultilevel"/>
    <w:tmpl w:val="026C4C36"/>
    <w:lvl w:ilvl="0" w:tplc="23A86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C9E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37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C1F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CD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421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6C9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CF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44F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64118D"/>
    <w:multiLevelType w:val="hybridMultilevel"/>
    <w:tmpl w:val="2102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45D2F"/>
    <w:multiLevelType w:val="hybridMultilevel"/>
    <w:tmpl w:val="93BE55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512C9"/>
    <w:multiLevelType w:val="hybridMultilevel"/>
    <w:tmpl w:val="2A6CB642"/>
    <w:lvl w:ilvl="0" w:tplc="5D74BFAE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04CB3"/>
    <w:multiLevelType w:val="hybridMultilevel"/>
    <w:tmpl w:val="4A02C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72C8C"/>
    <w:multiLevelType w:val="hybridMultilevel"/>
    <w:tmpl w:val="60D89C26"/>
    <w:lvl w:ilvl="0" w:tplc="06541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77079"/>
    <w:multiLevelType w:val="hybridMultilevel"/>
    <w:tmpl w:val="61347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A341A"/>
    <w:multiLevelType w:val="hybridMultilevel"/>
    <w:tmpl w:val="03867D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A76F20"/>
    <w:multiLevelType w:val="hybridMultilevel"/>
    <w:tmpl w:val="BD4CB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3357A"/>
    <w:multiLevelType w:val="hybridMultilevel"/>
    <w:tmpl w:val="74B81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7C4F13"/>
    <w:multiLevelType w:val="hybridMultilevel"/>
    <w:tmpl w:val="A2784B1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5AFD5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BA3D97"/>
    <w:multiLevelType w:val="hybridMultilevel"/>
    <w:tmpl w:val="3056B28E"/>
    <w:lvl w:ilvl="0" w:tplc="6F6601AA"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07851"/>
    <w:multiLevelType w:val="multilevel"/>
    <w:tmpl w:val="099267E4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  <w:b w:val="0"/>
        <w:bCs w:val="0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  <w:b w:val="0"/>
        <w:bCs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0" w15:restartNumberingAfterBreak="0">
    <w:nsid w:val="76224846"/>
    <w:multiLevelType w:val="hybridMultilevel"/>
    <w:tmpl w:val="B2922FAE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EE4C68"/>
    <w:multiLevelType w:val="hybridMultilevel"/>
    <w:tmpl w:val="DDB6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6661"/>
    <w:multiLevelType w:val="hybridMultilevel"/>
    <w:tmpl w:val="D7BC0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930D51"/>
    <w:multiLevelType w:val="hybridMultilevel"/>
    <w:tmpl w:val="1A7687FE"/>
    <w:lvl w:ilvl="0" w:tplc="06541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813C6"/>
    <w:multiLevelType w:val="hybridMultilevel"/>
    <w:tmpl w:val="7E062334"/>
    <w:lvl w:ilvl="0" w:tplc="E32A4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E7E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38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29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4FC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06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65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A37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2BC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E8A4E07"/>
    <w:multiLevelType w:val="hybridMultilevel"/>
    <w:tmpl w:val="2A70795E"/>
    <w:lvl w:ilvl="0" w:tplc="8F86A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2A0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088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EB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0B2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462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42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C15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C03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F717587"/>
    <w:multiLevelType w:val="hybridMultilevel"/>
    <w:tmpl w:val="337A4D30"/>
    <w:lvl w:ilvl="0" w:tplc="C3B22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BC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48D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0A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4AD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874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2F2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81A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48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5"/>
  </w:num>
  <w:num w:numId="5">
    <w:abstractNumId w:val="15"/>
  </w:num>
  <w:num w:numId="6">
    <w:abstractNumId w:val="22"/>
  </w:num>
  <w:num w:numId="7">
    <w:abstractNumId w:val="1"/>
  </w:num>
  <w:num w:numId="8">
    <w:abstractNumId w:val="10"/>
  </w:num>
  <w:num w:numId="9">
    <w:abstractNumId w:val="16"/>
  </w:num>
  <w:num w:numId="10">
    <w:abstractNumId w:val="3"/>
  </w:num>
  <w:num w:numId="11">
    <w:abstractNumId w:val="7"/>
  </w:num>
  <w:num w:numId="12">
    <w:abstractNumId w:val="19"/>
  </w:num>
  <w:num w:numId="13">
    <w:abstractNumId w:val="23"/>
  </w:num>
  <w:num w:numId="14">
    <w:abstractNumId w:val="11"/>
  </w:num>
  <w:num w:numId="15">
    <w:abstractNumId w:val="21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 w:numId="20">
    <w:abstractNumId w:val="26"/>
  </w:num>
  <w:num w:numId="21">
    <w:abstractNumId w:val="24"/>
  </w:num>
  <w:num w:numId="22">
    <w:abstractNumId w:val="0"/>
  </w:num>
  <w:num w:numId="23">
    <w:abstractNumId w:val="25"/>
  </w:num>
  <w:num w:numId="24">
    <w:abstractNumId w:val="8"/>
  </w:num>
  <w:num w:numId="25">
    <w:abstractNumId w:val="20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32CC"/>
    <w:rsid w:val="00013736"/>
    <w:rsid w:val="00015EDB"/>
    <w:rsid w:val="00016854"/>
    <w:rsid w:val="00017C6B"/>
    <w:rsid w:val="000209FA"/>
    <w:rsid w:val="00026CBF"/>
    <w:rsid w:val="00027CC0"/>
    <w:rsid w:val="000327BF"/>
    <w:rsid w:val="00035765"/>
    <w:rsid w:val="000421DE"/>
    <w:rsid w:val="0004285F"/>
    <w:rsid w:val="00046C16"/>
    <w:rsid w:val="00046F61"/>
    <w:rsid w:val="0005122E"/>
    <w:rsid w:val="00051A9A"/>
    <w:rsid w:val="000620F1"/>
    <w:rsid w:val="00064465"/>
    <w:rsid w:val="00064D3C"/>
    <w:rsid w:val="0006514F"/>
    <w:rsid w:val="00066EE2"/>
    <w:rsid w:val="000671DA"/>
    <w:rsid w:val="00075D85"/>
    <w:rsid w:val="00076E45"/>
    <w:rsid w:val="00087ECB"/>
    <w:rsid w:val="00091349"/>
    <w:rsid w:val="00094E85"/>
    <w:rsid w:val="00096BEC"/>
    <w:rsid w:val="000A1FE0"/>
    <w:rsid w:val="000B3400"/>
    <w:rsid w:val="000B41DC"/>
    <w:rsid w:val="000B5E06"/>
    <w:rsid w:val="000C47EC"/>
    <w:rsid w:val="000C68E9"/>
    <w:rsid w:val="000C7D02"/>
    <w:rsid w:val="000D3778"/>
    <w:rsid w:val="000D6B9C"/>
    <w:rsid w:val="000D74F0"/>
    <w:rsid w:val="000F3B79"/>
    <w:rsid w:val="00104C0C"/>
    <w:rsid w:val="00107CAB"/>
    <w:rsid w:val="00110548"/>
    <w:rsid w:val="0011116B"/>
    <w:rsid w:val="0012285F"/>
    <w:rsid w:val="00132DF9"/>
    <w:rsid w:val="00137F86"/>
    <w:rsid w:val="001400ED"/>
    <w:rsid w:val="001472FC"/>
    <w:rsid w:val="0014744A"/>
    <w:rsid w:val="00155475"/>
    <w:rsid w:val="001573F3"/>
    <w:rsid w:val="00167449"/>
    <w:rsid w:val="001708D6"/>
    <w:rsid w:val="001822E8"/>
    <w:rsid w:val="00185700"/>
    <w:rsid w:val="001866BE"/>
    <w:rsid w:val="00190124"/>
    <w:rsid w:val="001958D5"/>
    <w:rsid w:val="00195904"/>
    <w:rsid w:val="001A087A"/>
    <w:rsid w:val="001B3693"/>
    <w:rsid w:val="001B4DC2"/>
    <w:rsid w:val="001B6194"/>
    <w:rsid w:val="001B7DD5"/>
    <w:rsid w:val="001C3CEE"/>
    <w:rsid w:val="001C65DE"/>
    <w:rsid w:val="001D2EB6"/>
    <w:rsid w:val="001D4D80"/>
    <w:rsid w:val="001F23DB"/>
    <w:rsid w:val="001F3C08"/>
    <w:rsid w:val="001F50D7"/>
    <w:rsid w:val="001F555A"/>
    <w:rsid w:val="00203B6D"/>
    <w:rsid w:val="00206A08"/>
    <w:rsid w:val="00210126"/>
    <w:rsid w:val="002111EC"/>
    <w:rsid w:val="00212ADC"/>
    <w:rsid w:val="00215DBF"/>
    <w:rsid w:val="00217949"/>
    <w:rsid w:val="00217A6F"/>
    <w:rsid w:val="0022188A"/>
    <w:rsid w:val="00222298"/>
    <w:rsid w:val="002243FE"/>
    <w:rsid w:val="00225AFF"/>
    <w:rsid w:val="002363FB"/>
    <w:rsid w:val="0023771D"/>
    <w:rsid w:val="00240CF0"/>
    <w:rsid w:val="00246030"/>
    <w:rsid w:val="00247476"/>
    <w:rsid w:val="00247B2C"/>
    <w:rsid w:val="002509AB"/>
    <w:rsid w:val="0025798A"/>
    <w:rsid w:val="00262C4C"/>
    <w:rsid w:val="00266A1D"/>
    <w:rsid w:val="00267A82"/>
    <w:rsid w:val="00277C97"/>
    <w:rsid w:val="00282A55"/>
    <w:rsid w:val="00285A59"/>
    <w:rsid w:val="00291753"/>
    <w:rsid w:val="002A3B65"/>
    <w:rsid w:val="002A56A7"/>
    <w:rsid w:val="002A6446"/>
    <w:rsid w:val="002A6530"/>
    <w:rsid w:val="002A7157"/>
    <w:rsid w:val="002B439F"/>
    <w:rsid w:val="002B49A8"/>
    <w:rsid w:val="002B50F4"/>
    <w:rsid w:val="002C0145"/>
    <w:rsid w:val="002C086F"/>
    <w:rsid w:val="002C337F"/>
    <w:rsid w:val="002D3F3A"/>
    <w:rsid w:val="002D48C7"/>
    <w:rsid w:val="002D668C"/>
    <w:rsid w:val="002E1087"/>
    <w:rsid w:val="002E390A"/>
    <w:rsid w:val="002E3BD1"/>
    <w:rsid w:val="002E679A"/>
    <w:rsid w:val="002E6BDA"/>
    <w:rsid w:val="00306517"/>
    <w:rsid w:val="003169FD"/>
    <w:rsid w:val="00324148"/>
    <w:rsid w:val="003260F8"/>
    <w:rsid w:val="00330BE8"/>
    <w:rsid w:val="00331F68"/>
    <w:rsid w:val="003344A3"/>
    <w:rsid w:val="003439A1"/>
    <w:rsid w:val="0034619F"/>
    <w:rsid w:val="003461A5"/>
    <w:rsid w:val="003518B2"/>
    <w:rsid w:val="00354692"/>
    <w:rsid w:val="00354A13"/>
    <w:rsid w:val="0036454E"/>
    <w:rsid w:val="003764B4"/>
    <w:rsid w:val="00382579"/>
    <w:rsid w:val="00382D51"/>
    <w:rsid w:val="0038419E"/>
    <w:rsid w:val="003854F7"/>
    <w:rsid w:val="0038668D"/>
    <w:rsid w:val="003920AA"/>
    <w:rsid w:val="00396518"/>
    <w:rsid w:val="003A0ED8"/>
    <w:rsid w:val="003A60F4"/>
    <w:rsid w:val="003A722B"/>
    <w:rsid w:val="003C52CE"/>
    <w:rsid w:val="003C6EA7"/>
    <w:rsid w:val="003E013E"/>
    <w:rsid w:val="003E324B"/>
    <w:rsid w:val="003E3D14"/>
    <w:rsid w:val="003E3D65"/>
    <w:rsid w:val="003E683F"/>
    <w:rsid w:val="00413550"/>
    <w:rsid w:val="0042117F"/>
    <w:rsid w:val="004250B9"/>
    <w:rsid w:val="00426C8E"/>
    <w:rsid w:val="00427BFD"/>
    <w:rsid w:val="00433123"/>
    <w:rsid w:val="0043505A"/>
    <w:rsid w:val="00437236"/>
    <w:rsid w:val="00440E20"/>
    <w:rsid w:val="00442B6C"/>
    <w:rsid w:val="00445FD0"/>
    <w:rsid w:val="004466AD"/>
    <w:rsid w:val="0044680F"/>
    <w:rsid w:val="00450853"/>
    <w:rsid w:val="00453FF4"/>
    <w:rsid w:val="004555C9"/>
    <w:rsid w:val="00465416"/>
    <w:rsid w:val="00467246"/>
    <w:rsid w:val="0047442C"/>
    <w:rsid w:val="00477BA4"/>
    <w:rsid w:val="00483AE7"/>
    <w:rsid w:val="00484EB5"/>
    <w:rsid w:val="004925E0"/>
    <w:rsid w:val="0049437E"/>
    <w:rsid w:val="0049529A"/>
    <w:rsid w:val="004A1BD7"/>
    <w:rsid w:val="004A26CB"/>
    <w:rsid w:val="004A559C"/>
    <w:rsid w:val="004A735A"/>
    <w:rsid w:val="004B33AD"/>
    <w:rsid w:val="004C15E1"/>
    <w:rsid w:val="004C300A"/>
    <w:rsid w:val="004C3C61"/>
    <w:rsid w:val="004C3DAB"/>
    <w:rsid w:val="004D5BEA"/>
    <w:rsid w:val="004D5E87"/>
    <w:rsid w:val="004E21D3"/>
    <w:rsid w:val="004E6872"/>
    <w:rsid w:val="004F14A5"/>
    <w:rsid w:val="004F2162"/>
    <w:rsid w:val="004F32D3"/>
    <w:rsid w:val="004F58C2"/>
    <w:rsid w:val="00502F53"/>
    <w:rsid w:val="0050699D"/>
    <w:rsid w:val="00507685"/>
    <w:rsid w:val="0051188E"/>
    <w:rsid w:val="00521C65"/>
    <w:rsid w:val="00525E35"/>
    <w:rsid w:val="005268E2"/>
    <w:rsid w:val="00527A5A"/>
    <w:rsid w:val="005553EC"/>
    <w:rsid w:val="00572648"/>
    <w:rsid w:val="005801CF"/>
    <w:rsid w:val="00581FCF"/>
    <w:rsid w:val="00591B6E"/>
    <w:rsid w:val="00592FCD"/>
    <w:rsid w:val="005A1BB9"/>
    <w:rsid w:val="005A2039"/>
    <w:rsid w:val="005A2BD1"/>
    <w:rsid w:val="005B0C6E"/>
    <w:rsid w:val="005B5288"/>
    <w:rsid w:val="005B5E8D"/>
    <w:rsid w:val="005C00BC"/>
    <w:rsid w:val="005C2B82"/>
    <w:rsid w:val="005C399C"/>
    <w:rsid w:val="005C6E95"/>
    <w:rsid w:val="005E16CE"/>
    <w:rsid w:val="005E1F10"/>
    <w:rsid w:val="005E4F4A"/>
    <w:rsid w:val="005E5269"/>
    <w:rsid w:val="005F1365"/>
    <w:rsid w:val="005F2118"/>
    <w:rsid w:val="005F426E"/>
    <w:rsid w:val="006054A7"/>
    <w:rsid w:val="00611975"/>
    <w:rsid w:val="006134A9"/>
    <w:rsid w:val="006136D9"/>
    <w:rsid w:val="00615E6B"/>
    <w:rsid w:val="00616D29"/>
    <w:rsid w:val="0061778C"/>
    <w:rsid w:val="006241F8"/>
    <w:rsid w:val="00632AA4"/>
    <w:rsid w:val="00633619"/>
    <w:rsid w:val="00641BA1"/>
    <w:rsid w:val="00643FF0"/>
    <w:rsid w:val="006472BE"/>
    <w:rsid w:val="00667DE4"/>
    <w:rsid w:val="00670F72"/>
    <w:rsid w:val="006714E9"/>
    <w:rsid w:val="0067317E"/>
    <w:rsid w:val="00673835"/>
    <w:rsid w:val="00680703"/>
    <w:rsid w:val="00682577"/>
    <w:rsid w:val="00684414"/>
    <w:rsid w:val="006858A0"/>
    <w:rsid w:val="00690D78"/>
    <w:rsid w:val="00693C0D"/>
    <w:rsid w:val="00695930"/>
    <w:rsid w:val="006971C6"/>
    <w:rsid w:val="006A618D"/>
    <w:rsid w:val="006A6435"/>
    <w:rsid w:val="006B352E"/>
    <w:rsid w:val="006B3AB7"/>
    <w:rsid w:val="006C5F90"/>
    <w:rsid w:val="006C6C56"/>
    <w:rsid w:val="006D43B9"/>
    <w:rsid w:val="006E2191"/>
    <w:rsid w:val="006F0726"/>
    <w:rsid w:val="006F17CD"/>
    <w:rsid w:val="006F3FB3"/>
    <w:rsid w:val="006F46C5"/>
    <w:rsid w:val="006F6DAA"/>
    <w:rsid w:val="00701B30"/>
    <w:rsid w:val="007022F8"/>
    <w:rsid w:val="0071135B"/>
    <w:rsid w:val="00713F49"/>
    <w:rsid w:val="0071485B"/>
    <w:rsid w:val="007150C0"/>
    <w:rsid w:val="007171CC"/>
    <w:rsid w:val="00733989"/>
    <w:rsid w:val="00735732"/>
    <w:rsid w:val="0074118B"/>
    <w:rsid w:val="007411B8"/>
    <w:rsid w:val="00741C71"/>
    <w:rsid w:val="007422A2"/>
    <w:rsid w:val="00742798"/>
    <w:rsid w:val="00746DA1"/>
    <w:rsid w:val="00751D85"/>
    <w:rsid w:val="0075330F"/>
    <w:rsid w:val="007578BD"/>
    <w:rsid w:val="00760D13"/>
    <w:rsid w:val="00762EF0"/>
    <w:rsid w:val="00764C0D"/>
    <w:rsid w:val="00765330"/>
    <w:rsid w:val="007815D2"/>
    <w:rsid w:val="0079007A"/>
    <w:rsid w:val="00790973"/>
    <w:rsid w:val="007933E5"/>
    <w:rsid w:val="00793521"/>
    <w:rsid w:val="007944F6"/>
    <w:rsid w:val="00795E5A"/>
    <w:rsid w:val="00797F0C"/>
    <w:rsid w:val="007A059F"/>
    <w:rsid w:val="007A0D47"/>
    <w:rsid w:val="007A35E4"/>
    <w:rsid w:val="007A35E7"/>
    <w:rsid w:val="007B01CA"/>
    <w:rsid w:val="007B183E"/>
    <w:rsid w:val="007B51CF"/>
    <w:rsid w:val="007C160C"/>
    <w:rsid w:val="007C77AD"/>
    <w:rsid w:val="007D2D26"/>
    <w:rsid w:val="007E3E88"/>
    <w:rsid w:val="00803A7F"/>
    <w:rsid w:val="008057D7"/>
    <w:rsid w:val="00806CDA"/>
    <w:rsid w:val="008155EA"/>
    <w:rsid w:val="00817D80"/>
    <w:rsid w:val="00820B72"/>
    <w:rsid w:val="008218DC"/>
    <w:rsid w:val="0082374E"/>
    <w:rsid w:val="00827316"/>
    <w:rsid w:val="00830625"/>
    <w:rsid w:val="00831676"/>
    <w:rsid w:val="00832AC4"/>
    <w:rsid w:val="00840B9B"/>
    <w:rsid w:val="00842391"/>
    <w:rsid w:val="0084332A"/>
    <w:rsid w:val="00852383"/>
    <w:rsid w:val="00854B3D"/>
    <w:rsid w:val="008620FE"/>
    <w:rsid w:val="00862F3C"/>
    <w:rsid w:val="00867784"/>
    <w:rsid w:val="00872E5F"/>
    <w:rsid w:val="00873D69"/>
    <w:rsid w:val="008818FC"/>
    <w:rsid w:val="008835B5"/>
    <w:rsid w:val="00885719"/>
    <w:rsid w:val="008921B5"/>
    <w:rsid w:val="0089394D"/>
    <w:rsid w:val="00893AAB"/>
    <w:rsid w:val="00895083"/>
    <w:rsid w:val="00896521"/>
    <w:rsid w:val="008A4A29"/>
    <w:rsid w:val="008A70BE"/>
    <w:rsid w:val="008B1F6E"/>
    <w:rsid w:val="008B7FFA"/>
    <w:rsid w:val="008D1438"/>
    <w:rsid w:val="008E015B"/>
    <w:rsid w:val="008E08C5"/>
    <w:rsid w:val="00900543"/>
    <w:rsid w:val="00906A25"/>
    <w:rsid w:val="00910013"/>
    <w:rsid w:val="0091178E"/>
    <w:rsid w:val="00913E02"/>
    <w:rsid w:val="009144E5"/>
    <w:rsid w:val="00916256"/>
    <w:rsid w:val="0091685B"/>
    <w:rsid w:val="00917F4B"/>
    <w:rsid w:val="009228C2"/>
    <w:rsid w:val="00926C08"/>
    <w:rsid w:val="009323CD"/>
    <w:rsid w:val="009373FA"/>
    <w:rsid w:val="0094009E"/>
    <w:rsid w:val="00950601"/>
    <w:rsid w:val="009514E8"/>
    <w:rsid w:val="0095510A"/>
    <w:rsid w:val="00957F9F"/>
    <w:rsid w:val="00960D0B"/>
    <w:rsid w:val="009634F5"/>
    <w:rsid w:val="0096793C"/>
    <w:rsid w:val="00976B01"/>
    <w:rsid w:val="009A4C2D"/>
    <w:rsid w:val="009B1771"/>
    <w:rsid w:val="009B6341"/>
    <w:rsid w:val="009B7C59"/>
    <w:rsid w:val="009C3752"/>
    <w:rsid w:val="009D70E3"/>
    <w:rsid w:val="009E4A3C"/>
    <w:rsid w:val="009F45F9"/>
    <w:rsid w:val="00A06531"/>
    <w:rsid w:val="00A0746C"/>
    <w:rsid w:val="00A07A38"/>
    <w:rsid w:val="00A16C29"/>
    <w:rsid w:val="00A2078A"/>
    <w:rsid w:val="00A20B35"/>
    <w:rsid w:val="00A31726"/>
    <w:rsid w:val="00A3317D"/>
    <w:rsid w:val="00A515F2"/>
    <w:rsid w:val="00A52367"/>
    <w:rsid w:val="00A52691"/>
    <w:rsid w:val="00A52C7B"/>
    <w:rsid w:val="00A540FD"/>
    <w:rsid w:val="00A561AE"/>
    <w:rsid w:val="00A56DDF"/>
    <w:rsid w:val="00A62C57"/>
    <w:rsid w:val="00A63790"/>
    <w:rsid w:val="00A67412"/>
    <w:rsid w:val="00A72427"/>
    <w:rsid w:val="00A7376B"/>
    <w:rsid w:val="00A73F83"/>
    <w:rsid w:val="00A7647D"/>
    <w:rsid w:val="00A83DAC"/>
    <w:rsid w:val="00AA2BD8"/>
    <w:rsid w:val="00AA56F1"/>
    <w:rsid w:val="00AC01DA"/>
    <w:rsid w:val="00AC3740"/>
    <w:rsid w:val="00AD20C7"/>
    <w:rsid w:val="00AD4FE0"/>
    <w:rsid w:val="00AD51DD"/>
    <w:rsid w:val="00AD585E"/>
    <w:rsid w:val="00AE20C8"/>
    <w:rsid w:val="00AE5FD3"/>
    <w:rsid w:val="00AE635F"/>
    <w:rsid w:val="00AF106D"/>
    <w:rsid w:val="00AF2115"/>
    <w:rsid w:val="00AF4047"/>
    <w:rsid w:val="00AF6AFD"/>
    <w:rsid w:val="00B0211C"/>
    <w:rsid w:val="00B04A92"/>
    <w:rsid w:val="00B05115"/>
    <w:rsid w:val="00B25C41"/>
    <w:rsid w:val="00B30220"/>
    <w:rsid w:val="00B318CA"/>
    <w:rsid w:val="00B379DC"/>
    <w:rsid w:val="00B4257D"/>
    <w:rsid w:val="00B45FAD"/>
    <w:rsid w:val="00B50A33"/>
    <w:rsid w:val="00B53E31"/>
    <w:rsid w:val="00B60495"/>
    <w:rsid w:val="00B72462"/>
    <w:rsid w:val="00B76A63"/>
    <w:rsid w:val="00B85F29"/>
    <w:rsid w:val="00B87262"/>
    <w:rsid w:val="00B87D0C"/>
    <w:rsid w:val="00B925ED"/>
    <w:rsid w:val="00B969C8"/>
    <w:rsid w:val="00BA15B0"/>
    <w:rsid w:val="00BA3720"/>
    <w:rsid w:val="00BA66A0"/>
    <w:rsid w:val="00BB2094"/>
    <w:rsid w:val="00BB398A"/>
    <w:rsid w:val="00BC1C82"/>
    <w:rsid w:val="00BC4132"/>
    <w:rsid w:val="00BC456F"/>
    <w:rsid w:val="00BC53E7"/>
    <w:rsid w:val="00BD69D4"/>
    <w:rsid w:val="00BF0D9B"/>
    <w:rsid w:val="00BF72BA"/>
    <w:rsid w:val="00C063FE"/>
    <w:rsid w:val="00C117D6"/>
    <w:rsid w:val="00C20168"/>
    <w:rsid w:val="00C244B2"/>
    <w:rsid w:val="00C247DD"/>
    <w:rsid w:val="00C252AF"/>
    <w:rsid w:val="00C27672"/>
    <w:rsid w:val="00C30C1A"/>
    <w:rsid w:val="00C364B8"/>
    <w:rsid w:val="00C43E03"/>
    <w:rsid w:val="00C52B4D"/>
    <w:rsid w:val="00C540A4"/>
    <w:rsid w:val="00C62173"/>
    <w:rsid w:val="00C63AA5"/>
    <w:rsid w:val="00C67D62"/>
    <w:rsid w:val="00C707AA"/>
    <w:rsid w:val="00C772CD"/>
    <w:rsid w:val="00C778E3"/>
    <w:rsid w:val="00C82134"/>
    <w:rsid w:val="00C8395A"/>
    <w:rsid w:val="00C841B7"/>
    <w:rsid w:val="00C860BF"/>
    <w:rsid w:val="00C954A0"/>
    <w:rsid w:val="00CA04BD"/>
    <w:rsid w:val="00CA32D1"/>
    <w:rsid w:val="00CA3EC8"/>
    <w:rsid w:val="00CC03F5"/>
    <w:rsid w:val="00CC1848"/>
    <w:rsid w:val="00CC5CC7"/>
    <w:rsid w:val="00CC7156"/>
    <w:rsid w:val="00CD32EC"/>
    <w:rsid w:val="00CD5271"/>
    <w:rsid w:val="00CD7B43"/>
    <w:rsid w:val="00CE10D7"/>
    <w:rsid w:val="00CE25F7"/>
    <w:rsid w:val="00CF158F"/>
    <w:rsid w:val="00D021F3"/>
    <w:rsid w:val="00D17257"/>
    <w:rsid w:val="00D25A5E"/>
    <w:rsid w:val="00D26F3D"/>
    <w:rsid w:val="00D312DF"/>
    <w:rsid w:val="00D331DE"/>
    <w:rsid w:val="00D349B4"/>
    <w:rsid w:val="00D351B8"/>
    <w:rsid w:val="00D36EA2"/>
    <w:rsid w:val="00D4222D"/>
    <w:rsid w:val="00D42EF0"/>
    <w:rsid w:val="00D52A9D"/>
    <w:rsid w:val="00D554DD"/>
    <w:rsid w:val="00D56B8D"/>
    <w:rsid w:val="00D60A00"/>
    <w:rsid w:val="00D61EAE"/>
    <w:rsid w:val="00D62023"/>
    <w:rsid w:val="00D62478"/>
    <w:rsid w:val="00D735CE"/>
    <w:rsid w:val="00D7623C"/>
    <w:rsid w:val="00D83BC1"/>
    <w:rsid w:val="00D87733"/>
    <w:rsid w:val="00D942A9"/>
    <w:rsid w:val="00DA73AD"/>
    <w:rsid w:val="00DB1FDA"/>
    <w:rsid w:val="00DB3BF8"/>
    <w:rsid w:val="00DB5046"/>
    <w:rsid w:val="00DD03EF"/>
    <w:rsid w:val="00DD235C"/>
    <w:rsid w:val="00DD2541"/>
    <w:rsid w:val="00E034C6"/>
    <w:rsid w:val="00E06D77"/>
    <w:rsid w:val="00E12BCF"/>
    <w:rsid w:val="00E150D2"/>
    <w:rsid w:val="00E24933"/>
    <w:rsid w:val="00E2696D"/>
    <w:rsid w:val="00E26C9B"/>
    <w:rsid w:val="00E34350"/>
    <w:rsid w:val="00E419F8"/>
    <w:rsid w:val="00E43AAB"/>
    <w:rsid w:val="00E46D01"/>
    <w:rsid w:val="00E53895"/>
    <w:rsid w:val="00E56BA6"/>
    <w:rsid w:val="00E66DCE"/>
    <w:rsid w:val="00E73906"/>
    <w:rsid w:val="00E73B1B"/>
    <w:rsid w:val="00E753BF"/>
    <w:rsid w:val="00E8681B"/>
    <w:rsid w:val="00E87FEA"/>
    <w:rsid w:val="00E901F2"/>
    <w:rsid w:val="00E92791"/>
    <w:rsid w:val="00E94441"/>
    <w:rsid w:val="00E95DAA"/>
    <w:rsid w:val="00EA220F"/>
    <w:rsid w:val="00EA3CB2"/>
    <w:rsid w:val="00EA436E"/>
    <w:rsid w:val="00EA52C9"/>
    <w:rsid w:val="00EA768C"/>
    <w:rsid w:val="00EB116A"/>
    <w:rsid w:val="00EB1247"/>
    <w:rsid w:val="00EB1FF1"/>
    <w:rsid w:val="00EB43F7"/>
    <w:rsid w:val="00EB7020"/>
    <w:rsid w:val="00EB7ACE"/>
    <w:rsid w:val="00EC0BEA"/>
    <w:rsid w:val="00EC6B18"/>
    <w:rsid w:val="00EC7154"/>
    <w:rsid w:val="00ED1F04"/>
    <w:rsid w:val="00ED4514"/>
    <w:rsid w:val="00ED562F"/>
    <w:rsid w:val="00ED6E02"/>
    <w:rsid w:val="00EE4B19"/>
    <w:rsid w:val="00EE65D6"/>
    <w:rsid w:val="00EF1BE8"/>
    <w:rsid w:val="00EF1FA7"/>
    <w:rsid w:val="00EF6826"/>
    <w:rsid w:val="00F06326"/>
    <w:rsid w:val="00F06E4E"/>
    <w:rsid w:val="00F108C8"/>
    <w:rsid w:val="00F10FCD"/>
    <w:rsid w:val="00F203D3"/>
    <w:rsid w:val="00F21C6E"/>
    <w:rsid w:val="00F22D92"/>
    <w:rsid w:val="00F23422"/>
    <w:rsid w:val="00F255FB"/>
    <w:rsid w:val="00F25BE6"/>
    <w:rsid w:val="00F26BCE"/>
    <w:rsid w:val="00F275A8"/>
    <w:rsid w:val="00F3141F"/>
    <w:rsid w:val="00F35B06"/>
    <w:rsid w:val="00F35C83"/>
    <w:rsid w:val="00F37E54"/>
    <w:rsid w:val="00F50C25"/>
    <w:rsid w:val="00F522D8"/>
    <w:rsid w:val="00F52853"/>
    <w:rsid w:val="00F54FCA"/>
    <w:rsid w:val="00F5518D"/>
    <w:rsid w:val="00F65D29"/>
    <w:rsid w:val="00F71253"/>
    <w:rsid w:val="00F72480"/>
    <w:rsid w:val="00F72A58"/>
    <w:rsid w:val="00F72B96"/>
    <w:rsid w:val="00F73604"/>
    <w:rsid w:val="00F75765"/>
    <w:rsid w:val="00F83AC6"/>
    <w:rsid w:val="00F83D15"/>
    <w:rsid w:val="00F85504"/>
    <w:rsid w:val="00F86849"/>
    <w:rsid w:val="00F926AB"/>
    <w:rsid w:val="00F93BD9"/>
    <w:rsid w:val="00F94825"/>
    <w:rsid w:val="00F95B14"/>
    <w:rsid w:val="00FA03E0"/>
    <w:rsid w:val="00FA338F"/>
    <w:rsid w:val="00FA6A56"/>
    <w:rsid w:val="00FB5C78"/>
    <w:rsid w:val="00FB748C"/>
    <w:rsid w:val="00FC07DE"/>
    <w:rsid w:val="00FC1C6D"/>
    <w:rsid w:val="00FD1055"/>
    <w:rsid w:val="00FD3B76"/>
    <w:rsid w:val="00FD530A"/>
    <w:rsid w:val="00FD5926"/>
    <w:rsid w:val="00FD5DD8"/>
    <w:rsid w:val="00FE3DAA"/>
    <w:rsid w:val="00FE423B"/>
    <w:rsid w:val="00FF390D"/>
    <w:rsid w:val="00FF3DAD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935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qFormat/>
    <w:rsid w:val="00240CF0"/>
    <w:pPr>
      <w:numPr>
        <w:numId w:val="12"/>
      </w:numPr>
      <w:tabs>
        <w:tab w:val="left" w:pos="1814"/>
        <w:tab w:val="left" w:pos="2665"/>
      </w:tabs>
      <w:spacing w:after="0" w:line="360" w:lineRule="auto"/>
      <w:jc w:val="both"/>
      <w:outlineLvl w:val="0"/>
    </w:pPr>
    <w:rPr>
      <w:rFonts w:ascii="Times New Roman" w:eastAsia="Times New Roman" w:hAnsi="Times New Roman" w:cs="David"/>
      <w:kern w:val="28"/>
      <w:szCs w:val="24"/>
    </w:rPr>
  </w:style>
  <w:style w:type="paragraph" w:styleId="2">
    <w:name w:val="heading 2"/>
    <w:basedOn w:val="1"/>
    <w:link w:val="20"/>
    <w:qFormat/>
    <w:rsid w:val="00240CF0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basedOn w:val="2"/>
    <w:link w:val="30"/>
    <w:qFormat/>
    <w:rsid w:val="00240CF0"/>
    <w:pPr>
      <w:numPr>
        <w:ilvl w:val="2"/>
      </w:numPr>
      <w:outlineLvl w:val="2"/>
    </w:pPr>
  </w:style>
  <w:style w:type="paragraph" w:styleId="4">
    <w:name w:val="heading 4"/>
    <w:basedOn w:val="3"/>
    <w:link w:val="40"/>
    <w:qFormat/>
    <w:rsid w:val="00240CF0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7449"/>
    <w:pPr>
      <w:ind w:left="720"/>
      <w:contextualSpacing/>
    </w:pPr>
  </w:style>
  <w:style w:type="character" w:styleId="a6">
    <w:name w:val="annotation reference"/>
    <w:basedOn w:val="a0"/>
    <w:unhideWhenUsed/>
    <w:rsid w:val="00EB43F7"/>
    <w:rPr>
      <w:sz w:val="16"/>
      <w:szCs w:val="16"/>
    </w:rPr>
  </w:style>
  <w:style w:type="paragraph" w:styleId="a7">
    <w:name w:val="annotation text"/>
    <w:basedOn w:val="a"/>
    <w:link w:val="a8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rsid w:val="00EB43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43F7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EB43F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B4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2B49A8"/>
  </w:style>
  <w:style w:type="paragraph" w:styleId="ad">
    <w:name w:val="footer"/>
    <w:basedOn w:val="a"/>
    <w:link w:val="ae"/>
    <w:uiPriority w:val="99"/>
    <w:unhideWhenUsed/>
    <w:rsid w:val="002B4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2B49A8"/>
  </w:style>
  <w:style w:type="character" w:styleId="Hyperlink">
    <w:name w:val="Hyperlink"/>
    <w:basedOn w:val="a0"/>
    <w:uiPriority w:val="99"/>
    <w:unhideWhenUsed/>
    <w:rsid w:val="00155475"/>
    <w:rPr>
      <w:color w:val="0000FF" w:themeColor="hyperlink"/>
      <w:u w:val="single"/>
    </w:rPr>
  </w:style>
  <w:style w:type="character" w:styleId="af">
    <w:name w:val="Strong"/>
    <w:uiPriority w:val="22"/>
    <w:qFormat/>
    <w:rsid w:val="00F71253"/>
    <w:rPr>
      <w:rFonts w:cs="David"/>
      <w:b/>
      <w:bCs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F95B14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F95B1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95B14"/>
    <w:rPr>
      <w:vertAlign w:val="superscript"/>
    </w:rPr>
  </w:style>
  <w:style w:type="character" w:customStyle="1" w:styleId="10">
    <w:name w:val="כותרת 1 תו"/>
    <w:basedOn w:val="a0"/>
    <w:link w:val="1"/>
    <w:rsid w:val="00240CF0"/>
    <w:rPr>
      <w:rFonts w:ascii="Times New Roman" w:eastAsia="Times New Roman" w:hAnsi="Times New Roman" w:cs="David"/>
      <w:kern w:val="28"/>
      <w:szCs w:val="24"/>
    </w:rPr>
  </w:style>
  <w:style w:type="character" w:customStyle="1" w:styleId="20">
    <w:name w:val="כותרת 2 תו"/>
    <w:basedOn w:val="a0"/>
    <w:link w:val="2"/>
    <w:rsid w:val="00240CF0"/>
    <w:rPr>
      <w:rFonts w:ascii="Times New Roman" w:eastAsia="Times New Roman" w:hAnsi="Times New Roman" w:cs="David"/>
      <w:kern w:val="28"/>
      <w:szCs w:val="24"/>
    </w:rPr>
  </w:style>
  <w:style w:type="character" w:customStyle="1" w:styleId="30">
    <w:name w:val="כותרת 3 תו"/>
    <w:basedOn w:val="a0"/>
    <w:link w:val="3"/>
    <w:rsid w:val="00240CF0"/>
    <w:rPr>
      <w:rFonts w:ascii="Times New Roman" w:eastAsia="Times New Roman" w:hAnsi="Times New Roman" w:cs="David"/>
      <w:kern w:val="28"/>
      <w:szCs w:val="24"/>
    </w:rPr>
  </w:style>
  <w:style w:type="character" w:customStyle="1" w:styleId="40">
    <w:name w:val="כותרת 4 תו"/>
    <w:basedOn w:val="a0"/>
    <w:link w:val="4"/>
    <w:rsid w:val="00240CF0"/>
    <w:rPr>
      <w:rFonts w:ascii="Times New Roman" w:eastAsia="Times New Roman" w:hAnsi="Times New Roman" w:cs="David"/>
      <w:kern w:val="28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1F555A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semiHidden/>
    <w:unhideWhenUsed/>
    <w:rsid w:val="00EE4B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04285F"/>
  </w:style>
  <w:style w:type="paragraph" w:styleId="af4">
    <w:name w:val="Plain Text"/>
    <w:basedOn w:val="a"/>
    <w:link w:val="af5"/>
    <w:uiPriority w:val="99"/>
    <w:unhideWhenUsed/>
    <w:rsid w:val="00206A08"/>
    <w:pPr>
      <w:spacing w:after="0" w:line="240" w:lineRule="auto"/>
    </w:pPr>
    <w:rPr>
      <w:rFonts w:ascii="Calibri" w:hAnsi="Calibri" w:cs="Times New Roman"/>
    </w:rPr>
  </w:style>
  <w:style w:type="character" w:customStyle="1" w:styleId="af5">
    <w:name w:val="טקסט רגיל תו"/>
    <w:basedOn w:val="a0"/>
    <w:link w:val="af4"/>
    <w:uiPriority w:val="99"/>
    <w:rsid w:val="00206A0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4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7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8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12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5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3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3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.boi.org.il/he/BankingSupervision/LettersAndCircularsSupervisorOfBanks/LettersOfTheBankingSupervisionDepartment/202139.pdf" TargetMode="External"/><Relationship Id="rId1" Type="http://schemas.openxmlformats.org/officeDocument/2006/relationships/hyperlink" Target="https://e.boi.org.il/he/BankingSupervision/LettersAndCircularsSupervisorOfBanks/LettersOfTheBankingSupervisionDepartment/202138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4B941-8E57-4D5D-8503-1CC7DF546A13}"/>
</file>

<file path=customXml/itemProps2.xml><?xml version="1.0" encoding="utf-8"?>
<ds:datastoreItem xmlns:ds="http://schemas.openxmlformats.org/officeDocument/2006/customXml" ds:itemID="{5A06DA9A-5C1E-408F-8FF6-EFF3F8774B2E}"/>
</file>

<file path=customXml/itemProps3.xml><?xml version="1.0" encoding="utf-8"?>
<ds:datastoreItem xmlns:ds="http://schemas.openxmlformats.org/officeDocument/2006/customXml" ds:itemID="{B175476A-91CC-463F-AE57-003E005CBBEF}"/>
</file>

<file path=customXml/itemProps4.xml><?xml version="1.0" encoding="utf-8"?>
<ds:datastoreItem xmlns:ds="http://schemas.openxmlformats.org/officeDocument/2006/customXml" ds:itemID="{6FE53685-9A3D-4BC3-A280-E0CBC6615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2022-03-20T06:24:00Z</dcterms:created>
  <dcterms:modified xsi:type="dcterms:W3CDTF">2022-03-20T06:25:00Z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