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031A9D" w:rsidRPr="005E28F6" w:rsidTr="00031A9D">
        <w:tc>
          <w:tcPr>
            <w:tcW w:w="3343"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b/>
                <w:bCs/>
                <w:rtl/>
              </w:rPr>
            </w:pPr>
            <w:r w:rsidRPr="005E28F6">
              <w:rPr>
                <w:rFonts w:asciiTheme="minorHAnsi" w:hAnsiTheme="minorHAnsi" w:cstheme="minorHAnsi"/>
                <w:b/>
                <w:bCs/>
                <w:rtl/>
              </w:rPr>
              <w:t>בנק ישראל</w:t>
            </w:r>
          </w:p>
          <w:p w:rsidR="00031A9D" w:rsidRPr="005E28F6" w:rsidRDefault="00031A9D" w:rsidP="005E28F6">
            <w:pPr>
              <w:bidi/>
              <w:spacing w:line="276" w:lineRule="auto"/>
              <w:jc w:val="center"/>
              <w:rPr>
                <w:rFonts w:asciiTheme="minorHAnsi" w:hAnsiTheme="minorHAnsi" w:cstheme="minorHAnsi"/>
                <w:b/>
                <w:bCs/>
              </w:rPr>
            </w:pPr>
            <w:r w:rsidRPr="005E28F6">
              <w:rPr>
                <w:rFonts w:asciiTheme="minorHAnsi" w:hAnsiTheme="minorHAnsi" w:cstheme="minorHAnsi"/>
                <w:rtl/>
              </w:rPr>
              <w:t>דוברות והסברה כלכלית</w:t>
            </w:r>
          </w:p>
        </w:tc>
        <w:tc>
          <w:tcPr>
            <w:tcW w:w="2596" w:type="dxa"/>
            <w:tcBorders>
              <w:top w:val="nil"/>
              <w:left w:val="nil"/>
              <w:bottom w:val="nil"/>
              <w:right w:val="nil"/>
            </w:tcBorders>
            <w:shd w:val="clear" w:color="auto" w:fill="FFFFFF"/>
          </w:tcPr>
          <w:p w:rsidR="00031A9D" w:rsidRPr="005E28F6" w:rsidRDefault="00031A9D" w:rsidP="005E28F6">
            <w:pPr>
              <w:bidi/>
              <w:jc w:val="center"/>
              <w:rPr>
                <w:rFonts w:asciiTheme="minorHAnsi" w:hAnsiTheme="minorHAnsi" w:cstheme="minorHAnsi"/>
              </w:rPr>
            </w:pPr>
            <w:r w:rsidRPr="005E28F6">
              <w:rPr>
                <w:rFonts w:asciiTheme="minorHAnsi" w:hAnsiTheme="minorHAnsi" w:cstheme="minorHAnsi"/>
                <w:noProof/>
              </w:rPr>
              <w:drawing>
                <wp:anchor distT="0" distB="0" distL="114300" distR="114300" simplePos="0" relativeHeight="251658240" behindDoc="0" locked="0" layoutInCell="1" allowOverlap="1">
                  <wp:simplePos x="0" y="0"/>
                  <wp:positionH relativeFrom="column">
                    <wp:posOffset>-71755</wp:posOffset>
                  </wp:positionH>
                  <wp:positionV relativeFrom="paragraph">
                    <wp:posOffset>88265</wp:posOffset>
                  </wp:positionV>
                  <wp:extent cx="1504950" cy="495300"/>
                  <wp:effectExtent l="0" t="0" r="0" b="0"/>
                  <wp:wrapNone/>
                  <wp:docPr id="1" name="תמונה 1" descr="C:\Users\u34r\AppData\Local\Microsoft\Windows\INetCache\Content.Word\logo_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34r\AppData\Local\Microsoft\Windows\INetCache\Content.Word\logo_7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4950" cy="495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91"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rtl/>
              </w:rPr>
            </w:pPr>
            <w:r w:rsidRPr="005E28F6">
              <w:rPr>
                <w:rFonts w:asciiTheme="minorHAnsi" w:hAnsiTheme="minorHAnsi" w:cstheme="minorHAnsi"/>
                <w:highlight w:val="green"/>
                <w:rtl/>
              </w:rPr>
              <w:t>‏</w:t>
            </w:r>
            <w:r w:rsidRPr="005E28F6">
              <w:rPr>
                <w:rFonts w:asciiTheme="minorHAnsi" w:hAnsiTheme="minorHAnsi" w:cstheme="minorHAnsi"/>
                <w:rtl/>
              </w:rPr>
              <w:t xml:space="preserve">ירושלים, </w:t>
            </w: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 \h</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DC79FA">
              <w:rPr>
                <w:rFonts w:asciiTheme="minorHAnsi" w:hAnsiTheme="minorHAnsi" w:cstheme="minorHAnsi"/>
                <w:noProof/>
                <w:rtl/>
              </w:rPr>
              <w:t>‏כ"ב חשון, תשפ"ו</w:t>
            </w:r>
            <w:r w:rsidRPr="005E28F6">
              <w:rPr>
                <w:rFonts w:asciiTheme="minorHAnsi" w:hAnsiTheme="minorHAnsi" w:cstheme="minorHAnsi"/>
                <w:rtl/>
              </w:rPr>
              <w:fldChar w:fldCharType="end"/>
            </w:r>
          </w:p>
          <w:p w:rsidR="00031A9D" w:rsidRPr="005E28F6" w:rsidRDefault="00031A9D" w:rsidP="005E28F6">
            <w:pPr>
              <w:bidi/>
              <w:spacing w:line="276" w:lineRule="auto"/>
              <w:jc w:val="center"/>
              <w:rPr>
                <w:rFonts w:asciiTheme="minorHAnsi" w:hAnsiTheme="minorHAnsi" w:cstheme="minorHAnsi"/>
                <w:highlight w:val="green"/>
              </w:rPr>
            </w:pP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DC79FA">
              <w:rPr>
                <w:rFonts w:asciiTheme="minorHAnsi" w:hAnsiTheme="minorHAnsi" w:cstheme="minorHAnsi"/>
                <w:noProof/>
                <w:rtl/>
              </w:rPr>
              <w:t>‏13 נובמבר, 2025</w:t>
            </w:r>
            <w:r w:rsidRPr="005E28F6">
              <w:rPr>
                <w:rFonts w:asciiTheme="minorHAnsi" w:hAnsiTheme="minorHAnsi" w:cstheme="minorHAnsi"/>
                <w:rtl/>
              </w:rPr>
              <w:fldChar w:fldCharType="end"/>
            </w:r>
          </w:p>
        </w:tc>
      </w:tr>
    </w:tbl>
    <w:p w:rsidR="00031A9D" w:rsidRPr="005E28F6" w:rsidRDefault="00031A9D" w:rsidP="005E28F6">
      <w:pPr>
        <w:bidi/>
        <w:rPr>
          <w:rFonts w:asciiTheme="minorHAnsi" w:hAnsiTheme="minorHAnsi" w:cstheme="minorHAnsi"/>
          <w:rtl/>
        </w:rPr>
      </w:pPr>
    </w:p>
    <w:p w:rsidR="00DC79FA" w:rsidRDefault="00DC79FA" w:rsidP="00DC79FA">
      <w:pPr>
        <w:bidi/>
        <w:spacing w:line="360" w:lineRule="auto"/>
        <w:rPr>
          <w:rFonts w:asciiTheme="minorHAnsi" w:hAnsiTheme="minorHAnsi" w:cstheme="minorHAnsi"/>
          <w:rtl/>
        </w:rPr>
      </w:pPr>
    </w:p>
    <w:p w:rsidR="005E28F6" w:rsidRPr="00DC79FA" w:rsidRDefault="005E28F6" w:rsidP="00DC79FA">
      <w:pPr>
        <w:bidi/>
        <w:spacing w:line="360" w:lineRule="auto"/>
        <w:rPr>
          <w:rFonts w:asciiTheme="minorHAnsi" w:hAnsiTheme="minorHAnsi" w:cstheme="minorHAnsi"/>
          <w:rtl/>
        </w:rPr>
      </w:pPr>
      <w:r w:rsidRPr="00DC79FA">
        <w:rPr>
          <w:rFonts w:asciiTheme="minorHAnsi" w:hAnsiTheme="minorHAnsi" w:cstheme="minorHAnsi"/>
          <w:rtl/>
        </w:rPr>
        <w:t>הודעה לעיתונות</w:t>
      </w:r>
      <w:r w:rsidRPr="00DC79FA">
        <w:rPr>
          <w:rFonts w:asciiTheme="minorHAnsi" w:hAnsiTheme="minorHAnsi" w:cstheme="minorHAnsi"/>
        </w:rPr>
        <w:t>:</w:t>
      </w:r>
    </w:p>
    <w:p w:rsidR="00DC79FA" w:rsidRPr="00DC79FA" w:rsidRDefault="00DC79FA" w:rsidP="00DC79FA">
      <w:pPr>
        <w:bidi/>
        <w:spacing w:line="360" w:lineRule="auto"/>
        <w:jc w:val="center"/>
        <w:rPr>
          <w:rFonts w:asciiTheme="minorHAnsi" w:hAnsiTheme="minorHAnsi" w:cstheme="minorHAnsi"/>
          <w:b/>
          <w:bCs/>
          <w:sz w:val="28"/>
          <w:szCs w:val="28"/>
          <w:rtl/>
        </w:rPr>
      </w:pPr>
      <w:bookmarkStart w:id="0" w:name="_GoBack"/>
      <w:r w:rsidRPr="00DC79FA">
        <w:rPr>
          <w:rFonts w:asciiTheme="minorHAnsi" w:hAnsiTheme="minorHAnsi" w:cstheme="minorHAnsi"/>
          <w:b/>
          <w:bCs/>
          <w:sz w:val="28"/>
          <w:szCs w:val="28"/>
          <w:rtl/>
        </w:rPr>
        <w:t>תגובת בנק ישראל להצעה לסבסד משכנתאות קיימות</w:t>
      </w:r>
    </w:p>
    <w:bookmarkEnd w:id="0"/>
    <w:p w:rsidR="00DC79FA" w:rsidRPr="00DC79FA" w:rsidRDefault="00DC79FA" w:rsidP="00DC79FA">
      <w:pPr>
        <w:pStyle w:val="ListParagraph"/>
        <w:numPr>
          <w:ilvl w:val="0"/>
          <w:numId w:val="8"/>
        </w:numPr>
        <w:bidi/>
        <w:spacing w:line="360" w:lineRule="auto"/>
        <w:rPr>
          <w:rFonts w:asciiTheme="minorHAnsi" w:hAnsiTheme="minorHAnsi" w:cstheme="minorHAnsi"/>
        </w:rPr>
      </w:pPr>
      <w:r w:rsidRPr="00DC79FA">
        <w:rPr>
          <w:rFonts w:asciiTheme="minorHAnsi" w:hAnsiTheme="minorHAnsi" w:cstheme="minorHAnsi"/>
          <w:b/>
          <w:bCs/>
          <w:rtl/>
        </w:rPr>
        <w:t xml:space="preserve">בראייה כלכלית, הנטל האפקטיבי על בעלי המשכנתאות לא עלה באופן משמעותי, ואף ירד עבור חלק מהלווים. </w:t>
      </w:r>
    </w:p>
    <w:p w:rsidR="00DC79FA" w:rsidRPr="00DC79FA" w:rsidRDefault="00DC79FA" w:rsidP="00DC79FA">
      <w:pPr>
        <w:pStyle w:val="ListParagraph"/>
        <w:numPr>
          <w:ilvl w:val="0"/>
          <w:numId w:val="8"/>
        </w:numPr>
        <w:bidi/>
        <w:spacing w:line="360" w:lineRule="auto"/>
        <w:rPr>
          <w:rFonts w:asciiTheme="minorHAnsi" w:hAnsiTheme="minorHAnsi" w:cstheme="minorHAnsi"/>
          <w:b/>
          <w:bCs/>
          <w:rtl/>
        </w:rPr>
      </w:pPr>
      <w:r w:rsidRPr="00DC79FA">
        <w:rPr>
          <w:rFonts w:asciiTheme="minorHAnsi" w:hAnsiTheme="minorHAnsi" w:cstheme="minorHAnsi"/>
          <w:b/>
          <w:bCs/>
          <w:rtl/>
        </w:rPr>
        <w:t>הפסדי האשראי בסגמנט הינם בשיעור נמוך מאד במונחים היסטוריים ובינלאומיים.</w:t>
      </w:r>
    </w:p>
    <w:p w:rsidR="00DC79FA" w:rsidRPr="00DC79FA" w:rsidRDefault="00DC79FA" w:rsidP="00DC79FA">
      <w:pPr>
        <w:pStyle w:val="ListParagraph"/>
        <w:numPr>
          <w:ilvl w:val="0"/>
          <w:numId w:val="8"/>
        </w:numPr>
        <w:bidi/>
        <w:spacing w:line="360" w:lineRule="auto"/>
        <w:rPr>
          <w:rFonts w:asciiTheme="minorHAnsi" w:hAnsiTheme="minorHAnsi" w:cstheme="minorHAnsi"/>
          <w:b/>
          <w:bCs/>
        </w:rPr>
      </w:pPr>
      <w:r w:rsidRPr="00DC79FA">
        <w:rPr>
          <w:rFonts w:asciiTheme="minorHAnsi" w:hAnsiTheme="minorHAnsi" w:cstheme="minorHAnsi"/>
          <w:b/>
          <w:bCs/>
          <w:rtl/>
        </w:rPr>
        <w:t>ההצעה מייצרת אפליה ברורה בתוך אוכלוסיית לווי המשכנתאות ובין לווי המשכנתאות ללווים אחרים.</w:t>
      </w:r>
    </w:p>
    <w:p w:rsidR="00DC79FA" w:rsidRPr="00DC79FA" w:rsidRDefault="00DC79FA" w:rsidP="00DC79FA">
      <w:pPr>
        <w:pStyle w:val="ListParagraph"/>
        <w:numPr>
          <w:ilvl w:val="0"/>
          <w:numId w:val="8"/>
        </w:numPr>
        <w:bidi/>
        <w:spacing w:line="360" w:lineRule="auto"/>
        <w:rPr>
          <w:rFonts w:asciiTheme="minorHAnsi" w:hAnsiTheme="minorHAnsi" w:cstheme="minorHAnsi"/>
          <w:b/>
          <w:bCs/>
          <w:rtl/>
        </w:rPr>
      </w:pPr>
      <w:r w:rsidRPr="00DC79FA">
        <w:rPr>
          <w:rFonts w:asciiTheme="minorHAnsi" w:hAnsiTheme="minorHAnsi" w:cstheme="minorHAnsi"/>
          <w:b/>
          <w:bCs/>
          <w:rtl/>
        </w:rPr>
        <w:t>ההצעה כוללת התערבות רטרואקטיבית בחוזים ולא עומדת בסטנדרטים בינלאומיים.</w:t>
      </w:r>
    </w:p>
    <w:p w:rsidR="00DC79FA" w:rsidRPr="00DC79FA" w:rsidRDefault="00DC79FA" w:rsidP="00DC79FA">
      <w:pPr>
        <w:bidi/>
        <w:spacing w:line="360" w:lineRule="auto"/>
        <w:rPr>
          <w:rFonts w:asciiTheme="minorHAnsi" w:hAnsiTheme="minorHAnsi" w:cstheme="minorHAnsi"/>
          <w:rtl/>
        </w:rPr>
      </w:pPr>
      <w:r w:rsidRPr="00DC79FA">
        <w:rPr>
          <w:rFonts w:asciiTheme="minorHAnsi" w:hAnsiTheme="minorHAnsi" w:cstheme="minorHAnsi"/>
          <w:rtl/>
        </w:rPr>
        <w:t xml:space="preserve">בשנים האחרונות נרשמה עלייה בהחזר החודשי הממוצע של משכנתאות חדשות, הנובעת הן מעליית מחירי הדירות והן משינויים בסביבת המקרו. העלייה בהחזר החודשי הייתה משמעותית יותר דווקא בקרב העשירונים העליונים ובקרב </w:t>
      </w:r>
      <w:proofErr w:type="spellStart"/>
      <w:r w:rsidRPr="00DC79FA">
        <w:rPr>
          <w:rFonts w:asciiTheme="minorHAnsi" w:hAnsiTheme="minorHAnsi" w:cstheme="minorHAnsi"/>
          <w:rtl/>
        </w:rPr>
        <w:t>נוטלי</w:t>
      </w:r>
      <w:proofErr w:type="spellEnd"/>
      <w:r w:rsidRPr="00DC79FA">
        <w:rPr>
          <w:rFonts w:asciiTheme="minorHAnsi" w:hAnsiTheme="minorHAnsi" w:cstheme="minorHAnsi"/>
          <w:rtl/>
        </w:rPr>
        <w:t xml:space="preserve"> משכנתאות בשנים 2021–2022, תקופה שבמקביל נרשמה בה עליית מחירים </w:t>
      </w:r>
      <w:proofErr w:type="spellStart"/>
      <w:r w:rsidRPr="00DC79FA">
        <w:rPr>
          <w:rFonts w:asciiTheme="minorHAnsi" w:hAnsiTheme="minorHAnsi" w:cstheme="minorHAnsi"/>
          <w:rtl/>
        </w:rPr>
        <w:t>דו־ספרתית</w:t>
      </w:r>
      <w:proofErr w:type="spellEnd"/>
      <w:r w:rsidRPr="00DC79FA">
        <w:rPr>
          <w:rFonts w:asciiTheme="minorHAnsi" w:hAnsiTheme="minorHAnsi" w:cstheme="minorHAnsi"/>
          <w:rtl/>
        </w:rPr>
        <w:t xml:space="preserve"> בדירות אלו.</w:t>
      </w:r>
    </w:p>
    <w:p w:rsidR="00DC79FA" w:rsidRPr="00DC79FA" w:rsidRDefault="00DC79FA" w:rsidP="00DC79FA">
      <w:pPr>
        <w:bidi/>
        <w:spacing w:line="360" w:lineRule="auto"/>
        <w:rPr>
          <w:rFonts w:asciiTheme="minorHAnsi" w:hAnsiTheme="minorHAnsi" w:cstheme="minorHAnsi"/>
          <w:rtl/>
        </w:rPr>
      </w:pPr>
      <w:r w:rsidRPr="00DC79FA">
        <w:rPr>
          <w:rFonts w:asciiTheme="minorHAnsi" w:hAnsiTheme="minorHAnsi" w:cstheme="minorHAnsi"/>
          <w:rtl/>
        </w:rPr>
        <w:t xml:space="preserve">על רקע האמור נדונה בימים אלו הצעה מטעם המועצה הלאומית לכלכלה במשרד ראש הממשלה, לסבסוד לווי משכנתאות (להלן: </w:t>
      </w:r>
      <w:r w:rsidRPr="00DC79FA">
        <w:rPr>
          <w:rFonts w:asciiTheme="minorHAnsi" w:hAnsiTheme="minorHAnsi" w:cstheme="minorHAnsi"/>
          <w:b/>
          <w:bCs/>
          <w:rtl/>
        </w:rPr>
        <w:t>"ההצעה"</w:t>
      </w:r>
      <w:r w:rsidRPr="00DC79FA">
        <w:rPr>
          <w:rFonts w:asciiTheme="minorHAnsi" w:hAnsiTheme="minorHAnsi" w:cstheme="minorHAnsi"/>
          <w:rtl/>
        </w:rPr>
        <w:t xml:space="preserve"> או </w:t>
      </w:r>
      <w:r w:rsidRPr="00DC79FA">
        <w:rPr>
          <w:rFonts w:asciiTheme="minorHAnsi" w:hAnsiTheme="minorHAnsi" w:cstheme="minorHAnsi"/>
          <w:b/>
          <w:bCs/>
          <w:rtl/>
        </w:rPr>
        <w:t>"הצעת המועצה"</w:t>
      </w:r>
      <w:r w:rsidRPr="00DC79FA">
        <w:rPr>
          <w:rFonts w:asciiTheme="minorHAnsi" w:hAnsiTheme="minorHAnsi" w:cstheme="minorHAnsi"/>
          <w:rtl/>
        </w:rPr>
        <w:t>). ההצעה לא הועברה לבנק ישראל באופן מסודר ולא נדונה עם מומחי התוכן המקצועיים בבנק. עם זאת, מפרסומים שונים שהגיעו לידינו נראה שעיקריה של ההצעה הם כדלקמן:</w:t>
      </w:r>
    </w:p>
    <w:p w:rsidR="00DC79FA" w:rsidRPr="00DC79FA" w:rsidRDefault="00DC79FA" w:rsidP="00DC79FA">
      <w:pPr>
        <w:pStyle w:val="ListParagraph"/>
        <w:numPr>
          <w:ilvl w:val="0"/>
          <w:numId w:val="7"/>
        </w:numPr>
        <w:bidi/>
        <w:spacing w:line="360" w:lineRule="auto"/>
        <w:rPr>
          <w:rFonts w:asciiTheme="minorHAnsi" w:hAnsiTheme="minorHAnsi" w:cstheme="minorHAnsi"/>
        </w:rPr>
      </w:pPr>
      <w:r w:rsidRPr="00DC79FA">
        <w:rPr>
          <w:rFonts w:asciiTheme="minorHAnsi" w:hAnsiTheme="minorHAnsi" w:cstheme="minorHAnsi"/>
          <w:rtl/>
        </w:rPr>
        <w:t>יינתן סבסוד כספי לבעלי משכנתא קיימת.</w:t>
      </w:r>
    </w:p>
    <w:p w:rsidR="00DC79FA" w:rsidRPr="00DC79FA" w:rsidRDefault="00DC79FA" w:rsidP="00DC79FA">
      <w:pPr>
        <w:pStyle w:val="ListParagraph"/>
        <w:numPr>
          <w:ilvl w:val="0"/>
          <w:numId w:val="7"/>
        </w:numPr>
        <w:bidi/>
        <w:spacing w:line="360" w:lineRule="auto"/>
        <w:rPr>
          <w:rFonts w:asciiTheme="minorHAnsi" w:hAnsiTheme="minorHAnsi" w:cstheme="minorHAnsi"/>
        </w:rPr>
      </w:pPr>
      <w:r w:rsidRPr="00DC79FA">
        <w:rPr>
          <w:rFonts w:asciiTheme="minorHAnsi" w:hAnsiTheme="minorHAnsi" w:cstheme="minorHAnsi"/>
          <w:rtl/>
        </w:rPr>
        <w:t>גובה הסבסוד הוא פונקציה של העלייה הריאלית בהחזר תשלומי המשכנתא בין שנת 2022 לשנת 2025 ושל שווי הנכס שנרכש כפי שנרשם במועד הרכישה.</w:t>
      </w:r>
    </w:p>
    <w:p w:rsidR="00DC79FA" w:rsidRPr="00DC79FA" w:rsidRDefault="00DC79FA" w:rsidP="00DC79FA">
      <w:pPr>
        <w:pStyle w:val="ListParagraph"/>
        <w:numPr>
          <w:ilvl w:val="0"/>
          <w:numId w:val="7"/>
        </w:numPr>
        <w:bidi/>
        <w:spacing w:line="360" w:lineRule="auto"/>
        <w:rPr>
          <w:rFonts w:asciiTheme="minorHAnsi" w:hAnsiTheme="minorHAnsi" w:cstheme="minorHAnsi"/>
        </w:rPr>
      </w:pPr>
      <w:r w:rsidRPr="00DC79FA">
        <w:rPr>
          <w:rFonts w:asciiTheme="minorHAnsi" w:hAnsiTheme="minorHAnsi" w:cstheme="minorHAnsi"/>
          <w:rtl/>
        </w:rPr>
        <w:t>מקור המימון לסבסוד הוא היטל שיושת על הבנקים המסחריים.</w:t>
      </w:r>
    </w:p>
    <w:p w:rsidR="00DC79FA" w:rsidRPr="00DC79FA" w:rsidRDefault="00DC79FA" w:rsidP="00DC79FA">
      <w:pPr>
        <w:pStyle w:val="ListParagraph"/>
        <w:numPr>
          <w:ilvl w:val="0"/>
          <w:numId w:val="7"/>
        </w:numPr>
        <w:bidi/>
        <w:spacing w:line="360" w:lineRule="auto"/>
        <w:rPr>
          <w:rFonts w:asciiTheme="minorHAnsi" w:hAnsiTheme="minorHAnsi" w:cstheme="minorHAnsi"/>
          <w:rtl/>
        </w:rPr>
      </w:pPr>
      <w:r w:rsidRPr="00DC79FA">
        <w:rPr>
          <w:rFonts w:asciiTheme="minorHAnsi" w:hAnsiTheme="minorHAnsi" w:cstheme="minorHAnsi"/>
          <w:rtl/>
        </w:rPr>
        <w:t xml:space="preserve">העלות המוערכת של הסבסוד עומדת על 3 מיליארדי ₪. </w:t>
      </w:r>
    </w:p>
    <w:p w:rsidR="00DC79FA" w:rsidRPr="00DC79FA" w:rsidRDefault="00DC79FA" w:rsidP="00DC79FA">
      <w:pPr>
        <w:bidi/>
        <w:spacing w:line="360" w:lineRule="auto"/>
        <w:rPr>
          <w:rFonts w:asciiTheme="minorHAnsi" w:hAnsiTheme="minorHAnsi" w:cstheme="minorHAnsi"/>
          <w:b/>
          <w:bCs/>
          <w:rtl/>
        </w:rPr>
      </w:pPr>
      <w:r w:rsidRPr="00DC79FA">
        <w:rPr>
          <w:rFonts w:asciiTheme="minorHAnsi" w:hAnsiTheme="minorHAnsi" w:cstheme="minorHAnsi"/>
          <w:b/>
          <w:bCs/>
          <w:rtl/>
        </w:rPr>
        <w:t xml:space="preserve">בראיית בנק ישראל ניתן לומר שההצעה נטולת כל הגיון כלכלי. לעומת זאת, הנזק הפוטנציאלי לכלכלת ישראל, לתדמיתה ולמעמדה הבינלאומי, עצום. </w:t>
      </w:r>
    </w:p>
    <w:p w:rsidR="00DC79FA" w:rsidRPr="00DC79FA" w:rsidRDefault="00DC79FA" w:rsidP="00DC79FA">
      <w:pPr>
        <w:bidi/>
        <w:spacing w:line="360" w:lineRule="auto"/>
        <w:rPr>
          <w:rFonts w:asciiTheme="minorHAnsi" w:hAnsiTheme="minorHAnsi" w:cstheme="minorHAnsi"/>
          <w:rtl/>
        </w:rPr>
      </w:pPr>
      <w:r w:rsidRPr="00DC79FA">
        <w:rPr>
          <w:rFonts w:asciiTheme="minorHAnsi" w:hAnsiTheme="minorHAnsi" w:cstheme="minorHAnsi"/>
          <w:rtl/>
        </w:rPr>
        <w:t xml:space="preserve">נוכח האמור ועל אף שכפי שמוזכר לעיל פרטי ההצעה לא הועברו באופן רשמי ומסודר, מצאנו לנכון לפרט במסגרת הנייר הנוכחי את ההתייחסות של בנק ישראל להצעה האמורה. </w:t>
      </w:r>
    </w:p>
    <w:p w:rsidR="00DC79FA" w:rsidRPr="00DC79FA" w:rsidRDefault="00DC79FA" w:rsidP="00DC79FA">
      <w:pPr>
        <w:bidi/>
        <w:spacing w:line="360" w:lineRule="auto"/>
        <w:rPr>
          <w:rFonts w:asciiTheme="minorHAnsi" w:hAnsiTheme="minorHAnsi" w:cstheme="minorHAnsi"/>
          <w:rtl/>
        </w:rPr>
      </w:pPr>
      <w:r w:rsidRPr="00DC79FA">
        <w:rPr>
          <w:rFonts w:asciiTheme="minorHAnsi" w:hAnsiTheme="minorHAnsi" w:cstheme="minorHAnsi"/>
          <w:b/>
          <w:bCs/>
          <w:rtl/>
        </w:rPr>
        <w:t xml:space="preserve">ראשית, הנחת היסוד הגלומה בהצעה לפיה הנטל על בעלי המשכנתאות עלה באופן משמעותי אינה מבוססת על ניתוח התמונה המלאה של הנתונים. </w:t>
      </w:r>
      <w:r w:rsidRPr="00DC79FA">
        <w:rPr>
          <w:rFonts w:asciiTheme="minorHAnsi" w:hAnsiTheme="minorHAnsi" w:cstheme="minorHAnsi"/>
          <w:rtl/>
        </w:rPr>
        <w:t xml:space="preserve">הערכת הנטל על הלווים תוך התמקדות בגובה ההחזר החודשי מחד </w:t>
      </w:r>
      <w:r w:rsidRPr="00DC79FA">
        <w:rPr>
          <w:rFonts w:asciiTheme="minorHAnsi" w:hAnsiTheme="minorHAnsi" w:cstheme="minorHAnsi"/>
          <w:rtl/>
        </w:rPr>
        <w:lastRenderedPageBreak/>
        <w:t xml:space="preserve">והתעלמות מהשינויים שחלו בהכנסות של הלווים מאידך אינה מקצועית והיא שגויה לחלוטין מבחינה כלכלית. הדרך הנכונה מבחינה מקצועית לאמוד את הנטל על הלווים היא חישוב היחס שבין ההחזר החודשי לבין ההכנסה של הלווה (ה – </w:t>
      </w:r>
      <w:r w:rsidRPr="00DC79FA">
        <w:rPr>
          <w:rFonts w:asciiTheme="minorHAnsi" w:hAnsiTheme="minorHAnsi" w:cstheme="minorHAnsi"/>
        </w:rPr>
        <w:t>PTI</w:t>
      </w:r>
      <w:r w:rsidRPr="00DC79FA">
        <w:rPr>
          <w:rFonts w:asciiTheme="minorHAnsi" w:hAnsiTheme="minorHAnsi" w:cstheme="minorHAnsi"/>
          <w:rtl/>
        </w:rPr>
        <w:t xml:space="preserve">). ככל שהיחס הזה גבוה יותר כך ההכנסה הפנויה שנותרת ללווה לאחר התשלום החודשי נמוכה יותר והנטל עליו גבוה יותר. </w:t>
      </w:r>
    </w:p>
    <w:p w:rsidR="00DC79FA" w:rsidRPr="00DC79FA" w:rsidRDefault="00DC79FA" w:rsidP="00DC79FA">
      <w:pPr>
        <w:bidi/>
        <w:spacing w:line="360" w:lineRule="auto"/>
        <w:rPr>
          <w:rFonts w:asciiTheme="minorHAnsi" w:hAnsiTheme="minorHAnsi" w:cstheme="minorHAnsi"/>
          <w:rtl/>
        </w:rPr>
      </w:pPr>
      <w:r w:rsidRPr="00DC79FA">
        <w:rPr>
          <w:rFonts w:asciiTheme="minorHAnsi" w:hAnsiTheme="minorHAnsi" w:cstheme="minorHAnsi"/>
          <w:rtl/>
        </w:rPr>
        <w:t xml:space="preserve">בניתוח שנעשה בשנת 2023 על השינוי ב – </w:t>
      </w:r>
      <w:r w:rsidRPr="00DC79FA">
        <w:rPr>
          <w:rFonts w:asciiTheme="minorHAnsi" w:hAnsiTheme="minorHAnsi" w:cstheme="minorHAnsi"/>
        </w:rPr>
        <w:t>PTI</w:t>
      </w:r>
      <w:r w:rsidRPr="00DC79FA">
        <w:rPr>
          <w:rFonts w:asciiTheme="minorHAnsi" w:hAnsiTheme="minorHAnsi" w:cstheme="minorHAnsi"/>
          <w:rtl/>
        </w:rPr>
        <w:t xml:space="preserve"> עולה כי לאחר </w:t>
      </w:r>
      <w:proofErr w:type="spellStart"/>
      <w:r w:rsidRPr="00DC79FA">
        <w:rPr>
          <w:rFonts w:asciiTheme="minorHAnsi" w:hAnsiTheme="minorHAnsi" w:cstheme="minorHAnsi"/>
          <w:rtl/>
        </w:rPr>
        <w:t>שיקלול</w:t>
      </w:r>
      <w:proofErr w:type="spellEnd"/>
      <w:r w:rsidRPr="00DC79FA">
        <w:rPr>
          <w:rFonts w:asciiTheme="minorHAnsi" w:hAnsiTheme="minorHAnsi" w:cstheme="minorHAnsi"/>
          <w:rtl/>
        </w:rPr>
        <w:t xml:space="preserve"> העלייה בהכנסות של הלווים עולה כי נטל החוב על לווי המשכנתאות שנטלו משכנתא בשנים שלפני עליית הריבית </w:t>
      </w:r>
      <w:r w:rsidRPr="00DC79FA">
        <w:rPr>
          <w:rFonts w:asciiTheme="minorHAnsi" w:hAnsiTheme="minorHAnsi" w:cstheme="minorHAnsi"/>
          <w:b/>
          <w:bCs/>
          <w:rtl/>
        </w:rPr>
        <w:t>ירד</w:t>
      </w:r>
      <w:r w:rsidRPr="00DC79FA">
        <w:rPr>
          <w:rFonts w:asciiTheme="minorHAnsi" w:hAnsiTheme="minorHAnsi" w:cstheme="minorHAnsi"/>
          <w:rtl/>
        </w:rPr>
        <w:t xml:space="preserve"> ולא עלה: </w:t>
      </w:r>
    </w:p>
    <w:tbl>
      <w:tblPr>
        <w:tblStyle w:val="TableGrid"/>
        <w:bidiVisual/>
        <w:tblW w:w="6797" w:type="dxa"/>
        <w:jc w:val="center"/>
        <w:tblLook w:val="0420" w:firstRow="1" w:lastRow="0" w:firstColumn="0" w:lastColumn="0" w:noHBand="0" w:noVBand="1"/>
      </w:tblPr>
      <w:tblGrid>
        <w:gridCol w:w="1369"/>
        <w:gridCol w:w="962"/>
        <w:gridCol w:w="1470"/>
        <w:gridCol w:w="1498"/>
        <w:gridCol w:w="1498"/>
      </w:tblGrid>
      <w:tr w:rsidR="00DC79FA" w:rsidRPr="00DC79FA" w:rsidTr="006A21BB">
        <w:trPr>
          <w:trHeight w:val="409"/>
          <w:jc w:val="center"/>
        </w:trPr>
        <w:tc>
          <w:tcPr>
            <w:tcW w:w="1369" w:type="dxa"/>
            <w:shd w:val="clear" w:color="auto" w:fill="F2F2F2" w:themeFill="background1" w:themeFillShade="F2"/>
            <w:hideMark/>
          </w:tcPr>
          <w:p w:rsidR="00DC79FA" w:rsidRPr="00DC79FA" w:rsidRDefault="00DC79FA" w:rsidP="00DC79FA">
            <w:pPr>
              <w:bidi/>
              <w:spacing w:line="276" w:lineRule="auto"/>
              <w:rPr>
                <w:rFonts w:asciiTheme="minorHAnsi" w:eastAsia="Times New Roman" w:hAnsiTheme="minorHAnsi" w:cstheme="minorHAnsi"/>
                <w:b/>
                <w:bCs/>
              </w:rPr>
            </w:pPr>
            <w:r w:rsidRPr="00DC79FA">
              <w:rPr>
                <w:rFonts w:asciiTheme="minorHAnsi" w:eastAsia="Times New Roman" w:hAnsiTheme="minorHAnsi" w:cstheme="minorHAnsi"/>
                <w:b/>
                <w:bCs/>
                <w:color w:val="000000"/>
                <w:kern w:val="24"/>
                <w:rtl/>
              </w:rPr>
              <w:t>שנת נטילת המשכנתא</w:t>
            </w:r>
          </w:p>
        </w:tc>
        <w:tc>
          <w:tcPr>
            <w:tcW w:w="962" w:type="dxa"/>
            <w:shd w:val="clear" w:color="auto" w:fill="F2F2F2" w:themeFill="background1" w:themeFillShade="F2"/>
            <w:hideMark/>
          </w:tcPr>
          <w:p w:rsidR="00DC79FA" w:rsidRPr="00DC79FA" w:rsidRDefault="00DC79FA" w:rsidP="00DC79FA">
            <w:pPr>
              <w:bidi/>
              <w:spacing w:line="276" w:lineRule="auto"/>
              <w:textAlignment w:val="bottom"/>
              <w:rPr>
                <w:rFonts w:asciiTheme="minorHAnsi" w:eastAsia="Times New Roman" w:hAnsiTheme="minorHAnsi" w:cstheme="minorHAnsi"/>
                <w:b/>
                <w:bCs/>
                <w:rtl/>
              </w:rPr>
            </w:pPr>
            <w:r w:rsidRPr="00DC79FA">
              <w:rPr>
                <w:rFonts w:asciiTheme="minorHAnsi" w:eastAsia="Times New Roman" w:hAnsiTheme="minorHAnsi" w:cstheme="minorHAnsi"/>
                <w:b/>
                <w:bCs/>
                <w:color w:val="000000"/>
                <w:kern w:val="24"/>
              </w:rPr>
              <w:t>PTI</w:t>
            </w:r>
          </w:p>
        </w:tc>
        <w:tc>
          <w:tcPr>
            <w:tcW w:w="1470" w:type="dxa"/>
            <w:shd w:val="clear" w:color="auto" w:fill="F2F2F2" w:themeFill="background1" w:themeFillShade="F2"/>
            <w:hideMark/>
          </w:tcPr>
          <w:p w:rsidR="00DC79FA" w:rsidRPr="00DC79FA" w:rsidRDefault="00DC79FA" w:rsidP="00DC79FA">
            <w:pPr>
              <w:bidi/>
              <w:spacing w:line="276" w:lineRule="auto"/>
              <w:textAlignment w:val="bottom"/>
              <w:rPr>
                <w:rFonts w:asciiTheme="minorHAnsi" w:eastAsia="Times New Roman" w:hAnsiTheme="minorHAnsi" w:cstheme="minorHAnsi"/>
                <w:b/>
                <w:bCs/>
                <w:rtl/>
              </w:rPr>
            </w:pPr>
            <w:r w:rsidRPr="00DC79FA">
              <w:rPr>
                <w:rFonts w:asciiTheme="minorHAnsi" w:eastAsia="Times New Roman" w:hAnsiTheme="minorHAnsi" w:cstheme="minorHAnsi"/>
                <w:b/>
                <w:bCs/>
                <w:color w:val="000000"/>
                <w:kern w:val="24"/>
              </w:rPr>
              <w:t xml:space="preserve">PTI </w:t>
            </w:r>
            <w:r w:rsidRPr="00DC79FA">
              <w:rPr>
                <w:rFonts w:asciiTheme="minorHAnsi" w:eastAsia="Times New Roman" w:hAnsiTheme="minorHAnsi" w:cstheme="minorHAnsi"/>
                <w:b/>
                <w:bCs/>
                <w:color w:val="000000"/>
                <w:kern w:val="24"/>
                <w:rtl/>
              </w:rPr>
              <w:t xml:space="preserve"> חדש</w:t>
            </w:r>
            <w:r w:rsidRPr="00DC79FA">
              <w:rPr>
                <w:rFonts w:asciiTheme="minorHAnsi" w:eastAsia="Times New Roman" w:hAnsiTheme="minorHAnsi" w:cstheme="minorHAnsi"/>
                <w:b/>
                <w:bCs/>
                <w:color w:val="000000"/>
                <w:kern w:val="24"/>
              </w:rPr>
              <w:br/>
            </w:r>
            <w:r w:rsidRPr="00DC79FA">
              <w:rPr>
                <w:rFonts w:asciiTheme="minorHAnsi" w:eastAsia="Times New Roman" w:hAnsiTheme="minorHAnsi" w:cstheme="minorHAnsi"/>
                <w:b/>
                <w:bCs/>
                <w:color w:val="000000"/>
                <w:kern w:val="24"/>
                <w:rtl/>
              </w:rPr>
              <w:t>לא מתוקנן</w:t>
            </w:r>
          </w:p>
        </w:tc>
        <w:tc>
          <w:tcPr>
            <w:tcW w:w="1498" w:type="dxa"/>
            <w:shd w:val="clear" w:color="auto" w:fill="F2F2F2" w:themeFill="background1" w:themeFillShade="F2"/>
            <w:hideMark/>
          </w:tcPr>
          <w:p w:rsidR="00DC79FA" w:rsidRPr="00DC79FA" w:rsidRDefault="00DC79FA" w:rsidP="00DC79FA">
            <w:pPr>
              <w:bidi/>
              <w:spacing w:line="276" w:lineRule="auto"/>
              <w:textAlignment w:val="bottom"/>
              <w:rPr>
                <w:rFonts w:asciiTheme="minorHAnsi" w:eastAsia="Times New Roman" w:hAnsiTheme="minorHAnsi" w:cstheme="minorHAnsi"/>
                <w:b/>
                <w:bCs/>
                <w:rtl/>
              </w:rPr>
            </w:pPr>
            <w:r w:rsidRPr="00DC79FA">
              <w:rPr>
                <w:rFonts w:asciiTheme="minorHAnsi" w:eastAsia="Times New Roman" w:hAnsiTheme="minorHAnsi" w:cstheme="minorHAnsi"/>
                <w:b/>
                <w:bCs/>
                <w:color w:val="000000"/>
                <w:kern w:val="24"/>
              </w:rPr>
              <w:t xml:space="preserve">PTI </w:t>
            </w:r>
            <w:r w:rsidRPr="00DC79FA">
              <w:rPr>
                <w:rFonts w:asciiTheme="minorHAnsi" w:eastAsia="Times New Roman" w:hAnsiTheme="minorHAnsi" w:cstheme="minorHAnsi"/>
                <w:b/>
                <w:bCs/>
                <w:color w:val="000000"/>
                <w:kern w:val="24"/>
                <w:rtl/>
              </w:rPr>
              <w:t xml:space="preserve"> חדש</w:t>
            </w:r>
          </w:p>
          <w:p w:rsidR="00DC79FA" w:rsidRPr="00DC79FA" w:rsidRDefault="00DC79FA" w:rsidP="00DC79FA">
            <w:pPr>
              <w:bidi/>
              <w:spacing w:line="276" w:lineRule="auto"/>
              <w:textAlignment w:val="bottom"/>
              <w:rPr>
                <w:rFonts w:asciiTheme="minorHAnsi" w:eastAsia="Times New Roman" w:hAnsiTheme="minorHAnsi" w:cstheme="minorHAnsi"/>
                <w:b/>
                <w:bCs/>
                <w:rtl/>
              </w:rPr>
            </w:pPr>
            <w:r w:rsidRPr="00DC79FA">
              <w:rPr>
                <w:rFonts w:asciiTheme="minorHAnsi" w:eastAsia="Times New Roman" w:hAnsiTheme="minorHAnsi" w:cstheme="minorHAnsi"/>
                <w:b/>
                <w:bCs/>
                <w:color w:val="000000"/>
                <w:kern w:val="24"/>
                <w:rtl/>
              </w:rPr>
              <w:t>(מתוקנן)</w:t>
            </w:r>
          </w:p>
        </w:tc>
        <w:tc>
          <w:tcPr>
            <w:tcW w:w="1498" w:type="dxa"/>
            <w:shd w:val="clear" w:color="auto" w:fill="FDE9D9" w:themeFill="accent6" w:themeFillTint="33"/>
            <w:hideMark/>
          </w:tcPr>
          <w:p w:rsidR="00DC79FA" w:rsidRPr="00DC79FA" w:rsidRDefault="00DC79FA" w:rsidP="00DC79FA">
            <w:pPr>
              <w:bidi/>
              <w:spacing w:line="276" w:lineRule="auto"/>
              <w:textAlignment w:val="bottom"/>
              <w:rPr>
                <w:rFonts w:asciiTheme="minorHAnsi" w:eastAsia="Times New Roman" w:hAnsiTheme="minorHAnsi" w:cstheme="minorHAnsi"/>
                <w:b/>
                <w:bCs/>
                <w:rtl/>
              </w:rPr>
            </w:pPr>
            <w:r w:rsidRPr="00DC79FA">
              <w:rPr>
                <w:rFonts w:asciiTheme="minorHAnsi" w:eastAsia="Times New Roman" w:hAnsiTheme="minorHAnsi" w:cstheme="minorHAnsi"/>
                <w:b/>
                <w:bCs/>
                <w:color w:val="000000"/>
                <w:kern w:val="24"/>
                <w:rtl/>
              </w:rPr>
              <w:t>שינוי ב</w:t>
            </w:r>
            <w:r w:rsidRPr="00DC79FA">
              <w:rPr>
                <w:rFonts w:asciiTheme="minorHAnsi" w:eastAsia="Times New Roman" w:hAnsiTheme="minorHAnsi" w:cstheme="minorHAnsi"/>
                <w:b/>
                <w:bCs/>
                <w:color w:val="000000"/>
                <w:kern w:val="24"/>
              </w:rPr>
              <w:t>PTI</w:t>
            </w:r>
            <w:r w:rsidRPr="00DC79FA">
              <w:rPr>
                <w:rFonts w:asciiTheme="minorHAnsi" w:eastAsia="Times New Roman" w:hAnsiTheme="minorHAnsi" w:cstheme="minorHAnsi"/>
                <w:b/>
                <w:bCs/>
                <w:color w:val="000000"/>
                <w:kern w:val="24"/>
              </w:rPr>
              <w:br/>
            </w:r>
            <w:r w:rsidRPr="00DC79FA">
              <w:rPr>
                <w:rFonts w:asciiTheme="minorHAnsi" w:eastAsia="Times New Roman" w:hAnsiTheme="minorHAnsi" w:cstheme="minorHAnsi"/>
                <w:b/>
                <w:bCs/>
                <w:color w:val="000000"/>
                <w:kern w:val="24"/>
                <w:rtl/>
              </w:rPr>
              <w:t>(מתוקנן)</w:t>
            </w:r>
          </w:p>
        </w:tc>
      </w:tr>
      <w:tr w:rsidR="00DC79FA" w:rsidRPr="00DC79FA" w:rsidTr="006A21BB">
        <w:trPr>
          <w:trHeight w:val="322"/>
          <w:jc w:val="center"/>
        </w:trPr>
        <w:tc>
          <w:tcPr>
            <w:tcW w:w="1369" w:type="dxa"/>
            <w:hideMark/>
          </w:tcPr>
          <w:p w:rsidR="00DC79FA" w:rsidRPr="00DC79FA" w:rsidRDefault="00DC79FA" w:rsidP="00DC79FA">
            <w:pPr>
              <w:bidi/>
              <w:spacing w:line="276" w:lineRule="auto"/>
              <w:textAlignment w:val="bottom"/>
              <w:rPr>
                <w:rFonts w:asciiTheme="minorHAnsi" w:eastAsia="Times New Roman" w:hAnsiTheme="minorHAnsi" w:cstheme="minorHAnsi"/>
                <w:rtl/>
              </w:rPr>
            </w:pPr>
            <w:r w:rsidRPr="00DC79FA">
              <w:rPr>
                <w:rFonts w:asciiTheme="minorHAnsi" w:eastAsia="Times New Roman" w:hAnsiTheme="minorHAnsi" w:cstheme="minorHAnsi"/>
                <w:color w:val="000000"/>
                <w:kern w:val="24"/>
                <w:rtl/>
              </w:rPr>
              <w:t>2017</w:t>
            </w:r>
          </w:p>
        </w:tc>
        <w:tc>
          <w:tcPr>
            <w:tcW w:w="962" w:type="dxa"/>
            <w:hideMark/>
          </w:tcPr>
          <w:p w:rsidR="00DC79FA" w:rsidRPr="00DC79FA" w:rsidRDefault="00DC79FA" w:rsidP="00DC79FA">
            <w:pPr>
              <w:bidi/>
              <w:spacing w:line="276" w:lineRule="auto"/>
              <w:textAlignment w:val="bottom"/>
              <w:rPr>
                <w:rFonts w:asciiTheme="minorHAnsi" w:eastAsia="Times New Roman" w:hAnsiTheme="minorHAnsi" w:cstheme="minorHAnsi"/>
                <w:rtl/>
              </w:rPr>
            </w:pPr>
            <w:r w:rsidRPr="00DC79FA">
              <w:rPr>
                <w:rFonts w:asciiTheme="minorHAnsi" w:eastAsia="Times New Roman" w:hAnsiTheme="minorHAnsi" w:cstheme="minorHAnsi"/>
                <w:color w:val="000000"/>
                <w:kern w:val="24"/>
                <w:rtl/>
              </w:rPr>
              <w:t>25.8</w:t>
            </w:r>
          </w:p>
        </w:tc>
        <w:tc>
          <w:tcPr>
            <w:tcW w:w="1470" w:type="dxa"/>
            <w:hideMark/>
          </w:tcPr>
          <w:p w:rsidR="00DC79FA" w:rsidRPr="00DC79FA" w:rsidRDefault="00DC79FA" w:rsidP="00DC79FA">
            <w:pPr>
              <w:bidi/>
              <w:spacing w:line="276" w:lineRule="auto"/>
              <w:textAlignment w:val="bottom"/>
              <w:rPr>
                <w:rFonts w:asciiTheme="minorHAnsi" w:eastAsia="Times New Roman" w:hAnsiTheme="minorHAnsi" w:cstheme="minorHAnsi"/>
                <w:rtl/>
              </w:rPr>
            </w:pPr>
            <w:r w:rsidRPr="00DC79FA">
              <w:rPr>
                <w:rFonts w:asciiTheme="minorHAnsi" w:eastAsia="Times New Roman" w:hAnsiTheme="minorHAnsi" w:cstheme="minorHAnsi"/>
                <w:color w:val="000000"/>
                <w:kern w:val="24"/>
                <w:rtl/>
              </w:rPr>
              <w:t>28.8</w:t>
            </w:r>
          </w:p>
        </w:tc>
        <w:tc>
          <w:tcPr>
            <w:tcW w:w="1498" w:type="dxa"/>
            <w:shd w:val="clear" w:color="auto" w:fill="auto"/>
            <w:hideMark/>
          </w:tcPr>
          <w:p w:rsidR="00DC79FA" w:rsidRPr="00DC79FA" w:rsidRDefault="00DC79FA" w:rsidP="00DC79FA">
            <w:pPr>
              <w:bidi/>
              <w:spacing w:line="276" w:lineRule="auto"/>
              <w:textAlignment w:val="bottom"/>
              <w:rPr>
                <w:rFonts w:asciiTheme="minorHAnsi" w:eastAsia="Times New Roman" w:hAnsiTheme="minorHAnsi" w:cstheme="minorHAnsi"/>
                <w:rtl/>
              </w:rPr>
            </w:pPr>
            <w:r w:rsidRPr="00DC79FA">
              <w:rPr>
                <w:rFonts w:asciiTheme="minorHAnsi" w:eastAsia="Times New Roman" w:hAnsiTheme="minorHAnsi" w:cstheme="minorHAnsi"/>
                <w:color w:val="000000"/>
                <w:kern w:val="24"/>
                <w:rtl/>
              </w:rPr>
              <w:t>20.4</w:t>
            </w:r>
          </w:p>
        </w:tc>
        <w:tc>
          <w:tcPr>
            <w:tcW w:w="1498" w:type="dxa"/>
            <w:shd w:val="clear" w:color="auto" w:fill="FDE9D9" w:themeFill="accent6" w:themeFillTint="33"/>
            <w:hideMark/>
          </w:tcPr>
          <w:p w:rsidR="00DC79FA" w:rsidRPr="00DC79FA" w:rsidRDefault="00DC79FA" w:rsidP="00DC79FA">
            <w:pPr>
              <w:bidi/>
              <w:spacing w:line="276" w:lineRule="auto"/>
              <w:textAlignment w:val="bottom"/>
              <w:rPr>
                <w:rFonts w:asciiTheme="minorHAnsi" w:eastAsia="Times New Roman" w:hAnsiTheme="minorHAnsi" w:cstheme="minorHAnsi"/>
                <w:b/>
                <w:bCs/>
                <w:rtl/>
              </w:rPr>
            </w:pPr>
            <w:r w:rsidRPr="00DC79FA">
              <w:rPr>
                <w:rFonts w:asciiTheme="minorHAnsi" w:eastAsia="Times New Roman" w:hAnsiTheme="minorHAnsi" w:cstheme="minorHAnsi"/>
                <w:b/>
                <w:bCs/>
                <w:color w:val="000000"/>
                <w:kern w:val="24"/>
                <w:rtl/>
              </w:rPr>
              <w:t>4.9-</w:t>
            </w:r>
          </w:p>
        </w:tc>
      </w:tr>
      <w:tr w:rsidR="00DC79FA" w:rsidRPr="00DC79FA" w:rsidTr="006A21BB">
        <w:trPr>
          <w:trHeight w:val="322"/>
          <w:jc w:val="center"/>
        </w:trPr>
        <w:tc>
          <w:tcPr>
            <w:tcW w:w="1369" w:type="dxa"/>
            <w:hideMark/>
          </w:tcPr>
          <w:p w:rsidR="00DC79FA" w:rsidRPr="00DC79FA" w:rsidRDefault="00DC79FA" w:rsidP="00DC79FA">
            <w:pPr>
              <w:bidi/>
              <w:spacing w:line="276" w:lineRule="auto"/>
              <w:textAlignment w:val="bottom"/>
              <w:rPr>
                <w:rFonts w:asciiTheme="minorHAnsi" w:eastAsia="Times New Roman" w:hAnsiTheme="minorHAnsi" w:cstheme="minorHAnsi"/>
                <w:rtl/>
              </w:rPr>
            </w:pPr>
            <w:r w:rsidRPr="00DC79FA">
              <w:rPr>
                <w:rFonts w:asciiTheme="minorHAnsi" w:eastAsia="Times New Roman" w:hAnsiTheme="minorHAnsi" w:cstheme="minorHAnsi"/>
                <w:color w:val="000000"/>
                <w:kern w:val="24"/>
                <w:rtl/>
              </w:rPr>
              <w:t>2018</w:t>
            </w:r>
          </w:p>
        </w:tc>
        <w:tc>
          <w:tcPr>
            <w:tcW w:w="962" w:type="dxa"/>
            <w:hideMark/>
          </w:tcPr>
          <w:p w:rsidR="00DC79FA" w:rsidRPr="00DC79FA" w:rsidRDefault="00DC79FA" w:rsidP="00DC79FA">
            <w:pPr>
              <w:bidi/>
              <w:spacing w:line="276" w:lineRule="auto"/>
              <w:textAlignment w:val="bottom"/>
              <w:rPr>
                <w:rFonts w:asciiTheme="minorHAnsi" w:eastAsia="Times New Roman" w:hAnsiTheme="minorHAnsi" w:cstheme="minorHAnsi"/>
                <w:rtl/>
              </w:rPr>
            </w:pPr>
            <w:r w:rsidRPr="00DC79FA">
              <w:rPr>
                <w:rFonts w:asciiTheme="minorHAnsi" w:eastAsia="Times New Roman" w:hAnsiTheme="minorHAnsi" w:cstheme="minorHAnsi"/>
                <w:color w:val="000000"/>
                <w:kern w:val="24"/>
                <w:rtl/>
              </w:rPr>
              <w:t>25.7</w:t>
            </w:r>
          </w:p>
        </w:tc>
        <w:tc>
          <w:tcPr>
            <w:tcW w:w="1470" w:type="dxa"/>
            <w:hideMark/>
          </w:tcPr>
          <w:p w:rsidR="00DC79FA" w:rsidRPr="00DC79FA" w:rsidRDefault="00DC79FA" w:rsidP="00DC79FA">
            <w:pPr>
              <w:bidi/>
              <w:spacing w:line="276" w:lineRule="auto"/>
              <w:textAlignment w:val="bottom"/>
              <w:rPr>
                <w:rFonts w:asciiTheme="minorHAnsi" w:eastAsia="Times New Roman" w:hAnsiTheme="minorHAnsi" w:cstheme="minorHAnsi"/>
                <w:rtl/>
              </w:rPr>
            </w:pPr>
            <w:r w:rsidRPr="00DC79FA">
              <w:rPr>
                <w:rFonts w:asciiTheme="minorHAnsi" w:eastAsia="Times New Roman" w:hAnsiTheme="minorHAnsi" w:cstheme="minorHAnsi"/>
                <w:color w:val="000000"/>
                <w:kern w:val="24"/>
                <w:rtl/>
              </w:rPr>
              <w:t>29.8</w:t>
            </w:r>
          </w:p>
        </w:tc>
        <w:tc>
          <w:tcPr>
            <w:tcW w:w="1498" w:type="dxa"/>
            <w:shd w:val="clear" w:color="auto" w:fill="auto"/>
            <w:hideMark/>
          </w:tcPr>
          <w:p w:rsidR="00DC79FA" w:rsidRPr="00DC79FA" w:rsidRDefault="00DC79FA" w:rsidP="00DC79FA">
            <w:pPr>
              <w:bidi/>
              <w:spacing w:line="276" w:lineRule="auto"/>
              <w:textAlignment w:val="bottom"/>
              <w:rPr>
                <w:rFonts w:asciiTheme="minorHAnsi" w:eastAsia="Times New Roman" w:hAnsiTheme="minorHAnsi" w:cstheme="minorHAnsi"/>
                <w:rtl/>
              </w:rPr>
            </w:pPr>
            <w:r w:rsidRPr="00DC79FA">
              <w:rPr>
                <w:rFonts w:asciiTheme="minorHAnsi" w:eastAsia="Times New Roman" w:hAnsiTheme="minorHAnsi" w:cstheme="minorHAnsi"/>
                <w:color w:val="000000"/>
                <w:kern w:val="24"/>
                <w:rtl/>
              </w:rPr>
              <w:t>22.1</w:t>
            </w:r>
          </w:p>
        </w:tc>
        <w:tc>
          <w:tcPr>
            <w:tcW w:w="1498" w:type="dxa"/>
            <w:shd w:val="clear" w:color="auto" w:fill="FDE9D9" w:themeFill="accent6" w:themeFillTint="33"/>
            <w:hideMark/>
          </w:tcPr>
          <w:p w:rsidR="00DC79FA" w:rsidRPr="00DC79FA" w:rsidRDefault="00DC79FA" w:rsidP="00DC79FA">
            <w:pPr>
              <w:bidi/>
              <w:spacing w:line="276" w:lineRule="auto"/>
              <w:textAlignment w:val="bottom"/>
              <w:rPr>
                <w:rFonts w:asciiTheme="minorHAnsi" w:eastAsia="Times New Roman" w:hAnsiTheme="minorHAnsi" w:cstheme="minorHAnsi"/>
                <w:b/>
                <w:bCs/>
                <w:rtl/>
              </w:rPr>
            </w:pPr>
            <w:r w:rsidRPr="00DC79FA">
              <w:rPr>
                <w:rFonts w:asciiTheme="minorHAnsi" w:eastAsia="Times New Roman" w:hAnsiTheme="minorHAnsi" w:cstheme="minorHAnsi"/>
                <w:b/>
                <w:bCs/>
                <w:color w:val="000000"/>
                <w:kern w:val="24"/>
                <w:rtl/>
              </w:rPr>
              <w:t>3.3-</w:t>
            </w:r>
          </w:p>
        </w:tc>
      </w:tr>
      <w:tr w:rsidR="00DC79FA" w:rsidRPr="00DC79FA" w:rsidTr="006A21BB">
        <w:trPr>
          <w:trHeight w:val="322"/>
          <w:jc w:val="center"/>
        </w:trPr>
        <w:tc>
          <w:tcPr>
            <w:tcW w:w="1369" w:type="dxa"/>
            <w:hideMark/>
          </w:tcPr>
          <w:p w:rsidR="00DC79FA" w:rsidRPr="00DC79FA" w:rsidRDefault="00DC79FA" w:rsidP="00DC79FA">
            <w:pPr>
              <w:bidi/>
              <w:spacing w:line="276" w:lineRule="auto"/>
              <w:textAlignment w:val="bottom"/>
              <w:rPr>
                <w:rFonts w:asciiTheme="minorHAnsi" w:eastAsia="Times New Roman" w:hAnsiTheme="minorHAnsi" w:cstheme="minorHAnsi"/>
                <w:rtl/>
              </w:rPr>
            </w:pPr>
            <w:r w:rsidRPr="00DC79FA">
              <w:rPr>
                <w:rFonts w:asciiTheme="minorHAnsi" w:eastAsia="Times New Roman" w:hAnsiTheme="minorHAnsi" w:cstheme="minorHAnsi"/>
                <w:color w:val="000000"/>
                <w:kern w:val="24"/>
                <w:rtl/>
              </w:rPr>
              <w:t>2019</w:t>
            </w:r>
          </w:p>
        </w:tc>
        <w:tc>
          <w:tcPr>
            <w:tcW w:w="962" w:type="dxa"/>
            <w:hideMark/>
          </w:tcPr>
          <w:p w:rsidR="00DC79FA" w:rsidRPr="00DC79FA" w:rsidRDefault="00DC79FA" w:rsidP="00DC79FA">
            <w:pPr>
              <w:bidi/>
              <w:spacing w:line="276" w:lineRule="auto"/>
              <w:textAlignment w:val="bottom"/>
              <w:rPr>
                <w:rFonts w:asciiTheme="minorHAnsi" w:eastAsia="Times New Roman" w:hAnsiTheme="minorHAnsi" w:cstheme="minorHAnsi"/>
                <w:rtl/>
              </w:rPr>
            </w:pPr>
            <w:r w:rsidRPr="00DC79FA">
              <w:rPr>
                <w:rFonts w:asciiTheme="minorHAnsi" w:eastAsia="Times New Roman" w:hAnsiTheme="minorHAnsi" w:cstheme="minorHAnsi"/>
                <w:color w:val="000000"/>
                <w:kern w:val="24"/>
                <w:rtl/>
              </w:rPr>
              <w:t>25.9</w:t>
            </w:r>
          </w:p>
        </w:tc>
        <w:tc>
          <w:tcPr>
            <w:tcW w:w="1470" w:type="dxa"/>
            <w:hideMark/>
          </w:tcPr>
          <w:p w:rsidR="00DC79FA" w:rsidRPr="00DC79FA" w:rsidRDefault="00DC79FA" w:rsidP="00DC79FA">
            <w:pPr>
              <w:bidi/>
              <w:spacing w:line="276" w:lineRule="auto"/>
              <w:textAlignment w:val="bottom"/>
              <w:rPr>
                <w:rFonts w:asciiTheme="minorHAnsi" w:eastAsia="Times New Roman" w:hAnsiTheme="minorHAnsi" w:cstheme="minorHAnsi"/>
                <w:rtl/>
              </w:rPr>
            </w:pPr>
            <w:r w:rsidRPr="00DC79FA">
              <w:rPr>
                <w:rFonts w:asciiTheme="minorHAnsi" w:eastAsia="Times New Roman" w:hAnsiTheme="minorHAnsi" w:cstheme="minorHAnsi"/>
                <w:color w:val="000000"/>
                <w:kern w:val="24"/>
                <w:rtl/>
              </w:rPr>
              <w:t>29.3</w:t>
            </w:r>
          </w:p>
        </w:tc>
        <w:tc>
          <w:tcPr>
            <w:tcW w:w="1498" w:type="dxa"/>
            <w:shd w:val="clear" w:color="auto" w:fill="auto"/>
            <w:hideMark/>
          </w:tcPr>
          <w:p w:rsidR="00DC79FA" w:rsidRPr="00DC79FA" w:rsidRDefault="00DC79FA" w:rsidP="00DC79FA">
            <w:pPr>
              <w:bidi/>
              <w:spacing w:line="276" w:lineRule="auto"/>
              <w:textAlignment w:val="bottom"/>
              <w:rPr>
                <w:rFonts w:asciiTheme="minorHAnsi" w:eastAsia="Times New Roman" w:hAnsiTheme="minorHAnsi" w:cstheme="minorHAnsi"/>
                <w:rtl/>
              </w:rPr>
            </w:pPr>
            <w:r w:rsidRPr="00DC79FA">
              <w:rPr>
                <w:rFonts w:asciiTheme="minorHAnsi" w:eastAsia="Times New Roman" w:hAnsiTheme="minorHAnsi" w:cstheme="minorHAnsi"/>
                <w:color w:val="000000"/>
                <w:kern w:val="24"/>
                <w:rtl/>
              </w:rPr>
              <w:t>22.4</w:t>
            </w:r>
          </w:p>
        </w:tc>
        <w:tc>
          <w:tcPr>
            <w:tcW w:w="1498" w:type="dxa"/>
            <w:shd w:val="clear" w:color="auto" w:fill="FDE9D9" w:themeFill="accent6" w:themeFillTint="33"/>
            <w:hideMark/>
          </w:tcPr>
          <w:p w:rsidR="00DC79FA" w:rsidRPr="00DC79FA" w:rsidRDefault="00DC79FA" w:rsidP="00DC79FA">
            <w:pPr>
              <w:bidi/>
              <w:spacing w:line="276" w:lineRule="auto"/>
              <w:textAlignment w:val="bottom"/>
              <w:rPr>
                <w:rFonts w:asciiTheme="minorHAnsi" w:eastAsia="Times New Roman" w:hAnsiTheme="minorHAnsi" w:cstheme="minorHAnsi"/>
                <w:b/>
                <w:bCs/>
              </w:rPr>
            </w:pPr>
            <w:r w:rsidRPr="00DC79FA">
              <w:rPr>
                <w:rFonts w:asciiTheme="minorHAnsi" w:eastAsia="Times New Roman" w:hAnsiTheme="minorHAnsi" w:cstheme="minorHAnsi"/>
                <w:b/>
                <w:bCs/>
                <w:color w:val="000000"/>
                <w:kern w:val="24"/>
                <w:rtl/>
              </w:rPr>
              <w:t>3-</w:t>
            </w:r>
          </w:p>
        </w:tc>
      </w:tr>
      <w:tr w:rsidR="00DC79FA" w:rsidRPr="00DC79FA" w:rsidTr="006A21BB">
        <w:trPr>
          <w:trHeight w:val="322"/>
          <w:jc w:val="center"/>
        </w:trPr>
        <w:tc>
          <w:tcPr>
            <w:tcW w:w="1369" w:type="dxa"/>
            <w:hideMark/>
          </w:tcPr>
          <w:p w:rsidR="00DC79FA" w:rsidRPr="00DC79FA" w:rsidRDefault="00DC79FA" w:rsidP="00DC79FA">
            <w:pPr>
              <w:bidi/>
              <w:spacing w:line="276" w:lineRule="auto"/>
              <w:textAlignment w:val="bottom"/>
              <w:rPr>
                <w:rFonts w:asciiTheme="minorHAnsi" w:eastAsia="Times New Roman" w:hAnsiTheme="minorHAnsi" w:cstheme="minorHAnsi"/>
                <w:rtl/>
              </w:rPr>
            </w:pPr>
            <w:r w:rsidRPr="00DC79FA">
              <w:rPr>
                <w:rFonts w:asciiTheme="minorHAnsi" w:eastAsia="Times New Roman" w:hAnsiTheme="minorHAnsi" w:cstheme="minorHAnsi"/>
                <w:color w:val="000000"/>
                <w:kern w:val="24"/>
                <w:rtl/>
              </w:rPr>
              <w:t>2020</w:t>
            </w:r>
          </w:p>
        </w:tc>
        <w:tc>
          <w:tcPr>
            <w:tcW w:w="962" w:type="dxa"/>
            <w:hideMark/>
          </w:tcPr>
          <w:p w:rsidR="00DC79FA" w:rsidRPr="00DC79FA" w:rsidRDefault="00DC79FA" w:rsidP="00DC79FA">
            <w:pPr>
              <w:bidi/>
              <w:spacing w:line="276" w:lineRule="auto"/>
              <w:textAlignment w:val="bottom"/>
              <w:rPr>
                <w:rFonts w:asciiTheme="minorHAnsi" w:eastAsia="Times New Roman" w:hAnsiTheme="minorHAnsi" w:cstheme="minorHAnsi"/>
                <w:rtl/>
              </w:rPr>
            </w:pPr>
            <w:r w:rsidRPr="00DC79FA">
              <w:rPr>
                <w:rFonts w:asciiTheme="minorHAnsi" w:eastAsia="Times New Roman" w:hAnsiTheme="minorHAnsi" w:cstheme="minorHAnsi"/>
                <w:color w:val="000000"/>
                <w:kern w:val="24"/>
                <w:rtl/>
              </w:rPr>
              <w:t>25.9</w:t>
            </w:r>
          </w:p>
        </w:tc>
        <w:tc>
          <w:tcPr>
            <w:tcW w:w="1470" w:type="dxa"/>
            <w:hideMark/>
          </w:tcPr>
          <w:p w:rsidR="00DC79FA" w:rsidRPr="00DC79FA" w:rsidRDefault="00DC79FA" w:rsidP="00DC79FA">
            <w:pPr>
              <w:bidi/>
              <w:spacing w:line="276" w:lineRule="auto"/>
              <w:textAlignment w:val="bottom"/>
              <w:rPr>
                <w:rFonts w:asciiTheme="minorHAnsi" w:eastAsia="Times New Roman" w:hAnsiTheme="minorHAnsi" w:cstheme="minorHAnsi"/>
                <w:rtl/>
              </w:rPr>
            </w:pPr>
            <w:r w:rsidRPr="00DC79FA">
              <w:rPr>
                <w:rFonts w:asciiTheme="minorHAnsi" w:eastAsia="Times New Roman" w:hAnsiTheme="minorHAnsi" w:cstheme="minorHAnsi"/>
                <w:color w:val="000000"/>
                <w:kern w:val="24"/>
                <w:rtl/>
              </w:rPr>
              <w:t>29.6</w:t>
            </w:r>
          </w:p>
        </w:tc>
        <w:tc>
          <w:tcPr>
            <w:tcW w:w="1498" w:type="dxa"/>
            <w:shd w:val="clear" w:color="auto" w:fill="auto"/>
            <w:hideMark/>
          </w:tcPr>
          <w:p w:rsidR="00DC79FA" w:rsidRPr="00DC79FA" w:rsidRDefault="00DC79FA" w:rsidP="00DC79FA">
            <w:pPr>
              <w:bidi/>
              <w:spacing w:line="276" w:lineRule="auto"/>
              <w:textAlignment w:val="bottom"/>
              <w:rPr>
                <w:rFonts w:asciiTheme="minorHAnsi" w:eastAsia="Times New Roman" w:hAnsiTheme="minorHAnsi" w:cstheme="minorHAnsi"/>
                <w:rtl/>
              </w:rPr>
            </w:pPr>
            <w:r w:rsidRPr="00DC79FA">
              <w:rPr>
                <w:rFonts w:asciiTheme="minorHAnsi" w:eastAsia="Times New Roman" w:hAnsiTheme="minorHAnsi" w:cstheme="minorHAnsi"/>
                <w:color w:val="000000"/>
                <w:kern w:val="24"/>
                <w:rtl/>
              </w:rPr>
              <w:t>24</w:t>
            </w:r>
          </w:p>
        </w:tc>
        <w:tc>
          <w:tcPr>
            <w:tcW w:w="1498" w:type="dxa"/>
            <w:shd w:val="clear" w:color="auto" w:fill="FDE9D9" w:themeFill="accent6" w:themeFillTint="33"/>
            <w:hideMark/>
          </w:tcPr>
          <w:p w:rsidR="00DC79FA" w:rsidRPr="00DC79FA" w:rsidRDefault="00DC79FA" w:rsidP="00DC79FA">
            <w:pPr>
              <w:bidi/>
              <w:spacing w:line="276" w:lineRule="auto"/>
              <w:textAlignment w:val="bottom"/>
              <w:rPr>
                <w:rFonts w:asciiTheme="minorHAnsi" w:eastAsia="Times New Roman" w:hAnsiTheme="minorHAnsi" w:cstheme="minorHAnsi"/>
                <w:b/>
                <w:bCs/>
              </w:rPr>
            </w:pPr>
            <w:r w:rsidRPr="00DC79FA">
              <w:rPr>
                <w:rFonts w:asciiTheme="minorHAnsi" w:eastAsia="Times New Roman" w:hAnsiTheme="minorHAnsi" w:cstheme="minorHAnsi"/>
                <w:b/>
                <w:bCs/>
                <w:color w:val="000000"/>
                <w:kern w:val="24"/>
                <w:rtl/>
              </w:rPr>
              <w:t>1.7-</w:t>
            </w:r>
          </w:p>
        </w:tc>
      </w:tr>
      <w:tr w:rsidR="00DC79FA" w:rsidRPr="00DC79FA" w:rsidTr="006A21BB">
        <w:trPr>
          <w:trHeight w:val="322"/>
          <w:jc w:val="center"/>
        </w:trPr>
        <w:tc>
          <w:tcPr>
            <w:tcW w:w="1369" w:type="dxa"/>
            <w:hideMark/>
          </w:tcPr>
          <w:p w:rsidR="00DC79FA" w:rsidRPr="00DC79FA" w:rsidRDefault="00DC79FA" w:rsidP="00DC79FA">
            <w:pPr>
              <w:bidi/>
              <w:spacing w:line="276" w:lineRule="auto"/>
              <w:textAlignment w:val="bottom"/>
              <w:rPr>
                <w:rFonts w:asciiTheme="minorHAnsi" w:eastAsia="Times New Roman" w:hAnsiTheme="minorHAnsi" w:cstheme="minorHAnsi"/>
                <w:rtl/>
              </w:rPr>
            </w:pPr>
            <w:r w:rsidRPr="00DC79FA">
              <w:rPr>
                <w:rFonts w:asciiTheme="minorHAnsi" w:eastAsia="Times New Roman" w:hAnsiTheme="minorHAnsi" w:cstheme="minorHAnsi"/>
                <w:color w:val="000000"/>
                <w:kern w:val="24"/>
                <w:rtl/>
              </w:rPr>
              <w:t>2021</w:t>
            </w:r>
          </w:p>
        </w:tc>
        <w:tc>
          <w:tcPr>
            <w:tcW w:w="962" w:type="dxa"/>
            <w:hideMark/>
          </w:tcPr>
          <w:p w:rsidR="00DC79FA" w:rsidRPr="00DC79FA" w:rsidRDefault="00DC79FA" w:rsidP="00DC79FA">
            <w:pPr>
              <w:bidi/>
              <w:spacing w:line="276" w:lineRule="auto"/>
              <w:textAlignment w:val="bottom"/>
              <w:rPr>
                <w:rFonts w:asciiTheme="minorHAnsi" w:eastAsia="Times New Roman" w:hAnsiTheme="minorHAnsi" w:cstheme="minorHAnsi"/>
                <w:rtl/>
              </w:rPr>
            </w:pPr>
            <w:r w:rsidRPr="00DC79FA">
              <w:rPr>
                <w:rFonts w:asciiTheme="minorHAnsi" w:eastAsia="Times New Roman" w:hAnsiTheme="minorHAnsi" w:cstheme="minorHAnsi"/>
                <w:color w:val="000000"/>
                <w:kern w:val="24"/>
                <w:rtl/>
              </w:rPr>
              <w:t>26.1</w:t>
            </w:r>
          </w:p>
        </w:tc>
        <w:tc>
          <w:tcPr>
            <w:tcW w:w="1470" w:type="dxa"/>
            <w:hideMark/>
          </w:tcPr>
          <w:p w:rsidR="00DC79FA" w:rsidRPr="00DC79FA" w:rsidRDefault="00DC79FA" w:rsidP="00DC79FA">
            <w:pPr>
              <w:bidi/>
              <w:spacing w:line="276" w:lineRule="auto"/>
              <w:textAlignment w:val="bottom"/>
              <w:rPr>
                <w:rFonts w:asciiTheme="minorHAnsi" w:eastAsia="Times New Roman" w:hAnsiTheme="minorHAnsi" w:cstheme="minorHAnsi"/>
                <w:rtl/>
              </w:rPr>
            </w:pPr>
            <w:r w:rsidRPr="00DC79FA">
              <w:rPr>
                <w:rFonts w:asciiTheme="minorHAnsi" w:eastAsia="Times New Roman" w:hAnsiTheme="minorHAnsi" w:cstheme="minorHAnsi"/>
                <w:color w:val="000000"/>
                <w:kern w:val="24"/>
                <w:rtl/>
              </w:rPr>
              <w:t>32.9</w:t>
            </w:r>
          </w:p>
        </w:tc>
        <w:tc>
          <w:tcPr>
            <w:tcW w:w="1498" w:type="dxa"/>
            <w:shd w:val="clear" w:color="auto" w:fill="auto"/>
            <w:hideMark/>
          </w:tcPr>
          <w:p w:rsidR="00DC79FA" w:rsidRPr="00DC79FA" w:rsidRDefault="00DC79FA" w:rsidP="00DC79FA">
            <w:pPr>
              <w:bidi/>
              <w:spacing w:line="276" w:lineRule="auto"/>
              <w:textAlignment w:val="bottom"/>
              <w:rPr>
                <w:rFonts w:asciiTheme="minorHAnsi" w:eastAsia="Times New Roman" w:hAnsiTheme="minorHAnsi" w:cstheme="minorHAnsi"/>
                <w:rtl/>
              </w:rPr>
            </w:pPr>
            <w:r w:rsidRPr="00DC79FA">
              <w:rPr>
                <w:rFonts w:asciiTheme="minorHAnsi" w:eastAsia="Times New Roman" w:hAnsiTheme="minorHAnsi" w:cstheme="minorHAnsi"/>
                <w:color w:val="000000"/>
                <w:kern w:val="24"/>
                <w:rtl/>
              </w:rPr>
              <w:t>27.2</w:t>
            </w:r>
          </w:p>
        </w:tc>
        <w:tc>
          <w:tcPr>
            <w:tcW w:w="1498" w:type="dxa"/>
            <w:shd w:val="clear" w:color="auto" w:fill="FDE9D9" w:themeFill="accent6" w:themeFillTint="33"/>
            <w:hideMark/>
          </w:tcPr>
          <w:p w:rsidR="00DC79FA" w:rsidRPr="00DC79FA" w:rsidRDefault="00DC79FA" w:rsidP="00DC79FA">
            <w:pPr>
              <w:bidi/>
              <w:spacing w:line="276" w:lineRule="auto"/>
              <w:textAlignment w:val="bottom"/>
              <w:rPr>
                <w:rFonts w:asciiTheme="minorHAnsi" w:eastAsia="Times New Roman" w:hAnsiTheme="minorHAnsi" w:cstheme="minorHAnsi"/>
                <w:b/>
                <w:bCs/>
                <w:rtl/>
              </w:rPr>
            </w:pPr>
            <w:r w:rsidRPr="00DC79FA">
              <w:rPr>
                <w:rFonts w:asciiTheme="minorHAnsi" w:eastAsia="Times New Roman" w:hAnsiTheme="minorHAnsi" w:cstheme="minorHAnsi"/>
                <w:b/>
                <w:bCs/>
                <w:color w:val="000000"/>
                <w:kern w:val="24"/>
                <w:rtl/>
              </w:rPr>
              <w:t>0.3</w:t>
            </w:r>
          </w:p>
        </w:tc>
      </w:tr>
      <w:tr w:rsidR="00DC79FA" w:rsidRPr="00DC79FA" w:rsidTr="006A21BB">
        <w:trPr>
          <w:trHeight w:val="322"/>
          <w:jc w:val="center"/>
        </w:trPr>
        <w:tc>
          <w:tcPr>
            <w:tcW w:w="1369" w:type="dxa"/>
            <w:hideMark/>
          </w:tcPr>
          <w:p w:rsidR="00DC79FA" w:rsidRPr="00DC79FA" w:rsidRDefault="00DC79FA" w:rsidP="00DC79FA">
            <w:pPr>
              <w:bidi/>
              <w:spacing w:line="276" w:lineRule="auto"/>
              <w:textAlignment w:val="bottom"/>
              <w:rPr>
                <w:rFonts w:asciiTheme="minorHAnsi" w:eastAsia="Times New Roman" w:hAnsiTheme="minorHAnsi" w:cstheme="minorHAnsi"/>
                <w:rtl/>
              </w:rPr>
            </w:pPr>
            <w:r w:rsidRPr="00DC79FA">
              <w:rPr>
                <w:rFonts w:asciiTheme="minorHAnsi" w:eastAsia="Times New Roman" w:hAnsiTheme="minorHAnsi" w:cstheme="minorHAnsi"/>
                <w:color w:val="000000"/>
                <w:kern w:val="24"/>
                <w:rtl/>
              </w:rPr>
              <w:t>2022</w:t>
            </w:r>
          </w:p>
        </w:tc>
        <w:tc>
          <w:tcPr>
            <w:tcW w:w="962" w:type="dxa"/>
            <w:hideMark/>
          </w:tcPr>
          <w:p w:rsidR="00DC79FA" w:rsidRPr="00DC79FA" w:rsidRDefault="00DC79FA" w:rsidP="00DC79FA">
            <w:pPr>
              <w:bidi/>
              <w:spacing w:line="276" w:lineRule="auto"/>
              <w:textAlignment w:val="bottom"/>
              <w:rPr>
                <w:rFonts w:asciiTheme="minorHAnsi" w:eastAsia="Times New Roman" w:hAnsiTheme="minorHAnsi" w:cstheme="minorHAnsi"/>
                <w:rtl/>
              </w:rPr>
            </w:pPr>
            <w:r w:rsidRPr="00DC79FA">
              <w:rPr>
                <w:rFonts w:asciiTheme="minorHAnsi" w:eastAsia="Times New Roman" w:hAnsiTheme="minorHAnsi" w:cstheme="minorHAnsi"/>
                <w:color w:val="000000"/>
                <w:kern w:val="24"/>
                <w:rtl/>
              </w:rPr>
              <w:t>26.4</w:t>
            </w:r>
          </w:p>
        </w:tc>
        <w:tc>
          <w:tcPr>
            <w:tcW w:w="1470" w:type="dxa"/>
            <w:hideMark/>
          </w:tcPr>
          <w:p w:rsidR="00DC79FA" w:rsidRPr="00DC79FA" w:rsidRDefault="00DC79FA" w:rsidP="00DC79FA">
            <w:pPr>
              <w:bidi/>
              <w:spacing w:line="276" w:lineRule="auto"/>
              <w:textAlignment w:val="bottom"/>
              <w:rPr>
                <w:rFonts w:asciiTheme="minorHAnsi" w:eastAsia="Times New Roman" w:hAnsiTheme="minorHAnsi" w:cstheme="minorHAnsi"/>
                <w:rtl/>
              </w:rPr>
            </w:pPr>
            <w:r w:rsidRPr="00DC79FA">
              <w:rPr>
                <w:rFonts w:asciiTheme="minorHAnsi" w:eastAsia="Times New Roman" w:hAnsiTheme="minorHAnsi" w:cstheme="minorHAnsi"/>
                <w:color w:val="000000"/>
                <w:kern w:val="24"/>
                <w:rtl/>
              </w:rPr>
              <w:t>29.4</w:t>
            </w:r>
          </w:p>
        </w:tc>
        <w:tc>
          <w:tcPr>
            <w:tcW w:w="1498" w:type="dxa"/>
            <w:shd w:val="clear" w:color="auto" w:fill="auto"/>
            <w:hideMark/>
          </w:tcPr>
          <w:p w:rsidR="00DC79FA" w:rsidRPr="00DC79FA" w:rsidRDefault="00DC79FA" w:rsidP="00DC79FA">
            <w:pPr>
              <w:bidi/>
              <w:spacing w:line="276" w:lineRule="auto"/>
              <w:textAlignment w:val="bottom"/>
              <w:rPr>
                <w:rFonts w:asciiTheme="minorHAnsi" w:eastAsia="Times New Roman" w:hAnsiTheme="minorHAnsi" w:cstheme="minorHAnsi"/>
                <w:rtl/>
              </w:rPr>
            </w:pPr>
            <w:r w:rsidRPr="00DC79FA">
              <w:rPr>
                <w:rFonts w:asciiTheme="minorHAnsi" w:eastAsia="Times New Roman" w:hAnsiTheme="minorHAnsi" w:cstheme="minorHAnsi"/>
                <w:color w:val="000000"/>
                <w:kern w:val="24"/>
                <w:rtl/>
              </w:rPr>
              <w:t>27</w:t>
            </w:r>
          </w:p>
        </w:tc>
        <w:tc>
          <w:tcPr>
            <w:tcW w:w="1498" w:type="dxa"/>
            <w:shd w:val="clear" w:color="auto" w:fill="FDE9D9" w:themeFill="accent6" w:themeFillTint="33"/>
            <w:hideMark/>
          </w:tcPr>
          <w:p w:rsidR="00DC79FA" w:rsidRPr="00DC79FA" w:rsidRDefault="00DC79FA" w:rsidP="00DC79FA">
            <w:pPr>
              <w:bidi/>
              <w:spacing w:line="276" w:lineRule="auto"/>
              <w:textAlignment w:val="bottom"/>
              <w:rPr>
                <w:rFonts w:asciiTheme="minorHAnsi" w:eastAsia="Times New Roman" w:hAnsiTheme="minorHAnsi" w:cstheme="minorHAnsi"/>
                <w:b/>
                <w:bCs/>
                <w:rtl/>
              </w:rPr>
            </w:pPr>
            <w:r w:rsidRPr="00DC79FA">
              <w:rPr>
                <w:rFonts w:asciiTheme="minorHAnsi" w:eastAsia="Times New Roman" w:hAnsiTheme="minorHAnsi" w:cstheme="minorHAnsi"/>
                <w:b/>
                <w:bCs/>
                <w:color w:val="000000"/>
                <w:kern w:val="24"/>
                <w:rtl/>
              </w:rPr>
              <w:t>1.1</w:t>
            </w:r>
          </w:p>
        </w:tc>
      </w:tr>
    </w:tbl>
    <w:p w:rsidR="00DC79FA" w:rsidRPr="00DC79FA" w:rsidRDefault="00DC79FA" w:rsidP="00DC79FA">
      <w:pPr>
        <w:tabs>
          <w:tab w:val="left" w:pos="2245"/>
        </w:tabs>
        <w:bidi/>
        <w:rPr>
          <w:rFonts w:asciiTheme="minorHAnsi" w:hAnsiTheme="minorHAnsi" w:cstheme="minorHAnsi"/>
          <w:rtl/>
        </w:rPr>
      </w:pPr>
      <w:r w:rsidRPr="00DC79FA">
        <w:rPr>
          <w:rFonts w:asciiTheme="minorHAnsi" w:hAnsiTheme="minorHAnsi" w:cstheme="minorHAnsi"/>
          <w:rtl/>
        </w:rPr>
        <w:tab/>
      </w:r>
    </w:p>
    <w:p w:rsidR="00DC79FA" w:rsidRPr="00DC79FA" w:rsidRDefault="00DC79FA" w:rsidP="00DC79FA">
      <w:pPr>
        <w:bidi/>
        <w:spacing w:line="360" w:lineRule="auto"/>
        <w:rPr>
          <w:rFonts w:asciiTheme="minorHAnsi" w:hAnsiTheme="minorHAnsi" w:cstheme="minorHAnsi"/>
          <w:rtl/>
        </w:rPr>
      </w:pPr>
      <w:r w:rsidRPr="00DC79FA">
        <w:rPr>
          <w:rFonts w:asciiTheme="minorHAnsi" w:hAnsiTheme="minorHAnsi" w:cstheme="minorHAnsi"/>
          <w:rtl/>
        </w:rPr>
        <w:t xml:space="preserve">נציין כי ניתוח זה נעשה במהלך 2023, לאחר שהריבית עמדה על 4.75%. מאז, הריבית ירדה ב-25 נקודות בסיס, וההכנסה המשיכה לעלות, כך שמדובר באומדן </w:t>
      </w:r>
      <w:r w:rsidRPr="00DC79FA">
        <w:rPr>
          <w:rFonts w:asciiTheme="minorHAnsi" w:hAnsiTheme="minorHAnsi" w:cstheme="minorHAnsi"/>
          <w:u w:val="single"/>
          <w:rtl/>
        </w:rPr>
        <w:t>יתר</w:t>
      </w:r>
      <w:r w:rsidRPr="00DC79FA">
        <w:rPr>
          <w:rFonts w:asciiTheme="minorHAnsi" w:hAnsiTheme="minorHAnsi" w:cstheme="minorHAnsi"/>
          <w:rtl/>
        </w:rPr>
        <w:t xml:space="preserve"> לעלייה בשיעור ההחזר.</w:t>
      </w:r>
    </w:p>
    <w:p w:rsidR="00DC79FA" w:rsidRPr="00DC79FA" w:rsidRDefault="00DC79FA" w:rsidP="00DC79FA">
      <w:pPr>
        <w:bidi/>
        <w:spacing w:line="360" w:lineRule="auto"/>
        <w:rPr>
          <w:rFonts w:asciiTheme="minorHAnsi" w:hAnsiTheme="minorHAnsi" w:cstheme="minorHAnsi"/>
          <w:rtl/>
        </w:rPr>
      </w:pPr>
      <w:r w:rsidRPr="00DC79FA">
        <w:rPr>
          <w:rFonts w:asciiTheme="minorHAnsi" w:hAnsiTheme="minorHAnsi" w:cstheme="minorHAnsi"/>
          <w:rtl/>
        </w:rPr>
        <w:t xml:space="preserve">בנוסף, ניתוח מהיר של נתונים עדכניים יותר מראה כי במונחים </w:t>
      </w:r>
      <w:proofErr w:type="spellStart"/>
      <w:r w:rsidRPr="00DC79FA">
        <w:rPr>
          <w:rFonts w:asciiTheme="minorHAnsi" w:hAnsiTheme="minorHAnsi" w:cstheme="minorHAnsi"/>
          <w:rtl/>
        </w:rPr>
        <w:t>שקליים</w:t>
      </w:r>
      <w:proofErr w:type="spellEnd"/>
      <w:r w:rsidRPr="00DC79FA">
        <w:rPr>
          <w:rFonts w:asciiTheme="minorHAnsi" w:hAnsiTheme="minorHAnsi" w:cstheme="minorHAnsi"/>
          <w:rtl/>
        </w:rPr>
        <w:t xml:space="preserve">, בין ינואר 2022 (ערב תחילת העלאות הריבית) לבין אפריל 2025, ההחזר החודשי הממוצע על משכנתא עלה בכ-960 ₪, בעוד שהשכר הממוצע למשרת שכיר (אחת, בעוד שבמשק בית ממוצע יש 1.5 מועסקים) עלה בכ-1,880 ₪ – </w:t>
      </w:r>
      <w:r w:rsidRPr="00DC79FA">
        <w:rPr>
          <w:rFonts w:asciiTheme="minorHAnsi" w:hAnsiTheme="minorHAnsi" w:cstheme="minorHAnsi"/>
          <w:u w:val="single"/>
          <w:rtl/>
        </w:rPr>
        <w:t xml:space="preserve">כמעט פי שניים מהעלייה בהחזר החודשי. </w:t>
      </w:r>
    </w:p>
    <w:p w:rsidR="00DC79FA" w:rsidRPr="00DC79FA" w:rsidRDefault="00DC79FA" w:rsidP="00DC79FA">
      <w:pPr>
        <w:bidi/>
        <w:spacing w:line="360" w:lineRule="auto"/>
        <w:rPr>
          <w:rFonts w:asciiTheme="minorHAnsi" w:hAnsiTheme="minorHAnsi" w:cstheme="minorHAnsi"/>
          <w:rtl/>
        </w:rPr>
      </w:pPr>
      <w:r w:rsidRPr="00DC79FA">
        <w:rPr>
          <w:rFonts w:asciiTheme="minorHAnsi" w:hAnsiTheme="minorHAnsi" w:cstheme="minorHAnsi"/>
          <w:rtl/>
        </w:rPr>
        <w:t xml:space="preserve">בהתאם, גם ההוצאה לצריכה הפרטית (בכרטיסי אשראי, נומינלי) עלתה בקצב דומה בקרב בעלי משכנתאות וכאלה שאינם בעלי משכנתא. בין ינואר 2022 לאפריל 2025, ההוצאה הממוצעת של בעלי משכנתאות גדלה ב-27%, ובקרב מי שאין להם משכנתא ב-30%. </w:t>
      </w:r>
      <w:r w:rsidRPr="00DC79FA">
        <w:rPr>
          <w:rFonts w:asciiTheme="minorHAnsi" w:hAnsiTheme="minorHAnsi" w:cstheme="minorHAnsi"/>
          <w:b/>
          <w:bCs/>
          <w:rtl/>
        </w:rPr>
        <w:t>זהו פער זניח על פני התקופה, המעיד כי רמת ההוצאה של בעלי משכנתאות לא נפגעה באופן מהותי ביחס לשאר הציבור.</w:t>
      </w:r>
    </w:p>
    <w:p w:rsidR="00DC79FA" w:rsidRPr="00DC79FA" w:rsidRDefault="00DC79FA" w:rsidP="00DC79FA">
      <w:pPr>
        <w:bidi/>
        <w:spacing w:line="360" w:lineRule="auto"/>
        <w:rPr>
          <w:rFonts w:asciiTheme="minorHAnsi" w:hAnsiTheme="minorHAnsi" w:cstheme="minorHAnsi"/>
          <w:rtl/>
        </w:rPr>
      </w:pPr>
      <w:r w:rsidRPr="00DC79FA">
        <w:rPr>
          <w:rFonts w:asciiTheme="minorHAnsi" w:hAnsiTheme="minorHAnsi" w:cstheme="minorHAnsi"/>
          <w:b/>
          <w:bCs/>
          <w:rtl/>
        </w:rPr>
        <w:t xml:space="preserve">נתונים אלו מצביעים על כך שביחס להכנסה, הנטל הכולל על </w:t>
      </w:r>
      <w:proofErr w:type="spellStart"/>
      <w:r w:rsidRPr="00DC79FA">
        <w:rPr>
          <w:rFonts w:asciiTheme="minorHAnsi" w:hAnsiTheme="minorHAnsi" w:cstheme="minorHAnsi"/>
          <w:b/>
          <w:bCs/>
          <w:rtl/>
        </w:rPr>
        <w:t>לוקחי</w:t>
      </w:r>
      <w:proofErr w:type="spellEnd"/>
      <w:r w:rsidRPr="00DC79FA">
        <w:rPr>
          <w:rFonts w:asciiTheme="minorHAnsi" w:hAnsiTheme="minorHAnsi" w:cstheme="minorHAnsi"/>
          <w:b/>
          <w:bCs/>
          <w:rtl/>
        </w:rPr>
        <w:t xml:space="preserve"> המשכנתאות נותר יציב ואף ירד בקרב חלקם.</w:t>
      </w:r>
    </w:p>
    <w:p w:rsidR="00DC79FA" w:rsidRPr="00DC79FA" w:rsidRDefault="00DC79FA" w:rsidP="00DC79FA">
      <w:pPr>
        <w:bidi/>
        <w:spacing w:line="360" w:lineRule="auto"/>
        <w:rPr>
          <w:rFonts w:asciiTheme="minorHAnsi" w:hAnsiTheme="minorHAnsi" w:cstheme="minorHAnsi"/>
          <w:rtl/>
        </w:rPr>
      </w:pPr>
      <w:r w:rsidRPr="00DC79FA">
        <w:rPr>
          <w:rFonts w:asciiTheme="minorHAnsi" w:hAnsiTheme="minorHAnsi" w:cstheme="minorHAnsi"/>
          <w:rtl/>
        </w:rPr>
        <w:lastRenderedPageBreak/>
        <w:t>עובדה זו משתקפת באופן מובהק בשיעור הנמוך יחסית של הפסדי האשראי בסגמנט זה העומד על 0.7% - נתון נמוך מאד במונחים היסטוריים.</w:t>
      </w:r>
    </w:p>
    <w:p w:rsidR="00DC79FA" w:rsidRPr="00DC79FA" w:rsidRDefault="00DC79FA" w:rsidP="00DC79FA">
      <w:pPr>
        <w:bidi/>
        <w:spacing w:line="360" w:lineRule="auto"/>
        <w:jc w:val="center"/>
        <w:rPr>
          <w:rFonts w:asciiTheme="minorHAnsi" w:hAnsiTheme="minorHAnsi" w:cstheme="minorHAnsi"/>
          <w:rtl/>
        </w:rPr>
      </w:pPr>
      <w:r w:rsidRPr="00DC79FA">
        <w:rPr>
          <w:rFonts w:asciiTheme="minorHAnsi" w:hAnsiTheme="minorHAnsi" w:cstheme="minorHAnsi"/>
          <w:noProof/>
        </w:rPr>
        <w:drawing>
          <wp:inline distT="0" distB="0" distL="0" distR="0" wp14:anchorId="054FAB3F" wp14:editId="5C693F77">
            <wp:extent cx="5274310" cy="2957830"/>
            <wp:effectExtent l="0" t="0" r="2540" b="13970"/>
            <wp:docPr id="2" name="תרשים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C79FA" w:rsidRPr="00DC79FA" w:rsidRDefault="00DC79FA" w:rsidP="00DC79FA">
      <w:pPr>
        <w:bidi/>
        <w:spacing w:line="360" w:lineRule="auto"/>
        <w:rPr>
          <w:rFonts w:asciiTheme="minorHAnsi" w:hAnsiTheme="minorHAnsi" w:cstheme="minorHAnsi"/>
          <w:rtl/>
        </w:rPr>
      </w:pPr>
    </w:p>
    <w:p w:rsidR="00DC79FA" w:rsidRPr="00DC79FA" w:rsidRDefault="00DC79FA" w:rsidP="00DC79FA">
      <w:pPr>
        <w:bidi/>
        <w:spacing w:line="360" w:lineRule="auto"/>
        <w:rPr>
          <w:rFonts w:asciiTheme="minorHAnsi" w:hAnsiTheme="minorHAnsi" w:cstheme="minorHAnsi"/>
          <w:rtl/>
        </w:rPr>
      </w:pPr>
      <w:r w:rsidRPr="00DC79FA">
        <w:rPr>
          <w:rFonts w:asciiTheme="minorHAnsi" w:hAnsiTheme="minorHAnsi" w:cstheme="minorHAnsi"/>
          <w:rtl/>
        </w:rPr>
        <w:t>ההקלה בנטל על לווי משכנתאות נתמכת גם בצעדים אקטיביים רבים ומגוונים בהם נקט בנק ישראל בשנים האחרונות. כך, כבר ביוני 2023 גיבש בנק ישראל עקרונות סיוע אותם אימצו הבנקים, לרבות בתחום הקלת נטל החוב על לווי משכנתאות. מפרוץ המלחמה ב- 7 לאוקטובר 2023 ולאורכה, גיבש בנק ישראל מתווים, אותם אימצה מערכת הבנקאות, ואשר כללו, בין היתר, דחיית תשלומי משכנתאות  ללא ריבית וללא עמלות עבור מגוון לקוחות שהושפעו באופן ישיר מהמלחמה וכן למילואימניקים. עם סיום מתווים אלה המשיך בנק ישראל וגיבש מתווה נוסף באפריל 2025, אותו אימצה מערכת הבנקאות, לפיו תעניק מערכת הבנקאות במשך שנתיים כ- 3 מיליארד ש"ח ללקוחותיה, בין היתר ע"י מתן הקלות כספיות במוצרי משכנתאות.</w:t>
      </w:r>
    </w:p>
    <w:p w:rsidR="00DC79FA" w:rsidRPr="00DC79FA" w:rsidRDefault="00DC79FA" w:rsidP="00DC79FA">
      <w:pPr>
        <w:bidi/>
        <w:spacing w:line="360" w:lineRule="auto"/>
        <w:rPr>
          <w:rFonts w:asciiTheme="minorHAnsi" w:hAnsiTheme="minorHAnsi" w:cstheme="minorHAnsi"/>
          <w:rtl/>
        </w:rPr>
      </w:pPr>
      <w:r w:rsidRPr="00DC79FA">
        <w:rPr>
          <w:rFonts w:asciiTheme="minorHAnsi" w:hAnsiTheme="minorHAnsi" w:cstheme="minorHAnsi"/>
          <w:rtl/>
        </w:rPr>
        <w:t>המשמעות מכל האמור לעיל שברמת המשק אין כל תימוכין מקצועיים לנחיצות הכלכלית לנקיטת צעד כלשהוא הכולל סבסוד של לווי משכנתאות.</w:t>
      </w:r>
    </w:p>
    <w:p w:rsidR="00DC79FA" w:rsidRPr="00DC79FA" w:rsidRDefault="00DC79FA" w:rsidP="00DC79FA">
      <w:pPr>
        <w:bidi/>
        <w:spacing w:line="360" w:lineRule="auto"/>
        <w:rPr>
          <w:rFonts w:asciiTheme="minorHAnsi" w:hAnsiTheme="minorHAnsi" w:cstheme="minorHAnsi"/>
          <w:rtl/>
        </w:rPr>
      </w:pPr>
      <w:r w:rsidRPr="00DC79FA">
        <w:rPr>
          <w:rFonts w:asciiTheme="minorHAnsi" w:hAnsiTheme="minorHAnsi" w:cstheme="minorHAnsi"/>
          <w:b/>
          <w:bCs/>
          <w:rtl/>
        </w:rPr>
        <w:t>יתירה מזאת, ההצעה מייצרת אפליה ברורה בתוך אוכלוסיית לווי המשכנתאות ובין לווי המשכנתאות ללווים אחרים.</w:t>
      </w:r>
      <w:r w:rsidRPr="00DC79FA">
        <w:rPr>
          <w:rFonts w:asciiTheme="minorHAnsi" w:hAnsiTheme="minorHAnsi" w:cstheme="minorHAnsi"/>
          <w:rtl/>
        </w:rPr>
        <w:t xml:space="preserve"> כך, חלק ניכר מלווי המשכנתאות מחזרו את ההלוואה ופרסו אותה על פני תקופה ארוכה יותר. במשכנתאות אלו, הלווים לא יהיו זכאים לסיוע כלשהוא מאחר ובחרו להיות אקטיביים, למחזר את ההלוואה ולהוריד את נטל התשלום החודשי. זאת, חרף העובדה שסך תשלומי הריבית לכל אורך חיי המשכנתא, עלו. </w:t>
      </w:r>
    </w:p>
    <w:p w:rsidR="00DC79FA" w:rsidRPr="00DC79FA" w:rsidRDefault="00DC79FA" w:rsidP="00DC79FA">
      <w:pPr>
        <w:bidi/>
        <w:spacing w:line="360" w:lineRule="auto"/>
        <w:rPr>
          <w:rFonts w:asciiTheme="minorHAnsi" w:hAnsiTheme="minorHAnsi" w:cstheme="minorHAnsi"/>
          <w:rtl/>
        </w:rPr>
      </w:pPr>
      <w:r w:rsidRPr="00DC79FA">
        <w:rPr>
          <w:rFonts w:asciiTheme="minorHAnsi" w:hAnsiTheme="minorHAnsi" w:cstheme="minorHAnsi"/>
          <w:rtl/>
        </w:rPr>
        <w:t xml:space="preserve">בנוסף ההצעה מייצרת גם אפליה ברורה בין אוכלוסיית לווי המשכנתאות לאוכלוסיית שנטלה הלוואות מסוגים אחרים ובהם אשראי צרכני. בהקשר זה ראוי לציין כי ככל שקיימים סימנים ללחץ פיננסי כלשהוא הרי שהם מצויים </w:t>
      </w:r>
      <w:r w:rsidRPr="00DC79FA">
        <w:rPr>
          <w:rFonts w:asciiTheme="minorHAnsi" w:hAnsiTheme="minorHAnsi" w:cstheme="minorHAnsi"/>
          <w:rtl/>
        </w:rPr>
        <w:lastRenderedPageBreak/>
        <w:t>דווקא באוכלוסיית לווי האשראי הצרכני שם ניכרת עלייה מסוימת בשיעור הפסדי האשראי – אך עדיין ברמה נמוכה, הן במונחים היסטוריים והן בהשוואה בין לאומית. ההצעה גם מייצרת אפליה בין לווי המשכנתאות שנהנו לאורך השנים האחרונות מעליית ערך הדירות שבבעלותם לעומת שוכרי הדירות.</w:t>
      </w:r>
    </w:p>
    <w:p w:rsidR="00DC79FA" w:rsidRPr="00DC79FA" w:rsidRDefault="00DC79FA" w:rsidP="00DC79FA">
      <w:pPr>
        <w:bidi/>
        <w:spacing w:line="360" w:lineRule="auto"/>
        <w:rPr>
          <w:rFonts w:asciiTheme="minorHAnsi" w:hAnsiTheme="minorHAnsi" w:cstheme="minorHAnsi"/>
          <w:rtl/>
        </w:rPr>
      </w:pPr>
      <w:r w:rsidRPr="00DC79FA">
        <w:rPr>
          <w:rFonts w:asciiTheme="minorHAnsi" w:hAnsiTheme="minorHAnsi" w:cstheme="minorHAnsi"/>
          <w:b/>
          <w:bCs/>
          <w:rtl/>
        </w:rPr>
        <w:t xml:space="preserve">לסיום, הטלת מיסוי על הבנקים על מנת לממן את הסבסוד רטרואקטיבית ללווי המשכנתאות בעייתית ביותר וצובעת את המשק הישראלי בצבעים שלא הולמים מדינות מפותחות. </w:t>
      </w:r>
      <w:r w:rsidRPr="00DC79FA">
        <w:rPr>
          <w:rFonts w:asciiTheme="minorHAnsi" w:hAnsiTheme="minorHAnsi" w:cstheme="minorHAnsi"/>
          <w:rtl/>
        </w:rPr>
        <w:t xml:space="preserve">כך, חקיקה המטילה חובה על חברה מסחרית לסבסד הנחות למוצרים שהיא משווקת בעייתית מאוד. בוודאי כאשר החובה המוטלת היא לסבסד את המוצרים שאותה חברה שיווקה כבר בעבר. העובדה שהסבסוד לא מועבר באופן ישיר מהבנקים לצרכנים אלא עובר באופן מלאכותי דרך המדינה באמצעות מנגנון מיסוי לא מורידה מחומרת המהלך. בפועל, גובה המס נגזר באופן ישיר מהיקפי המשכנתאות ומההתייקרות בהחזר שלהן וברור שהמנגנון נועד כדי להכריח את הבנקים המסחריים לסבסד בדיעבד מוצרי משכנתאות שהם מכרו ללקוחות. </w:t>
      </w:r>
    </w:p>
    <w:p w:rsidR="00DC79FA" w:rsidRPr="00DC79FA" w:rsidRDefault="00DC79FA" w:rsidP="00DC79FA">
      <w:pPr>
        <w:bidi/>
        <w:spacing w:line="360" w:lineRule="auto"/>
        <w:rPr>
          <w:rFonts w:asciiTheme="minorHAnsi" w:hAnsiTheme="minorHAnsi" w:cstheme="minorHAnsi"/>
          <w:rtl/>
        </w:rPr>
      </w:pPr>
      <w:r w:rsidRPr="00DC79FA">
        <w:rPr>
          <w:rFonts w:asciiTheme="minorHAnsi" w:hAnsiTheme="minorHAnsi" w:cstheme="minorHAnsi"/>
          <w:rtl/>
        </w:rPr>
        <w:t>המנגנון בהצעה שמטיל בשלב ראשון מיסוי על הבנקים בגובה שליש מרווחי היתר שלהם ולאחר מכן משתמש בהכנסות המסים על מנת לסבסד את לווי המשכנתאות לא מוריד מהבעייתיות.  בהנחה שההתפלגות של הלווים הזכאים לסבסוד על פני הבנקים השונים שונה מההתפלגות של רווחי היתר בין הבנקים – למעשה מדובר על שימוש שעושה הממשלה ברווחי היתר של בנק אחד כדי לסבסד את לווי המשכנתאות של בנק אחר. מהלך כזה רחוק מלהלום שוק חופשי ומפותח.</w:t>
      </w:r>
    </w:p>
    <w:p w:rsidR="00DC79FA" w:rsidRPr="00DC79FA" w:rsidRDefault="00DC79FA" w:rsidP="00DC79FA">
      <w:pPr>
        <w:bidi/>
        <w:spacing w:line="360" w:lineRule="auto"/>
        <w:rPr>
          <w:rFonts w:asciiTheme="minorHAnsi" w:hAnsiTheme="minorHAnsi" w:cstheme="minorHAnsi"/>
          <w:b/>
          <w:bCs/>
          <w:rtl/>
        </w:rPr>
      </w:pPr>
      <w:r w:rsidRPr="00DC79FA">
        <w:rPr>
          <w:rFonts w:asciiTheme="minorHAnsi" w:hAnsiTheme="minorHAnsi" w:cstheme="minorHAnsi"/>
          <w:b/>
          <w:bCs/>
          <w:rtl/>
        </w:rPr>
        <w:t>לסיכום, מדובר בצעד שהתועלת ממנו מוטלת בספק, ופוטנציאל הנזק ממנו גבוה. הוא אינו נתמך בעבודת מטה סדורה, ובחישובים כלכליים מבוססי נתונים, והוא אינו עולה בקנה אחד עם הנורמות והסטנדרטים הנהוגים במדינות מפותחות.</w:t>
      </w:r>
    </w:p>
    <w:p w:rsidR="00DC79FA" w:rsidRDefault="00DC79FA" w:rsidP="00DC79FA">
      <w:pPr>
        <w:spacing w:line="360" w:lineRule="auto"/>
        <w:jc w:val="both"/>
        <w:rPr>
          <w:rtl/>
        </w:rPr>
      </w:pPr>
    </w:p>
    <w:p w:rsidR="00DC79FA" w:rsidRPr="00A9580E" w:rsidRDefault="00DC79FA" w:rsidP="00DC79FA">
      <w:pPr>
        <w:spacing w:line="360" w:lineRule="auto"/>
        <w:jc w:val="both"/>
      </w:pPr>
    </w:p>
    <w:p w:rsidR="00DC79FA" w:rsidRPr="00DC79FA" w:rsidRDefault="00DC79FA" w:rsidP="00DC79FA">
      <w:pPr>
        <w:bidi/>
        <w:spacing w:line="360" w:lineRule="auto"/>
        <w:rPr>
          <w:rFonts w:asciiTheme="minorHAnsi" w:hAnsiTheme="minorHAnsi" w:cstheme="minorHAnsi"/>
          <w:rtl/>
        </w:rPr>
      </w:pPr>
    </w:p>
    <w:p w:rsidR="003E7478" w:rsidRPr="007C40B7" w:rsidRDefault="003E7478" w:rsidP="005E28F6">
      <w:pPr>
        <w:bidi/>
        <w:spacing w:line="360" w:lineRule="auto"/>
        <w:jc w:val="both"/>
        <w:rPr>
          <w:rFonts w:asciiTheme="minorHAnsi" w:hAnsiTheme="minorHAnsi" w:cstheme="minorHAnsi"/>
        </w:rPr>
      </w:pPr>
    </w:p>
    <w:sectPr w:rsidR="003E7478" w:rsidRPr="007C40B7" w:rsidSect="00CC2499">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BB6" w:rsidRDefault="00431BB6" w:rsidP="00E04682">
      <w:pPr>
        <w:spacing w:after="0" w:line="240" w:lineRule="auto"/>
      </w:pPr>
      <w:r>
        <w:separator/>
      </w:r>
    </w:p>
  </w:endnote>
  <w:endnote w:type="continuationSeparator" w:id="0">
    <w:p w:rsidR="00431BB6" w:rsidRDefault="00431BB6" w:rsidP="00E04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w:altName w:val="Courier New"/>
    <w:panose1 w:val="00000500000000000000"/>
    <w:charset w:val="00"/>
    <w:family w:val="auto"/>
    <w:pitch w:val="variable"/>
    <w:sig w:usb0="00000807" w:usb1="40000000" w:usb2="00000000" w:usb3="00000000" w:csb0="0000002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682" w:rsidRDefault="00F25BB5" w:rsidP="00F20046">
    <w:pPr>
      <w:pStyle w:val="Footer"/>
      <w:rPr>
        <w:rtl/>
      </w:rPr>
    </w:pPr>
    <w:r>
      <w:rPr>
        <w:noProof/>
      </w:rPr>
      <mc:AlternateContent>
        <mc:Choice Requires="wps">
          <w:drawing>
            <wp:anchor distT="0" distB="0" distL="114300" distR="114300" simplePos="0" relativeHeight="251665408" behindDoc="0" locked="0" layoutInCell="1" allowOverlap="1" wp14:anchorId="6F2FA1B7" wp14:editId="115BEBC9">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1"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2FA1B7" id="_x0000_t202" coordsize="21600,21600" o:spt="202" path="m,l,21600r21600,l21600,xe">
              <v:stroke joinstyle="miter"/>
              <v:path gradientshapeok="t" o:connecttype="rect"/>
            </v:shapetype>
            <v:shape id="תיבת טקסט 13" o:spid="_x0000_s1026" type="#_x0000_t202" style="position:absolute;margin-left:125.25pt;margin-top:8.8pt;width:158.25pt;height:2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" filled="f" stroked="f" strokeweight=".5pt">
              <v:textbo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2"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v:textbox>
              <w10:wrap anchorx="margin"/>
            </v:shape>
          </w:pict>
        </mc:Fallback>
      </mc:AlternateContent>
    </w:r>
    <w:r w:rsidR="00C10172" w:rsidRPr="00571971">
      <w:rPr>
        <w:rFonts w:cs="Calibri"/>
        <w:noProof/>
        <w:rtl/>
      </w:rPr>
      <w:drawing>
        <wp:anchor distT="0" distB="0" distL="114300" distR="114300" simplePos="0" relativeHeight="251667456" behindDoc="0" locked="0" layoutInCell="1" allowOverlap="1">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sidR="00F20046">
      <w:rPr>
        <w:noProof/>
      </w:rPr>
      <w:drawing>
        <wp:anchor distT="0" distB="0" distL="114300" distR="114300" simplePos="0" relativeHeight="251662336" behindDoc="0" locked="0" layoutInCell="1" allowOverlap="1">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8480" behindDoc="0" locked="0" layoutInCell="1" allowOverlap="1">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7"/>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r:embed="rId7">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9504" behindDoc="0" locked="0" layoutInCell="1" allowOverlap="1">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8"/>
                  <pic:cNvPicPr>
                    <a:picLocks noChangeAspect="1"/>
                  </pic:cNvPicPr>
                </pic:nvPicPr>
                <pic:blipFill>
                  <a:blip r:embed="rId8" cstate="print">
                    <a:duotone>
                      <a:schemeClr val="accent5">
                        <a:shade val="45000"/>
                        <a:satMod val="135000"/>
                      </a:schemeClr>
                      <a:prstClr val="white"/>
                    </a:duotone>
                    <a:extLst>
                      <a:ext uri="{BEBA8EAE-BF5A-486C-A8C5-ECC9F3942E4B}">
                        <a14:imgProps xmlns:a14="http://schemas.microsoft.com/office/drawing/2010/main">
                          <a14:imgLayer r:embed="rId9">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sidR="00F20046">
      <w:rPr>
        <w:noProof/>
      </w:rPr>
      <mc:AlternateContent>
        <mc:Choice Requires="wps">
          <w:drawing>
            <wp:anchor distT="0" distB="0" distL="114300" distR="114300" simplePos="0" relativeHeight="251671552" behindDoc="0" locked="0" layoutInCell="1" allowOverlap="1" wp14:anchorId="2A58D63D" wp14:editId="2D1F9C15">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0"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8D63D" id="תיבת טקסט 22" o:spid="_x0000_s1027" type="#_x0000_t202" style="position:absolute;margin-left:-23.05pt;margin-top:6pt;width:167.75pt;height:48.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" filled="f" stroked="f" strokeweight=".5pt">
              <v:textbo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1"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v:textbox>
              <w10:wrap anchorx="margin"/>
            </v:shape>
          </w:pict>
        </mc:Fallback>
      </mc:AlternateContent>
    </w:r>
    <w:r w:rsidR="00F20046">
      <w:rPr>
        <w:noProof/>
      </w:rPr>
      <mc:AlternateContent>
        <mc:Choice Requires="wps">
          <w:drawing>
            <wp:anchor distT="0" distB="0" distL="114300" distR="114300" simplePos="0" relativeHeight="251661312" behindDoc="0" locked="0" layoutInCell="1" allowOverlap="1" wp14:anchorId="71AF4990" wp14:editId="6CA604D5">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2" w:history="1">
                            <w:r w:rsidR="00571971" w:rsidRPr="00031A9D">
                              <w:rPr>
                                <w:rStyle w:val="Hyperlink"/>
                                <w:rFonts w:asciiTheme="minorHAnsi" w:hAnsiTheme="minorHAnsi"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AF4990" id="תיבת טקסט 9" o:spid="_x0000_s1028" type="#_x0000_t202" style="position:absolute;margin-left:256.5pt;margin-top:7.05pt;width:171.8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" filled="f" stroked="f" strokeweight=".5pt">
              <v:textbo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3" w:history="1">
                      <w:r w:rsidR="00571971" w:rsidRPr="00031A9D">
                        <w:rPr>
                          <w:rStyle w:val="Hyperlink"/>
                          <w:rFonts w:asciiTheme="minorHAnsi" w:hAnsiTheme="minorHAnsi" w:cstheme="minorHAnsi"/>
                          <w:sz w:val="14"/>
                          <w:szCs w:val="14"/>
                        </w:rPr>
                        <w:t>https://www.facebook.com/bankisraelvc</w:t>
                      </w:r>
                    </w:hyperlink>
                  </w:p>
                </w:txbxContent>
              </v:textbox>
            </v:shape>
          </w:pict>
        </mc:Fallback>
      </mc:AlternateContent>
    </w:r>
    <w:r w:rsidR="00F20046">
      <w:rPr>
        <w:noProof/>
      </w:rPr>
      <mc:AlternateContent>
        <mc:Choice Requires="wps">
          <w:drawing>
            <wp:anchor distT="0" distB="0" distL="114300" distR="114300" simplePos="0" relativeHeight="251659264" behindDoc="0" locked="0" layoutInCell="1" allowOverlap="1">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id="תיבת טקסט 7" o:spid="_x0000_s1029" type="#_x0000_t202" style="position:absolute;margin-left:394.85pt;margin-top:7pt;width:120.9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" filled="f" stroked="f" strokeweight=".5pt">
              <v:textbo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sidR="00B677DC">
      <w:rPr>
        <w:noProof/>
      </w:rPr>
      <mc:AlternateContent>
        <mc:Choice Requires="wps">
          <w:drawing>
            <wp:anchor distT="0" distB="0" distL="114300" distR="114300" simplePos="0" relativeHeight="251666432" behindDoc="0" locked="0" layoutInCell="1" allowOverlap="1">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AD1803" id="מחבר ישר 15" o:spid="_x0000_s1026" style="position:absolute;left:0;text-align:left;flip:x;z-index:251666432;visibility:visible;mso-wrap-style:square;mso-wrap-distance-left:9pt;mso-wrap-distance-top:0;mso-wrap-distance-right:9pt;mso-wrap-distance-bottom:0;mso-position-horizontal:absolute;mso-position-horizontal-relative:text;mso-position-vertical:absolute;mso-position-vertical-relative:text"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" strokecolor="black [3040]"/>
          </w:pict>
        </mc:Fallback>
      </mc:AlternateContent>
    </w:r>
    <w:r w:rsidR="00972198" w:rsidRPr="00571971">
      <w:rPr>
        <w:rFonts w:cs="Calibri"/>
        <w:noProof/>
        <w:rt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BB6" w:rsidRDefault="00431BB6" w:rsidP="00E04682">
      <w:pPr>
        <w:spacing w:after="0" w:line="240" w:lineRule="auto"/>
      </w:pPr>
      <w:r>
        <w:separator/>
      </w:r>
    </w:p>
  </w:footnote>
  <w:footnote w:type="continuationSeparator" w:id="0">
    <w:p w:rsidR="00431BB6" w:rsidRDefault="00431BB6" w:rsidP="00E04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C6049"/>
    <w:multiLevelType w:val="hybridMultilevel"/>
    <w:tmpl w:val="3A4AADEA"/>
    <w:lvl w:ilvl="0" w:tplc="BCEC41EA">
      <w:numFmt w:val="bullet"/>
      <w:lvlText w:val=""/>
      <w:lvlJc w:val="left"/>
      <w:pPr>
        <w:ind w:left="720" w:hanging="360"/>
      </w:pPr>
      <w:rPr>
        <w:rFonts w:ascii="Symbol" w:eastAsia="David"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1D014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654D7F"/>
    <w:multiLevelType w:val="hybridMultilevel"/>
    <w:tmpl w:val="7ECE0DC4"/>
    <w:lvl w:ilvl="0" w:tplc="311A03AC">
      <w:start w:val="1"/>
      <w:numFmt w:val="bullet"/>
      <w:lvlText w:val=""/>
      <w:lvlJc w:val="left"/>
      <w:pPr>
        <w:ind w:left="1513" w:hanging="360"/>
      </w:pPr>
      <w:rPr>
        <w:rFonts w:ascii="Symbol" w:hAnsi="Symbol" w:hint="default"/>
      </w:rPr>
    </w:lvl>
    <w:lvl w:ilvl="1" w:tplc="2CB8D966" w:tentative="1">
      <w:start w:val="1"/>
      <w:numFmt w:val="bullet"/>
      <w:lvlText w:val="o"/>
      <w:lvlJc w:val="left"/>
      <w:pPr>
        <w:ind w:left="2233" w:hanging="360"/>
      </w:pPr>
      <w:rPr>
        <w:rFonts w:ascii="Courier New" w:hAnsi="Courier New" w:cs="Courier New" w:hint="default"/>
      </w:rPr>
    </w:lvl>
    <w:lvl w:ilvl="2" w:tplc="D0E099F0" w:tentative="1">
      <w:start w:val="1"/>
      <w:numFmt w:val="bullet"/>
      <w:lvlText w:val=""/>
      <w:lvlJc w:val="left"/>
      <w:pPr>
        <w:ind w:left="2953" w:hanging="360"/>
      </w:pPr>
      <w:rPr>
        <w:rFonts w:ascii="Wingdings" w:hAnsi="Wingdings" w:hint="default"/>
      </w:rPr>
    </w:lvl>
    <w:lvl w:ilvl="3" w:tplc="F84073CA" w:tentative="1">
      <w:start w:val="1"/>
      <w:numFmt w:val="bullet"/>
      <w:lvlText w:val=""/>
      <w:lvlJc w:val="left"/>
      <w:pPr>
        <w:ind w:left="3673" w:hanging="360"/>
      </w:pPr>
      <w:rPr>
        <w:rFonts w:ascii="Symbol" w:hAnsi="Symbol" w:hint="default"/>
      </w:rPr>
    </w:lvl>
    <w:lvl w:ilvl="4" w:tplc="95A41C3A" w:tentative="1">
      <w:start w:val="1"/>
      <w:numFmt w:val="bullet"/>
      <w:lvlText w:val="o"/>
      <w:lvlJc w:val="left"/>
      <w:pPr>
        <w:ind w:left="4393" w:hanging="360"/>
      </w:pPr>
      <w:rPr>
        <w:rFonts w:ascii="Courier New" w:hAnsi="Courier New" w:cs="Courier New" w:hint="default"/>
      </w:rPr>
    </w:lvl>
    <w:lvl w:ilvl="5" w:tplc="4D0635D2" w:tentative="1">
      <w:start w:val="1"/>
      <w:numFmt w:val="bullet"/>
      <w:lvlText w:val=""/>
      <w:lvlJc w:val="left"/>
      <w:pPr>
        <w:ind w:left="5113" w:hanging="360"/>
      </w:pPr>
      <w:rPr>
        <w:rFonts w:ascii="Wingdings" w:hAnsi="Wingdings" w:hint="default"/>
      </w:rPr>
    </w:lvl>
    <w:lvl w:ilvl="6" w:tplc="0CF8D35A" w:tentative="1">
      <w:start w:val="1"/>
      <w:numFmt w:val="bullet"/>
      <w:lvlText w:val=""/>
      <w:lvlJc w:val="left"/>
      <w:pPr>
        <w:ind w:left="5833" w:hanging="360"/>
      </w:pPr>
      <w:rPr>
        <w:rFonts w:ascii="Symbol" w:hAnsi="Symbol" w:hint="default"/>
      </w:rPr>
    </w:lvl>
    <w:lvl w:ilvl="7" w:tplc="DE04F528" w:tentative="1">
      <w:start w:val="1"/>
      <w:numFmt w:val="bullet"/>
      <w:lvlText w:val="o"/>
      <w:lvlJc w:val="left"/>
      <w:pPr>
        <w:ind w:left="6553" w:hanging="360"/>
      </w:pPr>
      <w:rPr>
        <w:rFonts w:ascii="Courier New" w:hAnsi="Courier New" w:cs="Courier New" w:hint="default"/>
      </w:rPr>
    </w:lvl>
    <w:lvl w:ilvl="8" w:tplc="822AFB6E" w:tentative="1">
      <w:start w:val="1"/>
      <w:numFmt w:val="bullet"/>
      <w:lvlText w:val=""/>
      <w:lvlJc w:val="left"/>
      <w:pPr>
        <w:ind w:left="7273" w:hanging="360"/>
      </w:pPr>
      <w:rPr>
        <w:rFonts w:ascii="Wingdings" w:hAnsi="Wingdings" w:hint="default"/>
      </w:rPr>
    </w:lvl>
  </w:abstractNum>
  <w:abstractNum w:abstractNumId="3" w15:restartNumberingAfterBreak="0">
    <w:nsid w:val="36535A80"/>
    <w:multiLevelType w:val="hybridMultilevel"/>
    <w:tmpl w:val="40B24A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90E1EC5"/>
    <w:multiLevelType w:val="hybridMultilevel"/>
    <w:tmpl w:val="2398E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210C5A"/>
    <w:multiLevelType w:val="hybridMultilevel"/>
    <w:tmpl w:val="1F0214CA"/>
    <w:lvl w:ilvl="0" w:tplc="D41CDC90">
      <w:numFmt w:val="bullet"/>
      <w:lvlText w:val=""/>
      <w:lvlJc w:val="left"/>
      <w:pPr>
        <w:ind w:left="668" w:hanging="360"/>
      </w:pPr>
      <w:rPr>
        <w:rFonts w:ascii="Symbol" w:eastAsiaTheme="minorHAnsi" w:hAnsi="Symbol" w:cs="Assistant" w:hint="default"/>
      </w:rPr>
    </w:lvl>
    <w:lvl w:ilvl="1" w:tplc="04090003">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6" w15:restartNumberingAfterBreak="0">
    <w:nsid w:val="577F64B2"/>
    <w:multiLevelType w:val="hybridMultilevel"/>
    <w:tmpl w:val="A3EC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0941A4"/>
    <w:multiLevelType w:val="hybridMultilevel"/>
    <w:tmpl w:val="D5825F84"/>
    <w:lvl w:ilvl="0" w:tplc="2C8673AE">
      <w:start w:val="1"/>
      <w:numFmt w:val="bullet"/>
      <w:lvlText w:val=""/>
      <w:lvlJc w:val="left"/>
      <w:pPr>
        <w:ind w:left="720" w:hanging="360"/>
      </w:pPr>
      <w:rPr>
        <w:rFonts w:ascii="Symbol" w:hAnsi="Symbol" w:hint="default"/>
      </w:rPr>
    </w:lvl>
    <w:lvl w:ilvl="1" w:tplc="416E8F56" w:tentative="1">
      <w:start w:val="1"/>
      <w:numFmt w:val="bullet"/>
      <w:lvlText w:val="o"/>
      <w:lvlJc w:val="left"/>
      <w:pPr>
        <w:ind w:left="1440" w:hanging="360"/>
      </w:pPr>
      <w:rPr>
        <w:rFonts w:ascii="Courier New" w:hAnsi="Courier New" w:cs="Courier New" w:hint="default"/>
      </w:rPr>
    </w:lvl>
    <w:lvl w:ilvl="2" w:tplc="392CE05C" w:tentative="1">
      <w:start w:val="1"/>
      <w:numFmt w:val="bullet"/>
      <w:lvlText w:val=""/>
      <w:lvlJc w:val="left"/>
      <w:pPr>
        <w:ind w:left="2160" w:hanging="360"/>
      </w:pPr>
      <w:rPr>
        <w:rFonts w:ascii="Wingdings" w:hAnsi="Wingdings" w:hint="default"/>
      </w:rPr>
    </w:lvl>
    <w:lvl w:ilvl="3" w:tplc="BFAEF2A0" w:tentative="1">
      <w:start w:val="1"/>
      <w:numFmt w:val="bullet"/>
      <w:lvlText w:val=""/>
      <w:lvlJc w:val="left"/>
      <w:pPr>
        <w:ind w:left="2880" w:hanging="360"/>
      </w:pPr>
      <w:rPr>
        <w:rFonts w:ascii="Symbol" w:hAnsi="Symbol" w:hint="default"/>
      </w:rPr>
    </w:lvl>
    <w:lvl w:ilvl="4" w:tplc="9F04FF50" w:tentative="1">
      <w:start w:val="1"/>
      <w:numFmt w:val="bullet"/>
      <w:lvlText w:val="o"/>
      <w:lvlJc w:val="left"/>
      <w:pPr>
        <w:ind w:left="3600" w:hanging="360"/>
      </w:pPr>
      <w:rPr>
        <w:rFonts w:ascii="Courier New" w:hAnsi="Courier New" w:cs="Courier New" w:hint="default"/>
      </w:rPr>
    </w:lvl>
    <w:lvl w:ilvl="5" w:tplc="602A822A" w:tentative="1">
      <w:start w:val="1"/>
      <w:numFmt w:val="bullet"/>
      <w:lvlText w:val=""/>
      <w:lvlJc w:val="left"/>
      <w:pPr>
        <w:ind w:left="4320" w:hanging="360"/>
      </w:pPr>
      <w:rPr>
        <w:rFonts w:ascii="Wingdings" w:hAnsi="Wingdings" w:hint="default"/>
      </w:rPr>
    </w:lvl>
    <w:lvl w:ilvl="6" w:tplc="098C949E" w:tentative="1">
      <w:start w:val="1"/>
      <w:numFmt w:val="bullet"/>
      <w:lvlText w:val=""/>
      <w:lvlJc w:val="left"/>
      <w:pPr>
        <w:ind w:left="5040" w:hanging="360"/>
      </w:pPr>
      <w:rPr>
        <w:rFonts w:ascii="Symbol" w:hAnsi="Symbol" w:hint="default"/>
      </w:rPr>
    </w:lvl>
    <w:lvl w:ilvl="7" w:tplc="E3E09A74" w:tentative="1">
      <w:start w:val="1"/>
      <w:numFmt w:val="bullet"/>
      <w:lvlText w:val="o"/>
      <w:lvlJc w:val="left"/>
      <w:pPr>
        <w:ind w:left="5760" w:hanging="360"/>
      </w:pPr>
      <w:rPr>
        <w:rFonts w:ascii="Courier New" w:hAnsi="Courier New" w:cs="Courier New" w:hint="default"/>
      </w:rPr>
    </w:lvl>
    <w:lvl w:ilvl="8" w:tplc="F7B45E2A"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0"/>
  </w:num>
  <w:num w:numId="5">
    <w:abstractNumId w:val="1"/>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0A"/>
    <w:rsid w:val="0000680E"/>
    <w:rsid w:val="00012503"/>
    <w:rsid w:val="00031A9D"/>
    <w:rsid w:val="00040A7F"/>
    <w:rsid w:val="00045C65"/>
    <w:rsid w:val="00055CC5"/>
    <w:rsid w:val="00065B9B"/>
    <w:rsid w:val="000727FD"/>
    <w:rsid w:val="00084B5A"/>
    <w:rsid w:val="000857B7"/>
    <w:rsid w:val="00087BB3"/>
    <w:rsid w:val="00095555"/>
    <w:rsid w:val="00096238"/>
    <w:rsid w:val="000A5329"/>
    <w:rsid w:val="000C1E4D"/>
    <w:rsid w:val="000D2157"/>
    <w:rsid w:val="000D5445"/>
    <w:rsid w:val="000E7ED2"/>
    <w:rsid w:val="00100012"/>
    <w:rsid w:val="00113BC9"/>
    <w:rsid w:val="00115277"/>
    <w:rsid w:val="00115FEF"/>
    <w:rsid w:val="00127DAC"/>
    <w:rsid w:val="00151A07"/>
    <w:rsid w:val="00156135"/>
    <w:rsid w:val="00162DCC"/>
    <w:rsid w:val="00166DBC"/>
    <w:rsid w:val="001705B9"/>
    <w:rsid w:val="00170DDB"/>
    <w:rsid w:val="00184E4C"/>
    <w:rsid w:val="0019079B"/>
    <w:rsid w:val="00196785"/>
    <w:rsid w:val="001A2670"/>
    <w:rsid w:val="001A53CE"/>
    <w:rsid w:val="001B05C6"/>
    <w:rsid w:val="001B28C8"/>
    <w:rsid w:val="001B5E43"/>
    <w:rsid w:val="001C194B"/>
    <w:rsid w:val="001C7D79"/>
    <w:rsid w:val="001D5E62"/>
    <w:rsid w:val="001E0275"/>
    <w:rsid w:val="001E2886"/>
    <w:rsid w:val="001E46DB"/>
    <w:rsid w:val="001F2BE7"/>
    <w:rsid w:val="00223D37"/>
    <w:rsid w:val="00225BDF"/>
    <w:rsid w:val="00245BA3"/>
    <w:rsid w:val="00256095"/>
    <w:rsid w:val="00256D97"/>
    <w:rsid w:val="00265657"/>
    <w:rsid w:val="00274912"/>
    <w:rsid w:val="00275FE8"/>
    <w:rsid w:val="002834B6"/>
    <w:rsid w:val="00290B54"/>
    <w:rsid w:val="00297F94"/>
    <w:rsid w:val="002A2E4C"/>
    <w:rsid w:val="002A3CC4"/>
    <w:rsid w:val="002B564E"/>
    <w:rsid w:val="002B7877"/>
    <w:rsid w:val="002C05A5"/>
    <w:rsid w:val="002C754F"/>
    <w:rsid w:val="002D7AA8"/>
    <w:rsid w:val="002E330F"/>
    <w:rsid w:val="002E5F96"/>
    <w:rsid w:val="002F62A1"/>
    <w:rsid w:val="00301F96"/>
    <w:rsid w:val="003144E6"/>
    <w:rsid w:val="00315D7C"/>
    <w:rsid w:val="00316C9F"/>
    <w:rsid w:val="0031701E"/>
    <w:rsid w:val="0032792A"/>
    <w:rsid w:val="003353C9"/>
    <w:rsid w:val="00341083"/>
    <w:rsid w:val="00352E3C"/>
    <w:rsid w:val="003552BD"/>
    <w:rsid w:val="0036030B"/>
    <w:rsid w:val="003641E2"/>
    <w:rsid w:val="00370E6F"/>
    <w:rsid w:val="0037101B"/>
    <w:rsid w:val="003730B8"/>
    <w:rsid w:val="00375149"/>
    <w:rsid w:val="003A1561"/>
    <w:rsid w:val="003C2931"/>
    <w:rsid w:val="003E7478"/>
    <w:rsid w:val="003F01E4"/>
    <w:rsid w:val="003F57B2"/>
    <w:rsid w:val="00407D90"/>
    <w:rsid w:val="00431BB6"/>
    <w:rsid w:val="00440E7F"/>
    <w:rsid w:val="004537A7"/>
    <w:rsid w:val="004561A3"/>
    <w:rsid w:val="00460DDF"/>
    <w:rsid w:val="00461C90"/>
    <w:rsid w:val="00471092"/>
    <w:rsid w:val="004A120F"/>
    <w:rsid w:val="004A32D7"/>
    <w:rsid w:val="004A6295"/>
    <w:rsid w:val="004C6182"/>
    <w:rsid w:val="004C7925"/>
    <w:rsid w:val="004F26A1"/>
    <w:rsid w:val="004F5E3C"/>
    <w:rsid w:val="00567B1A"/>
    <w:rsid w:val="00571971"/>
    <w:rsid w:val="0057422C"/>
    <w:rsid w:val="00575141"/>
    <w:rsid w:val="0059782C"/>
    <w:rsid w:val="005A52A2"/>
    <w:rsid w:val="005C5BF9"/>
    <w:rsid w:val="005D5F2B"/>
    <w:rsid w:val="005E28F6"/>
    <w:rsid w:val="00614024"/>
    <w:rsid w:val="00632CD2"/>
    <w:rsid w:val="006344CC"/>
    <w:rsid w:val="0063559D"/>
    <w:rsid w:val="0063690B"/>
    <w:rsid w:val="00640309"/>
    <w:rsid w:val="00660075"/>
    <w:rsid w:val="00660F46"/>
    <w:rsid w:val="006811C3"/>
    <w:rsid w:val="006907D5"/>
    <w:rsid w:val="0069557C"/>
    <w:rsid w:val="006C5099"/>
    <w:rsid w:val="006F0964"/>
    <w:rsid w:val="00701240"/>
    <w:rsid w:val="00715D7F"/>
    <w:rsid w:val="00716C90"/>
    <w:rsid w:val="007172E4"/>
    <w:rsid w:val="00737090"/>
    <w:rsid w:val="00780795"/>
    <w:rsid w:val="00783F55"/>
    <w:rsid w:val="007916D5"/>
    <w:rsid w:val="0079406F"/>
    <w:rsid w:val="00797111"/>
    <w:rsid w:val="007A0330"/>
    <w:rsid w:val="007A25C0"/>
    <w:rsid w:val="007A2A08"/>
    <w:rsid w:val="007B2299"/>
    <w:rsid w:val="007B2E35"/>
    <w:rsid w:val="007B64D4"/>
    <w:rsid w:val="007C40B7"/>
    <w:rsid w:val="007C41CE"/>
    <w:rsid w:val="007E3CCC"/>
    <w:rsid w:val="00803D2A"/>
    <w:rsid w:val="008058DF"/>
    <w:rsid w:val="00810049"/>
    <w:rsid w:val="008137A5"/>
    <w:rsid w:val="00832597"/>
    <w:rsid w:val="008371BA"/>
    <w:rsid w:val="00844664"/>
    <w:rsid w:val="008466F0"/>
    <w:rsid w:val="008473FB"/>
    <w:rsid w:val="00850CC4"/>
    <w:rsid w:val="00886388"/>
    <w:rsid w:val="008B3199"/>
    <w:rsid w:val="008C47FB"/>
    <w:rsid w:val="008C4A46"/>
    <w:rsid w:val="008C706D"/>
    <w:rsid w:val="008D5488"/>
    <w:rsid w:val="008E2484"/>
    <w:rsid w:val="008F0B52"/>
    <w:rsid w:val="008F617A"/>
    <w:rsid w:val="00914AC1"/>
    <w:rsid w:val="00921F03"/>
    <w:rsid w:val="0095375C"/>
    <w:rsid w:val="00965C79"/>
    <w:rsid w:val="00972198"/>
    <w:rsid w:val="00984B1A"/>
    <w:rsid w:val="009851B0"/>
    <w:rsid w:val="00996DA6"/>
    <w:rsid w:val="009A089E"/>
    <w:rsid w:val="009A50FF"/>
    <w:rsid w:val="009B0FA7"/>
    <w:rsid w:val="009B2E19"/>
    <w:rsid w:val="009C6D0D"/>
    <w:rsid w:val="009E2FD2"/>
    <w:rsid w:val="00A076E6"/>
    <w:rsid w:val="00A13844"/>
    <w:rsid w:val="00A27085"/>
    <w:rsid w:val="00A344EF"/>
    <w:rsid w:val="00A41BD0"/>
    <w:rsid w:val="00A47944"/>
    <w:rsid w:val="00A61A41"/>
    <w:rsid w:val="00A6309F"/>
    <w:rsid w:val="00A678C6"/>
    <w:rsid w:val="00A71B93"/>
    <w:rsid w:val="00A730E0"/>
    <w:rsid w:val="00A8460D"/>
    <w:rsid w:val="00A92A3D"/>
    <w:rsid w:val="00AA00A5"/>
    <w:rsid w:val="00AB01E0"/>
    <w:rsid w:val="00AB37A4"/>
    <w:rsid w:val="00AC35CD"/>
    <w:rsid w:val="00AE7479"/>
    <w:rsid w:val="00AF1FA7"/>
    <w:rsid w:val="00B071B6"/>
    <w:rsid w:val="00B13490"/>
    <w:rsid w:val="00B161CC"/>
    <w:rsid w:val="00B35876"/>
    <w:rsid w:val="00B569FD"/>
    <w:rsid w:val="00B63A33"/>
    <w:rsid w:val="00B677DC"/>
    <w:rsid w:val="00B70E6F"/>
    <w:rsid w:val="00B91BF0"/>
    <w:rsid w:val="00B955C2"/>
    <w:rsid w:val="00BA0282"/>
    <w:rsid w:val="00BB6985"/>
    <w:rsid w:val="00BD0783"/>
    <w:rsid w:val="00BD17EF"/>
    <w:rsid w:val="00BD7743"/>
    <w:rsid w:val="00BE729B"/>
    <w:rsid w:val="00BF4F97"/>
    <w:rsid w:val="00BF5589"/>
    <w:rsid w:val="00C0095C"/>
    <w:rsid w:val="00C02512"/>
    <w:rsid w:val="00C10172"/>
    <w:rsid w:val="00C25C86"/>
    <w:rsid w:val="00C36D00"/>
    <w:rsid w:val="00C42A4B"/>
    <w:rsid w:val="00C463C1"/>
    <w:rsid w:val="00C46931"/>
    <w:rsid w:val="00C47A89"/>
    <w:rsid w:val="00C73E6B"/>
    <w:rsid w:val="00C85D4E"/>
    <w:rsid w:val="00C9088B"/>
    <w:rsid w:val="00C91BA8"/>
    <w:rsid w:val="00C94FDB"/>
    <w:rsid w:val="00CA2ACF"/>
    <w:rsid w:val="00CB5C9F"/>
    <w:rsid w:val="00CB5CD9"/>
    <w:rsid w:val="00CB74C6"/>
    <w:rsid w:val="00CC2499"/>
    <w:rsid w:val="00CC73CB"/>
    <w:rsid w:val="00CD11DB"/>
    <w:rsid w:val="00CD2037"/>
    <w:rsid w:val="00CD2A65"/>
    <w:rsid w:val="00CE2F8B"/>
    <w:rsid w:val="00D004D1"/>
    <w:rsid w:val="00D02324"/>
    <w:rsid w:val="00D06884"/>
    <w:rsid w:val="00D15579"/>
    <w:rsid w:val="00D45541"/>
    <w:rsid w:val="00D53BFE"/>
    <w:rsid w:val="00D73D49"/>
    <w:rsid w:val="00D747A1"/>
    <w:rsid w:val="00D85F94"/>
    <w:rsid w:val="00D878DF"/>
    <w:rsid w:val="00DB09F3"/>
    <w:rsid w:val="00DC23E1"/>
    <w:rsid w:val="00DC727C"/>
    <w:rsid w:val="00DC79FA"/>
    <w:rsid w:val="00DD2E1F"/>
    <w:rsid w:val="00DE140A"/>
    <w:rsid w:val="00DF4B57"/>
    <w:rsid w:val="00E04682"/>
    <w:rsid w:val="00E20D4C"/>
    <w:rsid w:val="00E22BAA"/>
    <w:rsid w:val="00E44A34"/>
    <w:rsid w:val="00E52D98"/>
    <w:rsid w:val="00E52DAA"/>
    <w:rsid w:val="00E566ED"/>
    <w:rsid w:val="00E728E5"/>
    <w:rsid w:val="00E731F0"/>
    <w:rsid w:val="00E80E0F"/>
    <w:rsid w:val="00E84228"/>
    <w:rsid w:val="00EC51AC"/>
    <w:rsid w:val="00ED67BE"/>
    <w:rsid w:val="00EE07B1"/>
    <w:rsid w:val="00EF41BE"/>
    <w:rsid w:val="00F11065"/>
    <w:rsid w:val="00F20046"/>
    <w:rsid w:val="00F25BB5"/>
    <w:rsid w:val="00F40307"/>
    <w:rsid w:val="00F571F9"/>
    <w:rsid w:val="00F655AC"/>
    <w:rsid w:val="00F8256F"/>
    <w:rsid w:val="00F95970"/>
    <w:rsid w:val="00FB1B10"/>
    <w:rsid w:val="00FB278F"/>
    <w:rsid w:val="00FB3D7B"/>
    <w:rsid w:val="00FB6F6A"/>
    <w:rsid w:val="00FC67CB"/>
    <w:rsid w:val="00FD61EB"/>
    <w:rsid w:val="00FE245D"/>
    <w:rsid w:val="00FE3344"/>
    <w:rsid w:val="00FF51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40F7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A9D"/>
    <w:pPr>
      <w:spacing w:after="160" w:line="259" w:lineRule="auto"/>
    </w:pPr>
    <w:rPr>
      <w:rFonts w:ascii="David" w:eastAsia="David" w:hAnsi="David"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5141"/>
    <w:rPr>
      <w:color w:val="0000FF"/>
      <w:u w:val="single"/>
    </w:rPr>
  </w:style>
  <w:style w:type="paragraph" w:styleId="BalloonText">
    <w:name w:val="Balloon Text"/>
    <w:basedOn w:val="Normal"/>
    <w:link w:val="BalloonTextChar"/>
    <w:uiPriority w:val="99"/>
    <w:semiHidden/>
    <w:unhideWhenUsed/>
    <w:rsid w:val="007B64D4"/>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7B64D4"/>
    <w:rPr>
      <w:rFonts w:ascii="Tahoma" w:hAnsi="Tahoma" w:cs="Tahoma"/>
      <w:sz w:val="18"/>
      <w:szCs w:val="18"/>
    </w:rPr>
  </w:style>
  <w:style w:type="paragraph" w:styleId="Header">
    <w:name w:val="header"/>
    <w:basedOn w:val="Normal"/>
    <w:link w:val="HeaderChar"/>
    <w:uiPriority w:val="99"/>
    <w:unhideWhenUsed/>
    <w:rsid w:val="00E046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E04682"/>
  </w:style>
  <w:style w:type="paragraph" w:styleId="Footer">
    <w:name w:val="footer"/>
    <w:basedOn w:val="Normal"/>
    <w:link w:val="FooterChar"/>
    <w:uiPriority w:val="99"/>
    <w:unhideWhenUsed/>
    <w:rsid w:val="00E04682"/>
    <w:pPr>
      <w:tabs>
        <w:tab w:val="center" w:pos="4153"/>
        <w:tab w:val="right" w:pos="8306"/>
      </w:tabs>
      <w:spacing w:after="0" w:line="240" w:lineRule="auto"/>
    </w:pPr>
  </w:style>
  <w:style w:type="character" w:customStyle="1" w:styleId="FooterChar">
    <w:name w:val="Footer Char"/>
    <w:basedOn w:val="DefaultParagraphFont"/>
    <w:link w:val="Footer"/>
    <w:uiPriority w:val="99"/>
    <w:rsid w:val="00E04682"/>
  </w:style>
  <w:style w:type="paragraph" w:styleId="ListParagraph">
    <w:name w:val="List Paragraph"/>
    <w:aliases w:val="פיסקת רשימה12,פיסקת רשימה121,פיסקת רשימה2,פיסקת רשימה11"/>
    <w:basedOn w:val="Normal"/>
    <w:link w:val="ListParagraphChar"/>
    <w:uiPriority w:val="34"/>
    <w:qFormat/>
    <w:rsid w:val="00CD2A65"/>
    <w:pPr>
      <w:ind w:left="720"/>
      <w:contextualSpacing/>
    </w:pPr>
  </w:style>
  <w:style w:type="character" w:styleId="CommentReference">
    <w:name w:val="annotation reference"/>
    <w:basedOn w:val="DefaultParagraphFont"/>
    <w:uiPriority w:val="99"/>
    <w:semiHidden/>
    <w:unhideWhenUsed/>
    <w:rsid w:val="004F26A1"/>
    <w:rPr>
      <w:sz w:val="16"/>
      <w:szCs w:val="16"/>
    </w:rPr>
  </w:style>
  <w:style w:type="paragraph" w:styleId="CommentText">
    <w:name w:val="annotation text"/>
    <w:basedOn w:val="Normal"/>
    <w:link w:val="CommentTextChar"/>
    <w:uiPriority w:val="99"/>
    <w:semiHidden/>
    <w:unhideWhenUsed/>
    <w:rsid w:val="004F26A1"/>
    <w:pPr>
      <w:spacing w:line="240" w:lineRule="auto"/>
    </w:pPr>
    <w:rPr>
      <w:sz w:val="20"/>
      <w:szCs w:val="20"/>
    </w:rPr>
  </w:style>
  <w:style w:type="character" w:customStyle="1" w:styleId="CommentTextChar">
    <w:name w:val="Comment Text Char"/>
    <w:basedOn w:val="DefaultParagraphFont"/>
    <w:link w:val="CommentText"/>
    <w:uiPriority w:val="99"/>
    <w:semiHidden/>
    <w:rsid w:val="004F26A1"/>
    <w:rPr>
      <w:sz w:val="20"/>
      <w:szCs w:val="20"/>
    </w:rPr>
  </w:style>
  <w:style w:type="paragraph" w:styleId="CommentSubject">
    <w:name w:val="annotation subject"/>
    <w:basedOn w:val="CommentText"/>
    <w:next w:val="CommentText"/>
    <w:link w:val="CommentSubjectChar"/>
    <w:uiPriority w:val="99"/>
    <w:semiHidden/>
    <w:unhideWhenUsed/>
    <w:rsid w:val="004F26A1"/>
    <w:rPr>
      <w:b/>
      <w:bCs/>
    </w:rPr>
  </w:style>
  <w:style w:type="character" w:customStyle="1" w:styleId="CommentSubjectChar">
    <w:name w:val="Comment Subject Char"/>
    <w:basedOn w:val="CommentTextChar"/>
    <w:link w:val="CommentSubject"/>
    <w:uiPriority w:val="99"/>
    <w:semiHidden/>
    <w:rsid w:val="004F26A1"/>
    <w:rPr>
      <w:b/>
      <w:bCs/>
      <w:sz w:val="20"/>
      <w:szCs w:val="20"/>
    </w:rPr>
  </w:style>
  <w:style w:type="character" w:styleId="FollowedHyperlink">
    <w:name w:val="FollowedHyperlink"/>
    <w:basedOn w:val="DefaultParagraphFont"/>
    <w:uiPriority w:val="99"/>
    <w:semiHidden/>
    <w:unhideWhenUsed/>
    <w:rsid w:val="00B569FD"/>
    <w:rPr>
      <w:color w:val="800080" w:themeColor="followedHyperlink"/>
      <w:u w:val="single"/>
    </w:rPr>
  </w:style>
  <w:style w:type="character" w:customStyle="1" w:styleId="ListParagraphChar">
    <w:name w:val="List Paragraph Char"/>
    <w:aliases w:val="פיסקת רשימה12 Char,פיסקת רשימה121 Char,פיסקת רשימה2 Char,פיסקת רשימה11 Char"/>
    <w:basedOn w:val="DefaultParagraphFont"/>
    <w:link w:val="ListParagraph"/>
    <w:uiPriority w:val="34"/>
    <w:rsid w:val="00031A9D"/>
  </w:style>
  <w:style w:type="table" w:styleId="TableGrid">
    <w:name w:val="Table Grid"/>
    <w:basedOn w:val="TableNormal"/>
    <w:uiPriority w:val="39"/>
    <w:rsid w:val="00DC79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134256">
      <w:bodyDiv w:val="1"/>
      <w:marLeft w:val="0"/>
      <w:marRight w:val="0"/>
      <w:marTop w:val="0"/>
      <w:marBottom w:val="0"/>
      <w:divBdr>
        <w:top w:val="none" w:sz="0" w:space="0" w:color="auto"/>
        <w:left w:val="none" w:sz="0" w:space="0" w:color="auto"/>
        <w:bottom w:val="none" w:sz="0" w:space="0" w:color="auto"/>
        <w:right w:val="none" w:sz="0" w:space="0" w:color="auto"/>
      </w:divBdr>
    </w:div>
    <w:div w:id="872764382">
      <w:bodyDiv w:val="1"/>
      <w:marLeft w:val="0"/>
      <w:marRight w:val="0"/>
      <w:marTop w:val="0"/>
      <w:marBottom w:val="0"/>
      <w:divBdr>
        <w:top w:val="none" w:sz="0" w:space="0" w:color="auto"/>
        <w:left w:val="none" w:sz="0" w:space="0" w:color="auto"/>
        <w:bottom w:val="none" w:sz="0" w:space="0" w:color="auto"/>
        <w:right w:val="none" w:sz="0" w:space="0" w:color="auto"/>
      </w:divBdr>
    </w:div>
    <w:div w:id="1112937149">
      <w:bodyDiv w:val="1"/>
      <w:marLeft w:val="0"/>
      <w:marRight w:val="0"/>
      <w:marTop w:val="0"/>
      <w:marBottom w:val="0"/>
      <w:divBdr>
        <w:top w:val="none" w:sz="0" w:space="0" w:color="auto"/>
        <w:left w:val="none" w:sz="0" w:space="0" w:color="auto"/>
        <w:bottom w:val="none" w:sz="0" w:space="0" w:color="auto"/>
        <w:right w:val="none" w:sz="0" w:space="0" w:color="auto"/>
      </w:divBdr>
    </w:div>
    <w:div w:id="1557356728">
      <w:bodyDiv w:val="1"/>
      <w:marLeft w:val="0"/>
      <w:marRight w:val="0"/>
      <w:marTop w:val="0"/>
      <w:marBottom w:val="0"/>
      <w:divBdr>
        <w:top w:val="none" w:sz="0" w:space="0" w:color="auto"/>
        <w:left w:val="none" w:sz="0" w:space="0" w:color="auto"/>
        <w:bottom w:val="none" w:sz="0" w:space="0" w:color="auto"/>
        <w:right w:val="none" w:sz="0" w:space="0" w:color="auto"/>
      </w:divBdr>
    </w:div>
    <w:div w:id="196314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www.facebook.com/bankisraelvc" TargetMode="External"/><Relationship Id="rId3" Type="http://schemas.openxmlformats.org/officeDocument/2006/relationships/image" Target="media/image2.png"/><Relationship Id="rId7" Type="http://schemas.microsoft.com/office/2007/relationships/hdphoto" Target="media/hdphoto2.wdp"/><Relationship Id="rId12" Type="http://schemas.openxmlformats.org/officeDocument/2006/relationships/hyperlink" Target="https://www.facebook.com/bankisraelvc"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4.png"/><Relationship Id="rId11" Type="http://schemas.openxmlformats.org/officeDocument/2006/relationships/hyperlink" Target="https://www.youtube.com/user/thebankofisrael" TargetMode="External"/><Relationship Id="rId5" Type="http://schemas.microsoft.com/office/2007/relationships/hdphoto" Target="media/hdphoto1.wdp"/><Relationship Id="rId15" Type="http://schemas.openxmlformats.org/officeDocument/2006/relationships/hyperlink" Target="https://www.boi.org.il/" TargetMode="External"/><Relationship Id="rId10" Type="http://schemas.openxmlformats.org/officeDocument/2006/relationships/hyperlink" Target="https://www.youtube.com/user/thebankofisrael" TargetMode="External"/><Relationship Id="rId4" Type="http://schemas.openxmlformats.org/officeDocument/2006/relationships/image" Target="media/image3.png"/><Relationship Id="rId9" Type="http://schemas.microsoft.com/office/2007/relationships/hdphoto" Target="media/hdphoto3.wdp"/><Relationship Id="rId14" Type="http://schemas.openxmlformats.org/officeDocument/2006/relationships/hyperlink" Target="https://www.boi.org.i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23z\AppData\Local\Microsoft\Windows\INetCache\Content.Outlook\00RZGCRJ\NPL.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David" panose="020E0502060401010101" pitchFamily="34" charset="-79"/>
                <a:ea typeface="+mn-ea"/>
                <a:cs typeface="David" panose="020E0502060401010101" pitchFamily="34" charset="-79"/>
              </a:defRPr>
            </a:pPr>
            <a:r>
              <a:rPr lang="he-IL">
                <a:latin typeface="+mn-lt"/>
                <a:cs typeface="David" panose="020E0502060401010101" pitchFamily="34" charset="-79"/>
              </a:rPr>
              <a:t>שיעור ה-</a:t>
            </a:r>
            <a:r>
              <a:rPr lang="en-US">
                <a:latin typeface="+mn-lt"/>
                <a:cs typeface="David" panose="020E0502060401010101" pitchFamily="34" charset="-79"/>
              </a:rPr>
              <a:t>NPL</a:t>
            </a:r>
            <a:r>
              <a:rPr lang="he-IL">
                <a:latin typeface="+mn-lt"/>
                <a:cs typeface="David" panose="020E0502060401010101" pitchFamily="34" charset="-79"/>
              </a:rPr>
              <a:t> באשראי למשקי</a:t>
            </a:r>
            <a:r>
              <a:rPr lang="he-IL" baseline="0">
                <a:latin typeface="+mn-lt"/>
                <a:cs typeface="David" panose="020E0502060401010101" pitchFamily="34" charset="-79"/>
              </a:rPr>
              <a:t> בית</a:t>
            </a:r>
            <a:r>
              <a:rPr lang="he-IL">
                <a:latin typeface="+mn-lt"/>
                <a:cs typeface="David" panose="020E0502060401010101" pitchFamily="34" charset="-79"/>
              </a:rPr>
              <a:t> לפי סגמנטים,</a:t>
            </a:r>
          </a:p>
          <a:p>
            <a:pPr>
              <a:defRPr>
                <a:latin typeface="David" panose="020E0502060401010101" pitchFamily="34" charset="-79"/>
                <a:cs typeface="David" panose="020E0502060401010101" pitchFamily="34" charset="-79"/>
              </a:defRPr>
            </a:pPr>
            <a:r>
              <a:rPr lang="he-IL">
                <a:latin typeface="+mn-lt"/>
                <a:cs typeface="David" panose="020E0502060401010101" pitchFamily="34" charset="-79"/>
              </a:rPr>
              <a:t>סך מערכת הבנקאות* וחכ"א, 2016 עד אוגוסט</a:t>
            </a:r>
            <a:r>
              <a:rPr lang="he-IL" baseline="0">
                <a:latin typeface="+mn-lt"/>
                <a:cs typeface="David" panose="020E0502060401010101" pitchFamily="34" charset="-79"/>
              </a:rPr>
              <a:t> </a:t>
            </a:r>
            <a:r>
              <a:rPr lang="he-IL">
                <a:latin typeface="+mn-lt"/>
                <a:cs typeface="David" panose="020E0502060401010101" pitchFamily="34" charset="-79"/>
              </a:rPr>
              <a:t>2025</a:t>
            </a:r>
            <a:r>
              <a:rPr lang="he-IL" baseline="0">
                <a:latin typeface="+mn-lt"/>
                <a:cs typeface="David" panose="020E0502060401010101" pitchFamily="34" charset="-79"/>
              </a:rPr>
              <a:t> </a:t>
            </a:r>
            <a:r>
              <a:rPr lang="he-IL">
                <a:latin typeface="+mn-lt"/>
                <a:cs typeface="David" panose="020E0502060401010101" pitchFamily="34" charset="-79"/>
              </a:rPr>
              <a:t>| אחוזים</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David" panose="020E0502060401010101" pitchFamily="34" charset="-79"/>
              <a:ea typeface="+mn-ea"/>
              <a:cs typeface="David" panose="020E0502060401010101" pitchFamily="34" charset="-79"/>
            </a:defRPr>
          </a:pPr>
          <a:endParaRPr lang="he-IL"/>
        </a:p>
      </c:txPr>
    </c:title>
    <c:autoTitleDeleted val="0"/>
    <c:plotArea>
      <c:layout>
        <c:manualLayout>
          <c:layoutTarget val="inner"/>
          <c:xMode val="edge"/>
          <c:yMode val="edge"/>
          <c:x val="7.1575896762904642E-2"/>
          <c:y val="0.35031077936012345"/>
          <c:w val="0.88907225138524348"/>
          <c:h val="0.38816450553447523"/>
        </c:manualLayout>
      </c:layout>
      <c:lineChart>
        <c:grouping val="standard"/>
        <c:varyColors val="0"/>
        <c:ser>
          <c:idx val="1"/>
          <c:order val="0"/>
          <c:tx>
            <c:strRef>
              <c:f>איור!$C$1</c:f>
              <c:strCache>
                <c:ptCount val="1"/>
                <c:pt idx="0">
                  <c:v>למטרת מגורים</c:v>
                </c:pt>
              </c:strCache>
            </c:strRef>
          </c:tx>
          <c:spPr>
            <a:ln w="28575" cap="rnd">
              <a:solidFill>
                <a:srgbClr val="002060"/>
              </a:solidFill>
              <a:prstDash val="solid"/>
              <a:round/>
            </a:ln>
            <a:effectLst/>
          </c:spPr>
          <c:marker>
            <c:symbol val="none"/>
          </c:marker>
          <c:cat>
            <c:numRef>
              <c:f>איור!$A$2:$A$118</c:f>
              <c:numCache>
                <c:formatCode>m/d/yyyy</c:formatCode>
                <c:ptCount val="117"/>
                <c:pt idx="0">
                  <c:v>45930</c:v>
                </c:pt>
                <c:pt idx="1">
                  <c:v>45900</c:v>
                </c:pt>
                <c:pt idx="2">
                  <c:v>45869</c:v>
                </c:pt>
                <c:pt idx="3">
                  <c:v>45838</c:v>
                </c:pt>
                <c:pt idx="4">
                  <c:v>45808</c:v>
                </c:pt>
                <c:pt idx="5">
                  <c:v>45777</c:v>
                </c:pt>
                <c:pt idx="6">
                  <c:v>45747</c:v>
                </c:pt>
                <c:pt idx="7">
                  <c:v>45716</c:v>
                </c:pt>
                <c:pt idx="8">
                  <c:v>45688</c:v>
                </c:pt>
                <c:pt idx="9">
                  <c:v>45657</c:v>
                </c:pt>
                <c:pt idx="10">
                  <c:v>45626</c:v>
                </c:pt>
                <c:pt idx="11">
                  <c:v>45596</c:v>
                </c:pt>
                <c:pt idx="12">
                  <c:v>45565</c:v>
                </c:pt>
                <c:pt idx="13">
                  <c:v>45535</c:v>
                </c:pt>
                <c:pt idx="14">
                  <c:v>45504</c:v>
                </c:pt>
                <c:pt idx="15">
                  <c:v>45473</c:v>
                </c:pt>
                <c:pt idx="16">
                  <c:v>45443</c:v>
                </c:pt>
                <c:pt idx="17">
                  <c:v>45412</c:v>
                </c:pt>
                <c:pt idx="18">
                  <c:v>45382</c:v>
                </c:pt>
                <c:pt idx="19">
                  <c:v>45351</c:v>
                </c:pt>
                <c:pt idx="20">
                  <c:v>45322</c:v>
                </c:pt>
                <c:pt idx="21">
                  <c:v>45291</c:v>
                </c:pt>
                <c:pt idx="22">
                  <c:v>45260</c:v>
                </c:pt>
                <c:pt idx="23">
                  <c:v>45230</c:v>
                </c:pt>
                <c:pt idx="24">
                  <c:v>45199</c:v>
                </c:pt>
                <c:pt idx="25">
                  <c:v>45169</c:v>
                </c:pt>
                <c:pt idx="26">
                  <c:v>45138</c:v>
                </c:pt>
                <c:pt idx="27">
                  <c:v>45107</c:v>
                </c:pt>
                <c:pt idx="28">
                  <c:v>45077</c:v>
                </c:pt>
                <c:pt idx="29">
                  <c:v>45046</c:v>
                </c:pt>
                <c:pt idx="30">
                  <c:v>45016</c:v>
                </c:pt>
                <c:pt idx="31">
                  <c:v>44985</c:v>
                </c:pt>
                <c:pt idx="32">
                  <c:v>44957</c:v>
                </c:pt>
                <c:pt idx="33">
                  <c:v>44926</c:v>
                </c:pt>
                <c:pt idx="34">
                  <c:v>44895</c:v>
                </c:pt>
                <c:pt idx="35">
                  <c:v>44865</c:v>
                </c:pt>
                <c:pt idx="36">
                  <c:v>44834</c:v>
                </c:pt>
                <c:pt idx="37">
                  <c:v>44804</c:v>
                </c:pt>
                <c:pt idx="38">
                  <c:v>44773</c:v>
                </c:pt>
                <c:pt idx="39">
                  <c:v>44742</c:v>
                </c:pt>
                <c:pt idx="40">
                  <c:v>44712</c:v>
                </c:pt>
                <c:pt idx="41">
                  <c:v>44681</c:v>
                </c:pt>
                <c:pt idx="42">
                  <c:v>44651</c:v>
                </c:pt>
                <c:pt idx="43">
                  <c:v>44620</c:v>
                </c:pt>
                <c:pt idx="44">
                  <c:v>44592</c:v>
                </c:pt>
                <c:pt idx="45">
                  <c:v>44561</c:v>
                </c:pt>
                <c:pt idx="46">
                  <c:v>44530</c:v>
                </c:pt>
                <c:pt idx="47">
                  <c:v>44500</c:v>
                </c:pt>
                <c:pt idx="48">
                  <c:v>44469</c:v>
                </c:pt>
                <c:pt idx="49">
                  <c:v>44439</c:v>
                </c:pt>
                <c:pt idx="50">
                  <c:v>44408</c:v>
                </c:pt>
                <c:pt idx="51">
                  <c:v>44377</c:v>
                </c:pt>
                <c:pt idx="52">
                  <c:v>44347</c:v>
                </c:pt>
                <c:pt idx="53">
                  <c:v>44316</c:v>
                </c:pt>
                <c:pt idx="54">
                  <c:v>44286</c:v>
                </c:pt>
                <c:pt idx="55">
                  <c:v>44255</c:v>
                </c:pt>
                <c:pt idx="56">
                  <c:v>44227</c:v>
                </c:pt>
                <c:pt idx="57">
                  <c:v>44196</c:v>
                </c:pt>
                <c:pt idx="58">
                  <c:v>44165</c:v>
                </c:pt>
                <c:pt idx="59">
                  <c:v>44135</c:v>
                </c:pt>
                <c:pt idx="60">
                  <c:v>44104</c:v>
                </c:pt>
                <c:pt idx="61">
                  <c:v>44074</c:v>
                </c:pt>
                <c:pt idx="62">
                  <c:v>44043</c:v>
                </c:pt>
                <c:pt idx="63">
                  <c:v>44012</c:v>
                </c:pt>
                <c:pt idx="64">
                  <c:v>43982</c:v>
                </c:pt>
                <c:pt idx="65">
                  <c:v>43951</c:v>
                </c:pt>
                <c:pt idx="66">
                  <c:v>43921</c:v>
                </c:pt>
                <c:pt idx="67">
                  <c:v>43890</c:v>
                </c:pt>
                <c:pt idx="68">
                  <c:v>43861</c:v>
                </c:pt>
                <c:pt idx="69">
                  <c:v>43830</c:v>
                </c:pt>
                <c:pt idx="70">
                  <c:v>43799</c:v>
                </c:pt>
                <c:pt idx="71">
                  <c:v>43769</c:v>
                </c:pt>
                <c:pt idx="72">
                  <c:v>43738</c:v>
                </c:pt>
                <c:pt idx="73">
                  <c:v>43708</c:v>
                </c:pt>
                <c:pt idx="74">
                  <c:v>43677</c:v>
                </c:pt>
                <c:pt idx="75">
                  <c:v>43646</c:v>
                </c:pt>
                <c:pt idx="76">
                  <c:v>43616</c:v>
                </c:pt>
                <c:pt idx="77">
                  <c:v>43585</c:v>
                </c:pt>
                <c:pt idx="78">
                  <c:v>43555</c:v>
                </c:pt>
                <c:pt idx="79">
                  <c:v>43524</c:v>
                </c:pt>
                <c:pt idx="80">
                  <c:v>43496</c:v>
                </c:pt>
                <c:pt idx="81">
                  <c:v>43465</c:v>
                </c:pt>
                <c:pt idx="82">
                  <c:v>43434</c:v>
                </c:pt>
                <c:pt idx="83">
                  <c:v>43404</c:v>
                </c:pt>
                <c:pt idx="84">
                  <c:v>43373</c:v>
                </c:pt>
                <c:pt idx="85">
                  <c:v>43343</c:v>
                </c:pt>
                <c:pt idx="86">
                  <c:v>43312</c:v>
                </c:pt>
                <c:pt idx="87">
                  <c:v>43281</c:v>
                </c:pt>
                <c:pt idx="88">
                  <c:v>43251</c:v>
                </c:pt>
                <c:pt idx="89">
                  <c:v>43220</c:v>
                </c:pt>
                <c:pt idx="90">
                  <c:v>43190</c:v>
                </c:pt>
                <c:pt idx="91">
                  <c:v>43159</c:v>
                </c:pt>
                <c:pt idx="92">
                  <c:v>43131</c:v>
                </c:pt>
                <c:pt idx="93">
                  <c:v>43100</c:v>
                </c:pt>
                <c:pt idx="94">
                  <c:v>43069</c:v>
                </c:pt>
                <c:pt idx="95">
                  <c:v>43039</c:v>
                </c:pt>
                <c:pt idx="96">
                  <c:v>43008</c:v>
                </c:pt>
                <c:pt idx="97">
                  <c:v>42978</c:v>
                </c:pt>
                <c:pt idx="98">
                  <c:v>42947</c:v>
                </c:pt>
                <c:pt idx="99">
                  <c:v>42916</c:v>
                </c:pt>
                <c:pt idx="100">
                  <c:v>42886</c:v>
                </c:pt>
                <c:pt idx="101">
                  <c:v>42855</c:v>
                </c:pt>
                <c:pt idx="102">
                  <c:v>42825</c:v>
                </c:pt>
                <c:pt idx="103">
                  <c:v>42794</c:v>
                </c:pt>
                <c:pt idx="104">
                  <c:v>42766</c:v>
                </c:pt>
                <c:pt idx="105">
                  <c:v>42735</c:v>
                </c:pt>
                <c:pt idx="106">
                  <c:v>42704</c:v>
                </c:pt>
                <c:pt idx="107">
                  <c:v>42674</c:v>
                </c:pt>
                <c:pt idx="108">
                  <c:v>42643</c:v>
                </c:pt>
                <c:pt idx="109">
                  <c:v>42613</c:v>
                </c:pt>
                <c:pt idx="110">
                  <c:v>42582</c:v>
                </c:pt>
                <c:pt idx="111">
                  <c:v>42551</c:v>
                </c:pt>
                <c:pt idx="112">
                  <c:v>42521</c:v>
                </c:pt>
                <c:pt idx="113">
                  <c:v>42490</c:v>
                </c:pt>
                <c:pt idx="114">
                  <c:v>42460</c:v>
                </c:pt>
                <c:pt idx="115">
                  <c:v>42429</c:v>
                </c:pt>
                <c:pt idx="116">
                  <c:v>42400</c:v>
                </c:pt>
              </c:numCache>
            </c:numRef>
          </c:cat>
          <c:val>
            <c:numRef>
              <c:f>איור!$C$2:$C$118</c:f>
              <c:numCache>
                <c:formatCode>0.00</c:formatCode>
                <c:ptCount val="117"/>
                <c:pt idx="0">
                  <c:v>0.7068122663483366</c:v>
                </c:pt>
                <c:pt idx="1">
                  <c:v>0.69680240043381181</c:v>
                </c:pt>
                <c:pt idx="2">
                  <c:v>0.67641969010579328</c:v>
                </c:pt>
                <c:pt idx="3">
                  <c:v>0.67218039632609083</c:v>
                </c:pt>
                <c:pt idx="4">
                  <c:v>0.65955377850447061</c:v>
                </c:pt>
                <c:pt idx="5">
                  <c:v>0.63951025195696243</c:v>
                </c:pt>
                <c:pt idx="6">
                  <c:v>0.62502433754411502</c:v>
                </c:pt>
                <c:pt idx="7">
                  <c:v>0.61133475363263745</c:v>
                </c:pt>
                <c:pt idx="8">
                  <c:v>0.61407554859668811</c:v>
                </c:pt>
                <c:pt idx="9">
                  <c:v>0.61486360311006028</c:v>
                </c:pt>
                <c:pt idx="10">
                  <c:v>0.62766273017957597</c:v>
                </c:pt>
                <c:pt idx="11">
                  <c:v>0.62296726114061562</c:v>
                </c:pt>
                <c:pt idx="12">
                  <c:v>0.57440836566244136</c:v>
                </c:pt>
                <c:pt idx="13">
                  <c:v>0.58546392287290561</c:v>
                </c:pt>
                <c:pt idx="14">
                  <c:v>0.59610064645287375</c:v>
                </c:pt>
                <c:pt idx="15">
                  <c:v>0.60079023528216313</c:v>
                </c:pt>
                <c:pt idx="16">
                  <c:v>0.61002222756587487</c:v>
                </c:pt>
                <c:pt idx="17">
                  <c:v>0.60768856180722308</c:v>
                </c:pt>
                <c:pt idx="18">
                  <c:v>0.61467336496903502</c:v>
                </c:pt>
                <c:pt idx="19">
                  <c:v>0.61110344875411071</c:v>
                </c:pt>
                <c:pt idx="20">
                  <c:v>0.60269237234891559</c:v>
                </c:pt>
                <c:pt idx="21">
                  <c:v>0.63731155000064676</c:v>
                </c:pt>
                <c:pt idx="22">
                  <c:v>0.62747431202697401</c:v>
                </c:pt>
                <c:pt idx="23">
                  <c:v>0.59398507370909326</c:v>
                </c:pt>
                <c:pt idx="24">
                  <c:v>0.54747794169802155</c:v>
                </c:pt>
                <c:pt idx="25">
                  <c:v>0.5383914047905729</c:v>
                </c:pt>
                <c:pt idx="26">
                  <c:v>0.54542520175910458</c:v>
                </c:pt>
                <c:pt idx="27">
                  <c:v>0.53559530159184632</c:v>
                </c:pt>
                <c:pt idx="28">
                  <c:v>0.51105633996317035</c:v>
                </c:pt>
                <c:pt idx="29">
                  <c:v>0.51292936161328484</c:v>
                </c:pt>
                <c:pt idx="30">
                  <c:v>0.48078954561301079</c:v>
                </c:pt>
                <c:pt idx="31">
                  <c:v>0.44886421389250203</c:v>
                </c:pt>
                <c:pt idx="32">
                  <c:v>0.45050655880750423</c:v>
                </c:pt>
                <c:pt idx="33">
                  <c:v>0.45163268228584941</c:v>
                </c:pt>
                <c:pt idx="34">
                  <c:v>0.45514556772973203</c:v>
                </c:pt>
                <c:pt idx="35">
                  <c:v>0.46433674902566058</c:v>
                </c:pt>
                <c:pt idx="36">
                  <c:v>0.45031444857875208</c:v>
                </c:pt>
                <c:pt idx="37">
                  <c:v>0.45084333014653311</c:v>
                </c:pt>
                <c:pt idx="38">
                  <c:v>0.46690845982537804</c:v>
                </c:pt>
                <c:pt idx="39">
                  <c:v>0.49000496867871429</c:v>
                </c:pt>
                <c:pt idx="40">
                  <c:v>0.49997188483746691</c:v>
                </c:pt>
                <c:pt idx="41">
                  <c:v>0.53929040685048224</c:v>
                </c:pt>
                <c:pt idx="42">
                  <c:v>0.53715494461500446</c:v>
                </c:pt>
                <c:pt idx="43">
                  <c:v>0.5731533554898588</c:v>
                </c:pt>
                <c:pt idx="44">
                  <c:v>0.58546471390413857</c:v>
                </c:pt>
                <c:pt idx="45">
                  <c:v>0.5860610943791501</c:v>
                </c:pt>
                <c:pt idx="46">
                  <c:v>0.62606748718186456</c:v>
                </c:pt>
                <c:pt idx="47">
                  <c:v>0.64695364455737669</c:v>
                </c:pt>
                <c:pt idx="48">
                  <c:v>0.65550157697846367</c:v>
                </c:pt>
                <c:pt idx="49">
                  <c:v>0.62894016036387856</c:v>
                </c:pt>
                <c:pt idx="50">
                  <c:v>0.65077992989752675</c:v>
                </c:pt>
                <c:pt idx="51">
                  <c:v>0.67990685173724519</c:v>
                </c:pt>
                <c:pt idx="52">
                  <c:v>0.69785990820952104</c:v>
                </c:pt>
                <c:pt idx="53">
                  <c:v>0.70883454684954372</c:v>
                </c:pt>
                <c:pt idx="54">
                  <c:v>0.72845408257299038</c:v>
                </c:pt>
                <c:pt idx="55">
                  <c:v>0.72075509645636804</c:v>
                </c:pt>
                <c:pt idx="56">
                  <c:v>0.72329656930299102</c:v>
                </c:pt>
                <c:pt idx="57">
                  <c:v>0.72762925261699607</c:v>
                </c:pt>
                <c:pt idx="58">
                  <c:v>0.7603368574165662</c:v>
                </c:pt>
                <c:pt idx="59">
                  <c:v>0.79295073167658758</c:v>
                </c:pt>
                <c:pt idx="60">
                  <c:v>0.80650780771770125</c:v>
                </c:pt>
                <c:pt idx="61">
                  <c:v>0.83112154578159769</c:v>
                </c:pt>
                <c:pt idx="62">
                  <c:v>0.86168627799997899</c:v>
                </c:pt>
                <c:pt idx="63">
                  <c:v>0.90835636730339175</c:v>
                </c:pt>
                <c:pt idx="64">
                  <c:v>0.97257220632884089</c:v>
                </c:pt>
                <c:pt idx="65">
                  <c:v>0.97474123734433982</c:v>
                </c:pt>
                <c:pt idx="66">
                  <c:v>0.92270957898286288</c:v>
                </c:pt>
                <c:pt idx="67">
                  <c:v>0.89906880286746649</c:v>
                </c:pt>
                <c:pt idx="68">
                  <c:v>0.91527169016291521</c:v>
                </c:pt>
                <c:pt idx="69">
                  <c:v>0.91468459605600783</c:v>
                </c:pt>
                <c:pt idx="70">
                  <c:v>0.9432447758982857</c:v>
                </c:pt>
                <c:pt idx="71">
                  <c:v>0.93614116751715748</c:v>
                </c:pt>
                <c:pt idx="72">
                  <c:v>0.87876972893952876</c:v>
                </c:pt>
                <c:pt idx="73">
                  <c:v>0.87770909491700666</c:v>
                </c:pt>
                <c:pt idx="74">
                  <c:v>0.87939399407381325</c:v>
                </c:pt>
                <c:pt idx="75">
                  <c:v>0.90684120715443117</c:v>
                </c:pt>
                <c:pt idx="76">
                  <c:v>0.92381258971706759</c:v>
                </c:pt>
                <c:pt idx="77">
                  <c:v>0.93456058967552902</c:v>
                </c:pt>
                <c:pt idx="78">
                  <c:v>0.91900228242290261</c:v>
                </c:pt>
                <c:pt idx="79">
                  <c:v>0.917311241763626</c:v>
                </c:pt>
                <c:pt idx="80">
                  <c:v>0.89915302772616856</c:v>
                </c:pt>
                <c:pt idx="81">
                  <c:v>0.89661827204624656</c:v>
                </c:pt>
                <c:pt idx="82">
                  <c:v>0.92554090710550274</c:v>
                </c:pt>
                <c:pt idx="83">
                  <c:v>0.930282479643191</c:v>
                </c:pt>
                <c:pt idx="84">
                  <c:v>0.90884670143201418</c:v>
                </c:pt>
                <c:pt idx="85">
                  <c:v>0.83992959081332552</c:v>
                </c:pt>
                <c:pt idx="86">
                  <c:v>0.87379170782603854</c:v>
                </c:pt>
                <c:pt idx="87">
                  <c:v>0.87953194493936826</c:v>
                </c:pt>
                <c:pt idx="88">
                  <c:v>0.87591895878377335</c:v>
                </c:pt>
                <c:pt idx="89">
                  <c:v>0.87877975520187257</c:v>
                </c:pt>
                <c:pt idx="90">
                  <c:v>0.86743766435301639</c:v>
                </c:pt>
                <c:pt idx="91">
                  <c:v>0.86011106085887146</c:v>
                </c:pt>
                <c:pt idx="92">
                  <c:v>0.85224813014569256</c:v>
                </c:pt>
                <c:pt idx="93">
                  <c:v>0.86803525278505189</c:v>
                </c:pt>
                <c:pt idx="94">
                  <c:v>0.88156570299277626</c:v>
                </c:pt>
                <c:pt idx="95">
                  <c:v>0.88375427886615754</c:v>
                </c:pt>
                <c:pt idx="96">
                  <c:v>0.84662761054920421</c:v>
                </c:pt>
                <c:pt idx="97">
                  <c:v>0.82279311138517119</c:v>
                </c:pt>
                <c:pt idx="98">
                  <c:v>0.82565243914665742</c:v>
                </c:pt>
                <c:pt idx="99">
                  <c:v>0.82662795910864195</c:v>
                </c:pt>
                <c:pt idx="100">
                  <c:v>0.83651293667442383</c:v>
                </c:pt>
                <c:pt idx="101">
                  <c:v>0.83499763986471431</c:v>
                </c:pt>
                <c:pt idx="102">
                  <c:v>0.8166715008562796</c:v>
                </c:pt>
                <c:pt idx="103">
                  <c:v>0.82733660287472466</c:v>
                </c:pt>
                <c:pt idx="104">
                  <c:v>0.82763972965838462</c:v>
                </c:pt>
                <c:pt idx="105">
                  <c:v>0.84077351566036929</c:v>
                </c:pt>
                <c:pt idx="106">
                  <c:v>0.86003941865040157</c:v>
                </c:pt>
                <c:pt idx="107">
                  <c:v>0.8775610328027702</c:v>
                </c:pt>
                <c:pt idx="108">
                  <c:v>0.81147805118549199</c:v>
                </c:pt>
                <c:pt idx="109">
                  <c:v>0.82128309304210934</c:v>
                </c:pt>
                <c:pt idx="110">
                  <c:v>0.85845401560083678</c:v>
                </c:pt>
                <c:pt idx="111">
                  <c:v>0.86943998270986256</c:v>
                </c:pt>
                <c:pt idx="112">
                  <c:v>0.89299223753831303</c:v>
                </c:pt>
                <c:pt idx="113">
                  <c:v>0.90719303538321228</c:v>
                </c:pt>
                <c:pt idx="114">
                  <c:v>0.89375925248231614</c:v>
                </c:pt>
                <c:pt idx="115">
                  <c:v>0.92588791893729372</c:v>
                </c:pt>
                <c:pt idx="116">
                  <c:v>0.94619023784376399</c:v>
                </c:pt>
              </c:numCache>
            </c:numRef>
          </c:val>
          <c:smooth val="0"/>
          <c:extLst>
            <c:ext xmlns:c16="http://schemas.microsoft.com/office/drawing/2014/chart" uri="{C3380CC4-5D6E-409C-BE32-E72D297353CC}">
              <c16:uniqueId val="{00000000-07C0-45EC-BFD4-B7DF09BCA706}"/>
            </c:ext>
          </c:extLst>
        </c:ser>
        <c:dLbls>
          <c:showLegendKey val="0"/>
          <c:showVal val="0"/>
          <c:showCatName val="0"/>
          <c:showSerName val="0"/>
          <c:showPercent val="0"/>
          <c:showBubbleSize val="0"/>
        </c:dLbls>
        <c:smooth val="0"/>
        <c:axId val="719350120"/>
        <c:axId val="719351432"/>
        <c:extLst/>
      </c:lineChart>
      <c:dateAx>
        <c:axId val="719350120"/>
        <c:scaling>
          <c:orientation val="minMax"/>
        </c:scaling>
        <c:delete val="0"/>
        <c:axPos val="b"/>
        <c:numFmt formatCode="mmm\-yyyy" sourceLinked="0"/>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900" b="0" i="0" u="none" strike="noStrike" kern="1200" baseline="0">
                <a:solidFill>
                  <a:schemeClr val="tx1"/>
                </a:solidFill>
                <a:latin typeface="Assistant" panose="00000500000000000000" pitchFamily="2" charset="-79"/>
                <a:ea typeface="+mn-ea"/>
                <a:cs typeface="Assistant" panose="00000500000000000000" pitchFamily="2" charset="-79"/>
              </a:defRPr>
            </a:pPr>
            <a:endParaRPr lang="he-IL"/>
          </a:p>
        </c:txPr>
        <c:crossAx val="719351432"/>
        <c:crosses val="autoZero"/>
        <c:auto val="0"/>
        <c:lblOffset val="100"/>
        <c:baseTimeUnit val="months"/>
        <c:majorUnit val="6"/>
        <c:majorTimeUnit val="months"/>
      </c:dateAx>
      <c:valAx>
        <c:axId val="719351432"/>
        <c:scaling>
          <c:orientation val="minMax"/>
          <c:max val="1.5"/>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ssistant" panose="00000500000000000000" pitchFamily="2" charset="-79"/>
                <a:ea typeface="+mn-ea"/>
                <a:cs typeface="Assistant" panose="00000500000000000000" pitchFamily="2" charset="-79"/>
              </a:defRPr>
            </a:pPr>
            <a:endParaRPr lang="he-IL"/>
          </a:p>
        </c:txPr>
        <c:crossAx val="719350120"/>
        <c:crosses val="autoZero"/>
        <c:crossBetween val="between"/>
      </c:valAx>
      <c:spPr>
        <a:noFill/>
        <a:ln>
          <a:noFill/>
        </a:ln>
        <a:effectLst/>
      </c:spPr>
    </c:plotArea>
    <c:legend>
      <c:legendPos val="t"/>
      <c:legendEntry>
        <c:idx val="0"/>
        <c:txPr>
          <a:bodyPr rot="0" spcFirstLastPara="1" vertOverflow="ellipsis" vert="horz" wrap="square" anchor="ctr" anchorCtr="1"/>
          <a:lstStyle/>
          <a:p>
            <a:pPr>
              <a:defRPr sz="900" b="0" i="0" u="none" strike="noStrike" kern="1200" baseline="0">
                <a:solidFill>
                  <a:schemeClr val="tx1"/>
                </a:solidFill>
                <a:latin typeface="+mn-lt"/>
                <a:ea typeface="+mn-ea"/>
                <a:cs typeface="David" panose="020E0502060401010101" pitchFamily="34" charset="-79"/>
              </a:defRPr>
            </a:pPr>
            <a:endParaRPr lang="he-IL"/>
          </a:p>
        </c:txPr>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David" panose="020E0502060401010101" pitchFamily="34" charset="-79"/>
              <a:ea typeface="+mn-ea"/>
              <a:cs typeface="David" panose="020E0502060401010101" pitchFamily="34" charset="-79"/>
            </a:defRPr>
          </a:pPr>
          <a:endParaRPr lang="he-IL"/>
        </a:p>
      </c:txPr>
    </c:legend>
    <c:plotVisOnly val="0"/>
    <c:dispBlanksAs val="span"/>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ssistant" panose="00000500000000000000" pitchFamily="2" charset="-79"/>
          <a:cs typeface="Assistant" panose="00000500000000000000" pitchFamily="2" charset="-79"/>
        </a:defRPr>
      </a:pPr>
      <a:endParaRPr lang="he-IL"/>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cdr:x>
      <cdr:y>0.89556</cdr:y>
    </cdr:from>
    <cdr:to>
      <cdr:x>1</cdr:x>
      <cdr:y>1</cdr:y>
    </cdr:to>
    <cdr:sp macro="" textlink="">
      <cdr:nvSpPr>
        <cdr:cNvPr id="2" name="TextBox 2"/>
        <cdr:cNvSpPr txBox="1"/>
      </cdr:nvSpPr>
      <cdr:spPr>
        <a:xfrm xmlns:a="http://schemas.openxmlformats.org/drawingml/2006/main">
          <a:off x="0" y="3651439"/>
          <a:ext cx="5668496" cy="425822"/>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1"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r" rtl="1"/>
          <a:r>
            <a:rPr lang="he-IL" sz="800" b="0" baseline="0" dirty="0">
              <a:latin typeface="+mn-lt"/>
              <a:cs typeface="David" panose="020E0502060401010101" pitchFamily="34" charset="-79"/>
            </a:rPr>
            <a:t>**הירידה ב</a:t>
          </a:r>
          <a:r>
            <a:rPr lang="en-US" sz="800" b="0" baseline="0" dirty="0">
              <a:latin typeface="+mn-lt"/>
              <a:cs typeface="David" panose="020E0502060401010101" pitchFamily="34" charset="-79"/>
            </a:rPr>
            <a:t>NPL</a:t>
          </a:r>
          <a:r>
            <a:rPr lang="he-IL" sz="800" b="0" baseline="0" dirty="0">
              <a:latin typeface="+mn-lt"/>
              <a:cs typeface="David" panose="020E0502060401010101" pitchFamily="34" charset="-79"/>
            </a:rPr>
            <a:t> באשראי צרכני בתחילת 2022 היתה בעקבות המעבר ל-</a:t>
          </a:r>
          <a:r>
            <a:rPr lang="en-US" sz="800" b="0" baseline="0" dirty="0">
              <a:latin typeface="+mn-lt"/>
              <a:cs typeface="David" panose="020E0502060401010101" pitchFamily="34" charset="-79"/>
            </a:rPr>
            <a:t>CECL</a:t>
          </a:r>
          <a:r>
            <a:rPr lang="he-IL" sz="800" b="0" baseline="0" dirty="0">
              <a:latin typeface="+mn-lt"/>
              <a:cs typeface="David" panose="020E0502060401010101" pitchFamily="34" charset="-79"/>
            </a:rPr>
            <a:t>. המעבר שקרה בחכ"א כשנה אחרי היה פחות משמעותי.</a:t>
          </a:r>
          <a:endParaRPr lang="en-US" sz="800" b="0" dirty="0">
            <a:latin typeface="+mn-lt"/>
            <a:cs typeface="David" panose="020E0502060401010101" pitchFamily="34" charset="-79"/>
          </a:endParaRPr>
        </a:p>
        <a:p xmlns:a="http://schemas.openxmlformats.org/drawingml/2006/main">
          <a:pPr algn="r" rtl="1"/>
          <a:r>
            <a:rPr lang="he-IL" sz="800" b="1" dirty="0">
              <a:latin typeface="+mn-lt"/>
              <a:cs typeface="David" panose="020E0502060401010101" pitchFamily="34" charset="-79"/>
            </a:rPr>
            <a:t>המקור: </a:t>
          </a:r>
          <a:r>
            <a:rPr lang="he-IL" sz="800" dirty="0">
              <a:latin typeface="+mn-lt"/>
              <a:cs typeface="David" panose="020E0502060401010101" pitchFamily="34" charset="-79"/>
            </a:rPr>
            <a:t>דוחות כספיים לציבור, דיווחים לפיקוח על הבנקים ועיבודי הפיקוח על הבנקים.</a:t>
          </a:r>
        </a:p>
      </cdr:txBody>
    </cdr:sp>
  </cdr:relSizeAnchor>
</c:userShape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972</Words>
  <Characters>5371</Characters>
  <Application>Microsoft Office Word</Application>
  <DocSecurity>0</DocSecurity>
  <Lines>99</Lines>
  <Paragraphs>38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2025-11-13T15:20:00Z</dcterms:created>
  <dcterms:modified xsi:type="dcterms:W3CDTF">2025-11-13T15:20:00Z</dcterms:modified>
</cp:coreProperties>
</file>