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bookmarkStart w:id="0" w:name="_GoBack"/>
      <w:bookmarkEnd w:id="0"/>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6FB67A5B" w:rsidR="007617BD" w:rsidRPr="00821CB5" w:rsidRDefault="00402669" w:rsidP="00402669">
      <w:pPr>
        <w:pStyle w:val="regpar"/>
        <w:jc w:val="right"/>
        <w:rPr>
          <w:rFonts w:ascii="Segoe UI" w:hAnsi="Segoe UI" w:cs="Segoe UI"/>
          <w:sz w:val="22"/>
          <w:szCs w:val="22"/>
        </w:rPr>
      </w:pPr>
      <w:r>
        <w:rPr>
          <w:rFonts w:ascii="Segoe UI" w:hAnsi="Segoe UI" w:cs="Segoe UI"/>
          <w:sz w:val="22"/>
          <w:szCs w:val="22"/>
        </w:rPr>
        <w:t>May 27</w:t>
      </w:r>
      <w:r w:rsidR="00821CB5" w:rsidRPr="00821CB5">
        <w:rPr>
          <w:rFonts w:ascii="Segoe UI" w:hAnsi="Segoe UI" w:cs="Segoe UI"/>
          <w:sz w:val="22"/>
          <w:szCs w:val="22"/>
        </w:rPr>
        <w:t>, 2026</w:t>
      </w:r>
    </w:p>
    <w:p w14:paraId="22D7AE78" w14:textId="3BEA9B84" w:rsidR="00F23C43" w:rsidRDefault="00F23C43" w:rsidP="00F23C43">
      <w:pPr>
        <w:pStyle w:val="regpar"/>
      </w:pPr>
    </w:p>
    <w:p w14:paraId="5CCBEFDA" w14:textId="77777777" w:rsidR="00402669" w:rsidRPr="00402669" w:rsidRDefault="00402669" w:rsidP="00402669">
      <w:pPr>
        <w:spacing w:before="100" w:beforeAutospacing="1" w:after="100" w:afterAutospacing="1" w:line="240" w:lineRule="auto"/>
        <w:jc w:val="center"/>
        <w:rPr>
          <w:rFonts w:ascii="Segoe UI" w:hAnsi="Segoe UI" w:cs="Segoe UI"/>
          <w:sz w:val="22"/>
          <w:szCs w:val="22"/>
        </w:rPr>
      </w:pPr>
      <w:r w:rsidRPr="00402669">
        <w:rPr>
          <w:rFonts w:ascii="Segoe UI" w:hAnsi="Segoe UI" w:cs="Segoe UI"/>
          <w:b/>
          <w:bCs/>
          <w:sz w:val="22"/>
          <w:szCs w:val="22"/>
        </w:rPr>
        <w:t>Contactless Cash Withdrawals at ATMs Using Cards and Digital Wallets</w:t>
      </w:r>
    </w:p>
    <w:p w14:paraId="16BD65F9" w14:textId="5DD77C4C" w:rsidR="00402669" w:rsidRPr="00402669" w:rsidRDefault="00402669" w:rsidP="00402669">
      <w:pPr>
        <w:spacing w:before="100" w:beforeAutospacing="1" w:after="100" w:afterAutospacing="1" w:line="240" w:lineRule="auto"/>
        <w:rPr>
          <w:rFonts w:ascii="Segoe UI" w:hAnsi="Segoe UI" w:cs="Segoe UI"/>
          <w:sz w:val="22"/>
          <w:szCs w:val="22"/>
        </w:rPr>
      </w:pPr>
      <w:r w:rsidRPr="00402669">
        <w:rPr>
          <w:rFonts w:ascii="Segoe UI" w:hAnsi="Segoe UI" w:cs="Segoe UI"/>
          <w:sz w:val="22"/>
          <w:szCs w:val="22"/>
        </w:rPr>
        <w:t xml:space="preserve">The Bank of Israel announces that, </w:t>
      </w:r>
      <w:r>
        <w:rPr>
          <w:rFonts w:ascii="Segoe UI" w:hAnsi="Segoe UI" w:cs="Segoe UI"/>
          <w:sz w:val="22"/>
          <w:szCs w:val="22"/>
        </w:rPr>
        <w:t xml:space="preserve">as part of the </w:t>
      </w:r>
      <w:r w:rsidRPr="00402669">
        <w:rPr>
          <w:rFonts w:ascii="Segoe UI" w:hAnsi="Segoe UI" w:cs="Segoe UI"/>
          <w:sz w:val="22"/>
          <w:szCs w:val="22"/>
        </w:rPr>
        <w:t>ATM</w:t>
      </w:r>
      <w:r>
        <w:rPr>
          <w:rFonts w:ascii="Segoe UI" w:hAnsi="Segoe UI" w:cs="Segoe UI"/>
          <w:sz w:val="22"/>
          <w:szCs w:val="22"/>
        </w:rPr>
        <w:t xml:space="preserve"> Committee’s deliberations</w:t>
      </w:r>
      <w:r w:rsidRPr="00402669">
        <w:rPr>
          <w:rFonts w:ascii="Segoe UI" w:hAnsi="Segoe UI" w:cs="Segoe UI"/>
          <w:sz w:val="22"/>
          <w:szCs w:val="22"/>
        </w:rPr>
        <w:t>, a framework has been approved for contactless cash withdrawals from automated teller machines (ATMs).</w:t>
      </w:r>
      <w:r>
        <w:rPr>
          <w:rStyle w:val="a6"/>
          <w:rFonts w:ascii="Segoe UI" w:hAnsi="Segoe UI" w:cs="Segoe UI"/>
        </w:rPr>
        <w:footnoteReference w:id="1"/>
      </w:r>
      <w:r w:rsidRPr="00402669">
        <w:rPr>
          <w:rFonts w:ascii="Segoe UI" w:hAnsi="Segoe UI" w:cs="Segoe UI"/>
          <w:sz w:val="22"/>
          <w:szCs w:val="22"/>
        </w:rPr>
        <w:t xml:space="preserve"> As part of the implementation of this framework, ATMs will gradually be upgraded to enable contactless cash withdrawals using payment cards and digital wallets. This move constitutes another important step in advancing efficiency and innovation in Israel’s payments </w:t>
      </w:r>
      <w:r>
        <w:rPr>
          <w:rFonts w:ascii="Segoe UI" w:hAnsi="Segoe UI" w:cs="Segoe UI"/>
          <w:sz w:val="22"/>
          <w:szCs w:val="22"/>
        </w:rPr>
        <w:t>array,</w:t>
      </w:r>
      <w:r w:rsidRPr="00402669">
        <w:rPr>
          <w:rFonts w:ascii="Segoe UI" w:hAnsi="Segoe UI" w:cs="Segoe UI"/>
          <w:sz w:val="22"/>
          <w:szCs w:val="22"/>
        </w:rPr>
        <w:t xml:space="preserve"> and is expected to improve the user experience and broaden public access to the service.</w:t>
      </w:r>
    </w:p>
    <w:p w14:paraId="7AFDCAE2" w14:textId="77777777" w:rsidR="00402669" w:rsidRPr="00402669" w:rsidRDefault="00402669" w:rsidP="00402669">
      <w:pPr>
        <w:spacing w:before="100" w:beforeAutospacing="1" w:after="100" w:afterAutospacing="1" w:line="240" w:lineRule="auto"/>
        <w:rPr>
          <w:rFonts w:ascii="Segoe UI" w:hAnsi="Segoe UI" w:cs="Segoe UI"/>
          <w:sz w:val="22"/>
          <w:szCs w:val="22"/>
        </w:rPr>
      </w:pPr>
      <w:r w:rsidRPr="00402669">
        <w:rPr>
          <w:rFonts w:ascii="Segoe UI" w:hAnsi="Segoe UI" w:cs="Segoe UI"/>
          <w:sz w:val="22"/>
          <w:szCs w:val="22"/>
        </w:rPr>
        <w:t>At present, cash withdrawals from ATMs are carried out by inserting a payment card into the machine’s card reader. Following the implementation of the new framework, withdrawals will also be possible on a contactless basis and through digital wallets.</w:t>
      </w:r>
    </w:p>
    <w:p w14:paraId="755D409A" w14:textId="77777777" w:rsidR="00402669" w:rsidRPr="00402669" w:rsidRDefault="00402669" w:rsidP="00402669">
      <w:pPr>
        <w:spacing w:before="100" w:beforeAutospacing="1" w:after="100" w:afterAutospacing="1" w:line="240" w:lineRule="auto"/>
        <w:rPr>
          <w:rFonts w:ascii="Segoe UI" w:hAnsi="Segoe UI" w:cs="Segoe UI"/>
          <w:sz w:val="22"/>
          <w:szCs w:val="22"/>
        </w:rPr>
      </w:pPr>
      <w:r w:rsidRPr="00402669">
        <w:rPr>
          <w:rFonts w:ascii="Segoe UI" w:hAnsi="Segoe UI" w:cs="Segoe UI"/>
          <w:sz w:val="22"/>
          <w:szCs w:val="22"/>
        </w:rPr>
        <w:t>According to the framework that has been adopted, implementation will take place in three stages:</w:t>
      </w:r>
    </w:p>
    <w:p w14:paraId="15844191" w14:textId="77777777" w:rsidR="00402669" w:rsidRPr="00402669" w:rsidRDefault="00402669" w:rsidP="00402669">
      <w:pPr>
        <w:spacing w:before="100" w:beforeAutospacing="1" w:after="100" w:afterAutospacing="1" w:line="240" w:lineRule="auto"/>
        <w:rPr>
          <w:rFonts w:ascii="Segoe UI" w:hAnsi="Segoe UI" w:cs="Segoe UI"/>
          <w:sz w:val="22"/>
          <w:szCs w:val="22"/>
        </w:rPr>
      </w:pPr>
      <w:r w:rsidRPr="00402669">
        <w:rPr>
          <w:rFonts w:ascii="Segoe UI" w:hAnsi="Segoe UI" w:cs="Segoe UI"/>
          <w:sz w:val="22"/>
          <w:szCs w:val="22"/>
        </w:rPr>
        <w:t xml:space="preserve">In the </w:t>
      </w:r>
      <w:r w:rsidRPr="00402669">
        <w:rPr>
          <w:rFonts w:ascii="Segoe UI" w:hAnsi="Segoe UI" w:cs="Segoe UI"/>
          <w:b/>
          <w:bCs/>
          <w:sz w:val="22"/>
          <w:szCs w:val="22"/>
        </w:rPr>
        <w:t>first stage</w:t>
      </w:r>
      <w:r w:rsidRPr="00402669">
        <w:rPr>
          <w:rFonts w:ascii="Segoe UI" w:hAnsi="Segoe UI" w:cs="Segoe UI"/>
          <w:sz w:val="22"/>
          <w:szCs w:val="22"/>
        </w:rPr>
        <w:t>, through July 2027, contactless withdrawals will be enabled at ATMs that support the required technology, at the bank where the customer’s account is held. Subsequently, through December 2027, interoperable contactless withdrawals will be enabled for all cardholders at any ATM that supports the required technology, regardless of the bank at which the customer’s account is held.</w:t>
      </w:r>
    </w:p>
    <w:p w14:paraId="0DD427A1" w14:textId="77777777" w:rsidR="00402669" w:rsidRPr="00402669" w:rsidRDefault="00402669" w:rsidP="00402669">
      <w:pPr>
        <w:spacing w:before="100" w:beforeAutospacing="1" w:after="100" w:afterAutospacing="1" w:line="240" w:lineRule="auto"/>
        <w:rPr>
          <w:rFonts w:ascii="Segoe UI" w:hAnsi="Segoe UI" w:cs="Segoe UI"/>
          <w:sz w:val="22"/>
          <w:szCs w:val="22"/>
        </w:rPr>
      </w:pPr>
      <w:r w:rsidRPr="00402669">
        <w:rPr>
          <w:rFonts w:ascii="Segoe UI" w:hAnsi="Segoe UI" w:cs="Segoe UI"/>
          <w:sz w:val="22"/>
          <w:szCs w:val="22"/>
        </w:rPr>
        <w:t xml:space="preserve">In the </w:t>
      </w:r>
      <w:r w:rsidRPr="00402669">
        <w:rPr>
          <w:rFonts w:ascii="Segoe UI" w:hAnsi="Segoe UI" w:cs="Segoe UI"/>
          <w:b/>
          <w:bCs/>
          <w:sz w:val="22"/>
          <w:szCs w:val="22"/>
        </w:rPr>
        <w:t>second stage</w:t>
      </w:r>
      <w:r w:rsidRPr="00402669">
        <w:rPr>
          <w:rFonts w:ascii="Segoe UI" w:hAnsi="Segoe UI" w:cs="Segoe UI"/>
          <w:sz w:val="22"/>
          <w:szCs w:val="22"/>
        </w:rPr>
        <w:t>, beginning in June 2027, no new ATMs that do not support contactless cash withdrawals will be installed.</w:t>
      </w:r>
    </w:p>
    <w:p w14:paraId="1F00F7B3" w14:textId="77777777" w:rsidR="00402669" w:rsidRPr="00402669" w:rsidRDefault="00402669" w:rsidP="00402669">
      <w:pPr>
        <w:spacing w:before="100" w:beforeAutospacing="1" w:after="100" w:afterAutospacing="1" w:line="240" w:lineRule="auto"/>
        <w:rPr>
          <w:rFonts w:ascii="Segoe UI" w:hAnsi="Segoe UI" w:cs="Segoe UI"/>
          <w:sz w:val="22"/>
          <w:szCs w:val="22"/>
        </w:rPr>
      </w:pPr>
      <w:r w:rsidRPr="00402669">
        <w:rPr>
          <w:rFonts w:ascii="Segoe UI" w:hAnsi="Segoe UI" w:cs="Segoe UI"/>
          <w:sz w:val="22"/>
          <w:szCs w:val="22"/>
        </w:rPr>
        <w:t xml:space="preserve">In the </w:t>
      </w:r>
      <w:r w:rsidRPr="00402669">
        <w:rPr>
          <w:rFonts w:ascii="Segoe UI" w:hAnsi="Segoe UI" w:cs="Segoe UI"/>
          <w:b/>
          <w:bCs/>
          <w:sz w:val="22"/>
          <w:szCs w:val="22"/>
        </w:rPr>
        <w:t>third stage</w:t>
      </w:r>
      <w:r w:rsidRPr="00402669">
        <w:rPr>
          <w:rFonts w:ascii="Segoe UI" w:hAnsi="Segoe UI" w:cs="Segoe UI"/>
          <w:sz w:val="22"/>
          <w:szCs w:val="22"/>
        </w:rPr>
        <w:t>, by the end of 2030, all ATMs will be upgraded to enable contactless cash withdrawals.</w:t>
      </w:r>
    </w:p>
    <w:p w14:paraId="4946F521" w14:textId="3C673DA7" w:rsidR="00C6484A" w:rsidRPr="008503B3" w:rsidRDefault="00402669" w:rsidP="00402669">
      <w:pPr>
        <w:spacing w:before="100" w:beforeAutospacing="1" w:after="100" w:afterAutospacing="1" w:line="240" w:lineRule="auto"/>
        <w:rPr>
          <w:rFonts w:ascii="Segoe UI" w:hAnsi="Segoe UI" w:cs="Segoe UI"/>
          <w:sz w:val="22"/>
          <w:szCs w:val="22"/>
        </w:rPr>
      </w:pPr>
      <w:proofErr w:type="spellStart"/>
      <w:r w:rsidRPr="00402669">
        <w:rPr>
          <w:rFonts w:ascii="Segoe UI" w:hAnsi="Segoe UI" w:cs="Segoe UI"/>
          <w:sz w:val="22"/>
          <w:szCs w:val="22"/>
        </w:rPr>
        <w:t>Ofer</w:t>
      </w:r>
      <w:proofErr w:type="spellEnd"/>
      <w:r w:rsidRPr="00402669">
        <w:rPr>
          <w:rFonts w:ascii="Segoe UI" w:hAnsi="Segoe UI" w:cs="Segoe UI"/>
          <w:sz w:val="22"/>
          <w:szCs w:val="22"/>
        </w:rPr>
        <w:t xml:space="preserve"> Golan, Director of the </w:t>
      </w:r>
      <w:r>
        <w:rPr>
          <w:rFonts w:ascii="Segoe UI" w:hAnsi="Segoe UI" w:cs="Segoe UI"/>
          <w:sz w:val="22"/>
          <w:szCs w:val="22"/>
        </w:rPr>
        <w:t xml:space="preserve">Bank of Israel’s </w:t>
      </w:r>
      <w:r w:rsidRPr="00402669">
        <w:rPr>
          <w:rFonts w:ascii="Segoe UI" w:hAnsi="Segoe UI" w:cs="Segoe UI"/>
          <w:sz w:val="22"/>
          <w:szCs w:val="22"/>
        </w:rPr>
        <w:t xml:space="preserve">Payment and </w:t>
      </w:r>
      <w:r>
        <w:rPr>
          <w:rFonts w:ascii="Segoe UI" w:hAnsi="Segoe UI" w:cs="Segoe UI"/>
          <w:sz w:val="22"/>
          <w:szCs w:val="22"/>
        </w:rPr>
        <w:t>Settlement Systems</w:t>
      </w:r>
      <w:r w:rsidRPr="00402669">
        <w:rPr>
          <w:rFonts w:ascii="Segoe UI" w:hAnsi="Segoe UI" w:cs="Segoe UI"/>
          <w:sz w:val="22"/>
          <w:szCs w:val="22"/>
        </w:rPr>
        <w:t xml:space="preserve"> Department, said:</w:t>
      </w:r>
      <w:r>
        <w:rPr>
          <w:rFonts w:ascii="Segoe UI" w:hAnsi="Segoe UI" w:cs="Segoe UI"/>
          <w:sz w:val="22"/>
          <w:szCs w:val="22"/>
        </w:rPr>
        <w:t xml:space="preserve"> </w:t>
      </w:r>
      <w:r w:rsidRPr="00402669">
        <w:rPr>
          <w:rFonts w:ascii="Segoe UI" w:hAnsi="Segoe UI" w:cs="Segoe UI"/>
          <w:sz w:val="22"/>
          <w:szCs w:val="22"/>
        </w:rPr>
        <w:t xml:space="preserve">“This is another step forward and a significant milestone in strengthening efficiency and innovation in the payments </w:t>
      </w:r>
      <w:r>
        <w:rPr>
          <w:rFonts w:ascii="Segoe UI" w:hAnsi="Segoe UI" w:cs="Segoe UI"/>
          <w:sz w:val="22"/>
          <w:szCs w:val="22"/>
        </w:rPr>
        <w:t>array</w:t>
      </w:r>
      <w:r w:rsidRPr="00402669">
        <w:rPr>
          <w:rFonts w:ascii="Segoe UI" w:hAnsi="Segoe UI" w:cs="Segoe UI"/>
          <w:sz w:val="22"/>
          <w:szCs w:val="22"/>
        </w:rPr>
        <w:t xml:space="preserve">. </w:t>
      </w:r>
      <w:r>
        <w:rPr>
          <w:rFonts w:ascii="Segoe UI" w:hAnsi="Segoe UI" w:cs="Segoe UI"/>
          <w:sz w:val="22"/>
          <w:szCs w:val="22"/>
        </w:rPr>
        <w:t>C</w:t>
      </w:r>
      <w:r w:rsidRPr="00402669">
        <w:rPr>
          <w:rFonts w:ascii="Segoe UI" w:hAnsi="Segoe UI" w:cs="Segoe UI"/>
          <w:sz w:val="22"/>
          <w:szCs w:val="22"/>
        </w:rPr>
        <w:t>ontactless withdrawals</w:t>
      </w:r>
      <w:r>
        <w:rPr>
          <w:rFonts w:ascii="Segoe UI" w:hAnsi="Segoe UI" w:cs="Segoe UI"/>
          <w:sz w:val="22"/>
          <w:szCs w:val="22"/>
        </w:rPr>
        <w:t xml:space="preserve"> are</w:t>
      </w:r>
      <w:r w:rsidRPr="00402669">
        <w:rPr>
          <w:rFonts w:ascii="Segoe UI" w:hAnsi="Segoe UI" w:cs="Segoe UI"/>
          <w:sz w:val="22"/>
          <w:szCs w:val="22"/>
        </w:rPr>
        <w:t xml:space="preserve"> expected to improve the level of service provided to the public and offer a more advanced, convenient, and accessible user experience. This move reflects the Bank of Israel’s commitment to the continuous improvement of Israel’s payments </w:t>
      </w:r>
      <w:r>
        <w:rPr>
          <w:rFonts w:ascii="Segoe UI" w:hAnsi="Segoe UI" w:cs="Segoe UI"/>
          <w:sz w:val="22"/>
          <w:szCs w:val="22"/>
        </w:rPr>
        <w:t>array</w:t>
      </w:r>
      <w:r w:rsidRPr="00402669">
        <w:rPr>
          <w:rFonts w:ascii="Segoe UI" w:hAnsi="Segoe UI" w:cs="Segoe UI"/>
          <w:sz w:val="22"/>
          <w:szCs w:val="22"/>
        </w:rPr>
        <w:t xml:space="preserve"> and to adapting it to an advanced technological environment.”</w:t>
      </w:r>
      <w:r w:rsidRPr="00402669">
        <w:rPr>
          <w:rFonts w:ascii="Segoe UI" w:hAnsi="Segoe UI" w:cs="Segoe UI"/>
          <w:sz w:val="21"/>
          <w:szCs w:val="21"/>
        </w:rPr>
        <w:t> </w:t>
      </w:r>
    </w:p>
    <w:sectPr w:rsidR="00C6484A" w:rsidRPr="008503B3" w:rsidSect="00402669">
      <w:headerReference w:type="default" r:id="rId12"/>
      <w:endnotePr>
        <w:numFmt w:val="hebrew2"/>
      </w:endnotePr>
      <w:pgSz w:w="11880" w:h="16820"/>
      <w:pgMar w:top="426"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64A33" w14:textId="77777777" w:rsidR="00E9646B" w:rsidRDefault="00E9646B">
      <w:pPr>
        <w:spacing w:line="240" w:lineRule="auto"/>
      </w:pPr>
      <w:r>
        <w:separator/>
      </w:r>
    </w:p>
  </w:endnote>
  <w:endnote w:type="continuationSeparator" w:id="0">
    <w:p w14:paraId="627602F6" w14:textId="77777777" w:rsidR="00E9646B" w:rsidRDefault="00E96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A5E19" w14:textId="77777777" w:rsidR="00E9646B" w:rsidRDefault="00E9646B">
      <w:pPr>
        <w:spacing w:line="160" w:lineRule="exact"/>
      </w:pPr>
    </w:p>
  </w:footnote>
  <w:footnote w:type="continuationSeparator" w:id="0">
    <w:p w14:paraId="230196D5" w14:textId="77777777" w:rsidR="00E9646B" w:rsidRDefault="00E9646B">
      <w:pPr>
        <w:pStyle w:val="rule"/>
      </w:pPr>
      <w:r>
        <w:t>–––––––––––––––––––––––––––</w:t>
      </w:r>
    </w:p>
    <w:p w14:paraId="0F042374" w14:textId="77777777" w:rsidR="00E9646B" w:rsidRDefault="00E9646B">
      <w:pPr>
        <w:pStyle w:val="noteseparator"/>
      </w:pPr>
    </w:p>
  </w:footnote>
  <w:footnote w:id="1">
    <w:p w14:paraId="260A8273" w14:textId="4B0E2C64" w:rsidR="00402669" w:rsidRPr="003E114B" w:rsidRDefault="00402669">
      <w:pPr>
        <w:pStyle w:val="a7"/>
        <w:rPr>
          <w:rFonts w:ascii="Segoe UI" w:hAnsi="Segoe UI" w:cs="Segoe UI"/>
          <w:sz w:val="18"/>
          <w:szCs w:val="18"/>
        </w:rPr>
      </w:pPr>
      <w:r w:rsidRPr="003E114B">
        <w:rPr>
          <w:rStyle w:val="a6"/>
          <w:rFonts w:ascii="Segoe UI" w:hAnsi="Segoe UI" w:cs="Segoe UI"/>
          <w:sz w:val="18"/>
          <w:szCs w:val="18"/>
        </w:rPr>
        <w:footnoteRef/>
      </w:r>
      <w:r w:rsidRPr="003E114B">
        <w:rPr>
          <w:rFonts w:ascii="Segoe UI" w:hAnsi="Segoe UI" w:cs="Segoe UI"/>
          <w:sz w:val="18"/>
          <w:szCs w:val="18"/>
        </w:rPr>
        <w:t xml:space="preserve"> </w:t>
      </w:r>
      <w:r w:rsidRPr="003E114B">
        <w:rPr>
          <w:rFonts w:ascii="Segoe UI" w:hAnsi="Segoe UI" w:cs="Segoe UI"/>
          <w:b/>
          <w:bCs/>
          <w:sz w:val="18"/>
          <w:szCs w:val="18"/>
        </w:rPr>
        <w:t>The ATM Committee</w:t>
      </w:r>
      <w:r w:rsidRPr="00402669">
        <w:rPr>
          <w:rFonts w:ascii="Segoe UI" w:hAnsi="Segoe UI" w:cs="Segoe UI"/>
          <w:sz w:val="18"/>
          <w:szCs w:val="18"/>
        </w:rPr>
        <w:t xml:space="preserve"> is a platform that brings together all relevant participants in the cash withdrawal market. It convenes to discuss professional and technological issues relating to operating methods and the rules governing interactions among the various participants in the cash withdrawal ecosystem, with the aim of enhancing efficiency and competition while maintaining stability.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3086"/>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E114B"/>
    <w:rsid w:val="003F360E"/>
    <w:rsid w:val="00402669"/>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307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9646B"/>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516818557">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 w:id="19577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0627D-2A62-4EDB-BE97-7F326732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1906</Characters>
  <Application>Microsoft Office Word</Application>
  <DocSecurity>4</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2026-05-31T10:25:00Z</dcterms:created>
  <dcterms:modified xsi:type="dcterms:W3CDTF">2026-05-31T10:25:00Z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