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55D109" w14:textId="77777777" w:rsidR="00650B9A" w:rsidRDefault="00376976" w:rsidP="00A60E0E">
      <w:pPr>
        <w:pStyle w:val="regpar"/>
        <w:spacing w:line="300" w:lineRule="atLeast"/>
        <w:ind w:firstLine="0"/>
        <w:jc w:val="center"/>
        <w:rPr>
          <w:rFonts w:ascii="Times New Roman" w:hAnsi="Times New Roman" w:cs="David"/>
          <w:bCs/>
        </w:rPr>
      </w:pPr>
      <w:r>
        <w:rPr>
          <w:rFonts w:ascii="Times New Roman" w:hAnsi="Times New Roman" w:cs="David"/>
          <w:bCs/>
          <w:noProof/>
        </w:rPr>
        <w:drawing>
          <wp:inline distT="0" distB="0" distL="0" distR="0" wp14:anchorId="7041EF71" wp14:editId="2C8BB092">
            <wp:extent cx="1293830" cy="1293830"/>
            <wp:effectExtent l="0" t="0" r="0" b="0"/>
            <wp:docPr id="1" name="תמונה 1" descr="C:\Users\z862\AppData\Local\Microsoft\Windows\Temporary Internet Files\Content.Outlook\M6E9SVHT\Logo Bank of Israel 2 color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z862\AppData\Local\Microsoft\Windows\Temporary Internet Files\Content.Outlook\M6E9SVHT\Logo Bank of Israel 2 color (2).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04898" cy="1304898"/>
                    </a:xfrm>
                    <a:prstGeom prst="rect">
                      <a:avLst/>
                    </a:prstGeom>
                    <a:noFill/>
                    <a:ln>
                      <a:noFill/>
                    </a:ln>
                  </pic:spPr>
                </pic:pic>
              </a:graphicData>
            </a:graphic>
          </wp:inline>
        </w:drawing>
      </w:r>
    </w:p>
    <w:p w14:paraId="27414CD8" w14:textId="77777777" w:rsidR="00650B9A" w:rsidRPr="00000A06" w:rsidRDefault="00650B9A" w:rsidP="00A60E0E">
      <w:pPr>
        <w:pStyle w:val="regpar"/>
        <w:spacing w:line="300" w:lineRule="atLeast"/>
        <w:ind w:firstLine="0"/>
        <w:jc w:val="center"/>
        <w:rPr>
          <w:rFonts w:ascii="Times New Roman" w:hAnsi="Times New Roman" w:cs="David"/>
          <w:bCs/>
        </w:rPr>
      </w:pPr>
      <w:r w:rsidRPr="00000A06">
        <w:rPr>
          <w:rFonts w:ascii="Times New Roman" w:hAnsi="Times New Roman" w:cs="David"/>
          <w:bCs/>
        </w:rPr>
        <w:t>BANK OF ISRAEL</w:t>
      </w:r>
    </w:p>
    <w:p w14:paraId="0F2DB6A4" w14:textId="77777777" w:rsidR="00650B9A" w:rsidRDefault="00650B9A" w:rsidP="0009048D">
      <w:pPr>
        <w:pStyle w:val="regpar"/>
        <w:spacing w:line="300" w:lineRule="atLeast"/>
        <w:ind w:firstLine="0"/>
        <w:jc w:val="center"/>
        <w:rPr>
          <w:rFonts w:ascii="Times New Roman" w:hAnsi="Times New Roman" w:cs="Times New Roman"/>
        </w:rPr>
      </w:pPr>
      <w:r w:rsidRPr="00000A06">
        <w:rPr>
          <w:rFonts w:ascii="Times New Roman" w:hAnsi="Times New Roman" w:cs="Times New Roman"/>
        </w:rPr>
        <w:t xml:space="preserve">Office of the </w:t>
      </w:r>
      <w:r w:rsidR="0009048D">
        <w:rPr>
          <w:rFonts w:ascii="Times New Roman" w:hAnsi="Times New Roman" w:cs="Times New Roman" w:hint="cs"/>
        </w:rPr>
        <w:t>S</w:t>
      </w:r>
      <w:r w:rsidR="0009048D">
        <w:rPr>
          <w:rFonts w:ascii="Times New Roman" w:hAnsi="Times New Roman" w:cs="Times New Roman"/>
        </w:rPr>
        <w:t>pokesperson and Economic Information</w:t>
      </w:r>
    </w:p>
    <w:p w14:paraId="67C45F95" w14:textId="77777777" w:rsidR="0009048D" w:rsidRDefault="0009048D" w:rsidP="0009048D">
      <w:pPr>
        <w:pStyle w:val="regpar"/>
        <w:spacing w:line="300" w:lineRule="atLeast"/>
        <w:ind w:firstLine="0"/>
        <w:jc w:val="center"/>
        <w:rPr>
          <w:rFonts w:ascii="Times New Roman" w:hAnsi="Times New Roman" w:cs="Times New Roman"/>
        </w:rPr>
      </w:pPr>
    </w:p>
    <w:p w14:paraId="7393C532" w14:textId="77777777" w:rsidR="0009048D" w:rsidRDefault="0009048D" w:rsidP="0009048D">
      <w:pPr>
        <w:pStyle w:val="regpar"/>
        <w:spacing w:line="300" w:lineRule="atLeast"/>
        <w:ind w:firstLine="0"/>
        <w:jc w:val="center"/>
        <w:rPr>
          <w:rFonts w:ascii="Times New Roman" w:hAnsi="Times New Roman" w:cs="Times New Roman"/>
        </w:rPr>
      </w:pPr>
      <w:r>
        <w:rPr>
          <w:rFonts w:ascii="Times New Roman" w:hAnsi="Times New Roman" w:cs="Times New Roman"/>
        </w:rPr>
        <w:t>Press release</w:t>
      </w:r>
    </w:p>
    <w:p w14:paraId="070108DA" w14:textId="77777777" w:rsidR="00DD0AB5" w:rsidRPr="00000A06" w:rsidRDefault="00DD0AB5" w:rsidP="00A60E0E">
      <w:pPr>
        <w:pStyle w:val="regpar"/>
        <w:spacing w:line="300" w:lineRule="atLeast"/>
        <w:ind w:firstLine="0"/>
        <w:jc w:val="center"/>
        <w:rPr>
          <w:rFonts w:ascii="Times New Roman" w:hAnsi="Times New Roman" w:cs="Times New Roman"/>
          <w:b/>
        </w:rPr>
      </w:pPr>
    </w:p>
    <w:p w14:paraId="4DBD4612" w14:textId="77777777" w:rsidR="007617BD" w:rsidRDefault="00D5403A" w:rsidP="00DA6F1C">
      <w:pPr>
        <w:pStyle w:val="regpar"/>
        <w:jc w:val="right"/>
      </w:pPr>
      <w:r>
        <w:t>February 8,</w:t>
      </w:r>
      <w:r w:rsidR="00D6747A">
        <w:t xml:space="preserve"> 2022</w:t>
      </w:r>
    </w:p>
    <w:p w14:paraId="71360730" w14:textId="77777777" w:rsidR="00F23C43" w:rsidRDefault="00F23C43" w:rsidP="00F23C43">
      <w:pPr>
        <w:pStyle w:val="regpar"/>
      </w:pPr>
    </w:p>
    <w:p w14:paraId="40BEB6CC" w14:textId="77777777" w:rsidR="00F23C43" w:rsidRPr="007617BD" w:rsidRDefault="00F23C43" w:rsidP="00F23C43">
      <w:pPr>
        <w:pStyle w:val="regpar"/>
      </w:pPr>
    </w:p>
    <w:p w14:paraId="6F777B69" w14:textId="77777777" w:rsidR="00A2557F" w:rsidRDefault="00D5403A" w:rsidP="009341F4">
      <w:pPr>
        <w:pStyle w:val="regpar"/>
        <w:ind w:firstLine="0"/>
        <w:jc w:val="center"/>
        <w:rPr>
          <w:b/>
          <w:bCs/>
          <w:sz w:val="26"/>
          <w:szCs w:val="26"/>
        </w:rPr>
      </w:pPr>
      <w:r>
        <w:rPr>
          <w:b/>
          <w:bCs/>
          <w:sz w:val="26"/>
          <w:szCs w:val="26"/>
        </w:rPr>
        <w:t>New Bank of Israel study: Creditor rights, implicit covenants, and the quality of accounting information</w:t>
      </w:r>
    </w:p>
    <w:p w14:paraId="55C65A0A" w14:textId="77777777" w:rsidR="00940505" w:rsidRDefault="00940505" w:rsidP="00940505">
      <w:pPr>
        <w:pStyle w:val="regpar"/>
        <w:ind w:firstLine="0"/>
        <w:jc w:val="left"/>
        <w:rPr>
          <w:b/>
          <w:bCs/>
          <w:sz w:val="26"/>
          <w:szCs w:val="26"/>
        </w:rPr>
      </w:pPr>
    </w:p>
    <w:p w14:paraId="357904E1" w14:textId="77777777" w:rsidR="00634A22" w:rsidRDefault="00636566" w:rsidP="00D5403A">
      <w:pPr>
        <w:pStyle w:val="regpar"/>
        <w:numPr>
          <w:ilvl w:val="0"/>
          <w:numId w:val="12"/>
        </w:numPr>
        <w:ind w:left="426"/>
      </w:pPr>
      <w:r>
        <w:t xml:space="preserve">The </w:t>
      </w:r>
      <w:r w:rsidR="00D5403A">
        <w:t xml:space="preserve">study examines the effect of a precedent ruling from 2013 that granted power to creditors to force insolvency proceedings on </w:t>
      </w:r>
      <w:r w:rsidR="001E13DF">
        <w:t>firms</w:t>
      </w:r>
      <w:r w:rsidR="00D5403A">
        <w:t xml:space="preserve"> whose value of assets is lower than the value of their liabilities, even in the absence of an explicit covenant on the bond’s debt certificate.</w:t>
      </w:r>
    </w:p>
    <w:p w14:paraId="7EBCFE02" w14:textId="0CE5A7D5" w:rsidR="00D5403A" w:rsidRDefault="00D5403A" w:rsidP="002771FF">
      <w:pPr>
        <w:pStyle w:val="regpar"/>
        <w:numPr>
          <w:ilvl w:val="0"/>
          <w:numId w:val="12"/>
        </w:numPr>
        <w:ind w:left="426"/>
      </w:pPr>
      <w:r>
        <w:t xml:space="preserve">Based on the market’s response, the study </w:t>
      </w:r>
      <w:r w:rsidR="009E35EB">
        <w:t>found</w:t>
      </w:r>
      <w:r>
        <w:t xml:space="preserve"> that the ruling, which makes it possible to force debt restructuring at an earlier stage, when the company is still in a relatively benign </w:t>
      </w:r>
      <w:proofErr w:type="gramStart"/>
      <w:r>
        <w:t>state</w:t>
      </w:r>
      <w:proofErr w:type="gramEnd"/>
      <w:r>
        <w:t xml:space="preserve">, was beneficial to bondholders (creditors) at the expense of shareholders.  The study also </w:t>
      </w:r>
      <w:r w:rsidR="001E13DF">
        <w:t>found</w:t>
      </w:r>
      <w:r>
        <w:t xml:space="preserve"> that the net value of </w:t>
      </w:r>
      <w:r w:rsidR="001E13DF">
        <w:t>firms</w:t>
      </w:r>
      <w:r>
        <w:t xml:space="preserve"> in </w:t>
      </w:r>
      <w:r w:rsidR="001E13DF">
        <w:t>distress</w:t>
      </w:r>
      <w:r>
        <w:t xml:space="preserve"> that were affected by the ruling increased relative to other </w:t>
      </w:r>
      <w:r w:rsidR="001E13DF">
        <w:t>firms</w:t>
      </w:r>
      <w:r>
        <w:t xml:space="preserve">.  There are indications that </w:t>
      </w:r>
      <w:r w:rsidR="001E13DF">
        <w:t>firms</w:t>
      </w:r>
      <w:r>
        <w:t xml:space="preserve"> in </w:t>
      </w:r>
      <w:r w:rsidR="001E13DF">
        <w:t>distress</w:t>
      </w:r>
      <w:r>
        <w:t xml:space="preserve"> that were affected by the ruling raised more capital, but it seems that some of them also </w:t>
      </w:r>
      <w:r w:rsidR="002771FF">
        <w:t xml:space="preserve">increased </w:t>
      </w:r>
      <w:r>
        <w:t xml:space="preserve">their value by using aggressive accounting.  As a result, the financial statements of these </w:t>
      </w:r>
      <w:r w:rsidR="001E13DF">
        <w:t>firms</w:t>
      </w:r>
      <w:r>
        <w:t xml:space="preserve"> provide less credible information to investors.</w:t>
      </w:r>
    </w:p>
    <w:p w14:paraId="33697D80" w14:textId="4FEDF1E7" w:rsidR="00D5403A" w:rsidRPr="009E35EB" w:rsidRDefault="00D5403A" w:rsidP="00A40088">
      <w:pPr>
        <w:pStyle w:val="regpar"/>
        <w:numPr>
          <w:ilvl w:val="0"/>
          <w:numId w:val="12"/>
        </w:numPr>
        <w:ind w:left="426"/>
      </w:pPr>
      <w:r>
        <w:t xml:space="preserve">This is the first study that examines the impact of an increase in creditors’ ability to force </w:t>
      </w:r>
      <w:r w:rsidR="001E13DF">
        <w:t>firms</w:t>
      </w:r>
      <w:r>
        <w:t xml:space="preserve"> </w:t>
      </w:r>
      <w:r w:rsidR="002D381A">
        <w:t>into</w:t>
      </w:r>
      <w:r>
        <w:t xml:space="preserve"> debt restructuring, and is unique in it</w:t>
      </w:r>
      <w:r w:rsidR="009E35EB">
        <w:t>s</w:t>
      </w:r>
      <w:r>
        <w:t xml:space="preserve"> focus on the impact of creditors’ rights on the quality of </w:t>
      </w:r>
      <w:r w:rsidR="001E13DF">
        <w:t>firms</w:t>
      </w:r>
      <w:r>
        <w:t xml:space="preserve">’ financial reporting and accounting </w:t>
      </w:r>
      <w:r w:rsidR="001E13DF">
        <w:t>policies</w:t>
      </w:r>
      <w:r w:rsidRPr="009E35EB">
        <w:t>.  The findings show that</w:t>
      </w:r>
      <w:r w:rsidR="009E35EB" w:rsidRPr="009E35EB">
        <w:t xml:space="preserve"> </w:t>
      </w:r>
      <w:r w:rsidR="001E13DF">
        <w:t>firms</w:t>
      </w:r>
      <w:r w:rsidR="009E35EB" w:rsidRPr="009E35EB">
        <w:t xml:space="preserve">’ </w:t>
      </w:r>
      <w:r w:rsidR="00327581">
        <w:t>reactions</w:t>
      </w:r>
      <w:r w:rsidR="00327581" w:rsidRPr="009E35EB">
        <w:t xml:space="preserve"> </w:t>
      </w:r>
      <w:r w:rsidR="009E35EB" w:rsidRPr="009E35EB">
        <w:t>to</w:t>
      </w:r>
      <w:r w:rsidRPr="009E35EB">
        <w:t xml:space="preserve"> </w:t>
      </w:r>
      <w:r w:rsidR="009E35EB" w:rsidRPr="009E35EB">
        <w:t>changes that are intended to increase creditors’</w:t>
      </w:r>
      <w:r w:rsidRPr="009E35EB">
        <w:t xml:space="preserve"> rights in certain situations</w:t>
      </w:r>
      <w:r w:rsidR="009E35EB" w:rsidRPr="009E35EB">
        <w:t xml:space="preserve"> </w:t>
      </w:r>
      <w:r w:rsidRPr="009E35EB">
        <w:t xml:space="preserve">may </w:t>
      </w:r>
      <w:r w:rsidR="00A40088">
        <w:t>mitigate those changes</w:t>
      </w:r>
      <w:r w:rsidRPr="009E35EB">
        <w:t>.</w:t>
      </w:r>
    </w:p>
    <w:p w14:paraId="71006B31" w14:textId="77777777" w:rsidR="00D5403A" w:rsidRDefault="00D5403A" w:rsidP="00D5403A">
      <w:pPr>
        <w:pStyle w:val="regpar"/>
        <w:ind w:firstLine="0"/>
      </w:pPr>
    </w:p>
    <w:p w14:paraId="381D32E2" w14:textId="60BF2D2B" w:rsidR="00D5403A" w:rsidRDefault="009341F4" w:rsidP="00327581">
      <w:pPr>
        <w:pStyle w:val="regpar"/>
        <w:ind w:firstLine="0"/>
      </w:pPr>
      <w:r>
        <w:t>Creditor rights are essential</w:t>
      </w:r>
      <w:r w:rsidR="00D5403A">
        <w:t xml:space="preserve"> for the development of private </w:t>
      </w:r>
      <w:r>
        <w:t>credit</w:t>
      </w:r>
      <w:r w:rsidR="00D5403A">
        <w:t xml:space="preserve"> market</w:t>
      </w:r>
      <w:r>
        <w:t>s</w:t>
      </w:r>
      <w:r w:rsidR="00D5403A">
        <w:t xml:space="preserve"> that enable </w:t>
      </w:r>
      <w:r w:rsidR="001E13DF">
        <w:t>firms</w:t>
      </w:r>
      <w:r w:rsidR="00D5403A">
        <w:t xml:space="preserve"> to borrow money in order to finance their operations.  However, a number of studies in recent years have found that </w:t>
      </w:r>
      <w:r>
        <w:t>strong creditor protection rules</w:t>
      </w:r>
      <w:r w:rsidR="00D5403A">
        <w:t xml:space="preserve"> </w:t>
      </w:r>
      <w:r>
        <w:t>may have potential adverse effects</w:t>
      </w:r>
      <w:r w:rsidR="00D5403A">
        <w:t xml:space="preserve">, such as less </w:t>
      </w:r>
      <w:r w:rsidR="00327581">
        <w:t xml:space="preserve">willingness </w:t>
      </w:r>
      <w:r w:rsidR="00D5403A">
        <w:t xml:space="preserve">on the part of </w:t>
      </w:r>
      <w:r w:rsidR="001E13DF">
        <w:t>firms</w:t>
      </w:r>
      <w:r w:rsidR="00D5403A">
        <w:t xml:space="preserve"> to take business risks or to leverage themselves.  A new study by As</w:t>
      </w:r>
      <w:r>
        <w:t>s</w:t>
      </w:r>
      <w:r w:rsidR="00D5403A">
        <w:t>af Hamdani of Tel Aviv University, Yishay Yafe</w:t>
      </w:r>
      <w:r>
        <w:t>h</w:t>
      </w:r>
      <w:r w:rsidR="00D5403A">
        <w:t xml:space="preserve"> of Hebrew University, Yevgeny Mugerman of Bar-</w:t>
      </w:r>
      <w:proofErr w:type="spellStart"/>
      <w:r w:rsidR="00D5403A">
        <w:t>Ilan</w:t>
      </w:r>
      <w:proofErr w:type="spellEnd"/>
      <w:r w:rsidR="00D5403A">
        <w:t xml:space="preserve"> University, Ruth Ro</w:t>
      </w:r>
      <w:r>
        <w:t>oz</w:t>
      </w:r>
      <w:r w:rsidR="00D5403A">
        <w:t xml:space="preserve"> of Hebrew University, and Nadav Steinberg of the Bank of Israel uncovers another negative effect of </w:t>
      </w:r>
      <w:r w:rsidR="00082810">
        <w:t xml:space="preserve">a </w:t>
      </w:r>
      <w:r w:rsidR="00D5403A">
        <w:t>reform that increased creditors’ rights.</w:t>
      </w:r>
    </w:p>
    <w:p w14:paraId="5335DA26" w14:textId="77777777" w:rsidR="00627280" w:rsidRDefault="00627280" w:rsidP="00D5403A">
      <w:pPr>
        <w:pStyle w:val="regpar"/>
        <w:ind w:firstLine="0"/>
      </w:pPr>
    </w:p>
    <w:p w14:paraId="53FEB9AC" w14:textId="5301F019" w:rsidR="00627280" w:rsidRDefault="00627280" w:rsidP="00327581">
      <w:pPr>
        <w:pStyle w:val="regpar"/>
        <w:ind w:firstLine="0"/>
      </w:pPr>
      <w:r>
        <w:t xml:space="preserve">The study examines a 2013 ruling of the Tel Aviv District Court, which gave creditors the power to force </w:t>
      </w:r>
      <w:r w:rsidR="001E13DF">
        <w:t>firms</w:t>
      </w:r>
      <w:r>
        <w:t xml:space="preserve"> whose total liabilities exceed their total assets (negative equity) to enter debt restructuring even without a specific covenant in the debt certificate.</w:t>
      </w:r>
      <w:r>
        <w:rPr>
          <w:rStyle w:val="a6"/>
        </w:rPr>
        <w:footnoteReference w:id="1"/>
      </w:r>
      <w:r w:rsidR="009E35EB">
        <w:t xml:space="preserve">  The study found </w:t>
      </w:r>
      <w:r w:rsidR="009E35EB">
        <w:lastRenderedPageBreak/>
        <w:t xml:space="preserve">that the </w:t>
      </w:r>
      <w:r w:rsidR="00082810">
        <w:t xml:space="preserve">bond </w:t>
      </w:r>
      <w:r w:rsidR="009E35EB">
        <w:t xml:space="preserve">prices of </w:t>
      </w:r>
      <w:r w:rsidR="001E13DF">
        <w:t>firms</w:t>
      </w:r>
      <w:r w:rsidR="009E35EB">
        <w:t xml:space="preserve"> that were expected to be affected by the ruling responded positively to the ruling, while the </w:t>
      </w:r>
      <w:r w:rsidR="00082810">
        <w:t xml:space="preserve">share </w:t>
      </w:r>
      <w:r w:rsidR="009E35EB">
        <w:t xml:space="preserve">prices of those </w:t>
      </w:r>
      <w:r w:rsidR="001E13DF">
        <w:t>firms</w:t>
      </w:r>
      <w:r w:rsidR="009E35EB">
        <w:t xml:space="preserve"> responded negatively, apparently because of creditors’ improved ability to force </w:t>
      </w:r>
      <w:bookmarkStart w:id="0" w:name="_GoBack"/>
      <w:r w:rsidR="001E13DF">
        <w:t>firms</w:t>
      </w:r>
      <w:r w:rsidR="009E35EB">
        <w:t xml:space="preserve"> into debt restructuring at an earlier stage and prevent </w:t>
      </w:r>
      <w:r w:rsidR="00327581">
        <w:t xml:space="preserve">opportunistic actions by </w:t>
      </w:r>
      <w:r w:rsidR="009E35EB">
        <w:t xml:space="preserve">controlling shareholders and executives </w:t>
      </w:r>
      <w:r w:rsidR="00327581">
        <w:t xml:space="preserve">that could </w:t>
      </w:r>
      <w:r w:rsidR="009E35EB">
        <w:t>worsen the state of the company prior to the restructuring.</w:t>
      </w:r>
    </w:p>
    <w:p w14:paraId="6E25DB77" w14:textId="77777777" w:rsidR="009E35EB" w:rsidRDefault="009E35EB" w:rsidP="009E35EB">
      <w:pPr>
        <w:pStyle w:val="regpar"/>
        <w:ind w:firstLine="0"/>
      </w:pPr>
    </w:p>
    <w:bookmarkEnd w:id="0"/>
    <w:p w14:paraId="3D615838" w14:textId="135A3B80" w:rsidR="009E35EB" w:rsidRDefault="009E35EB" w:rsidP="00082810">
      <w:pPr>
        <w:pStyle w:val="regpar"/>
        <w:ind w:firstLine="0"/>
      </w:pPr>
      <w:r>
        <w:t xml:space="preserve">The study found that </w:t>
      </w:r>
      <w:r w:rsidR="00082810">
        <w:t xml:space="preserve">distressed </w:t>
      </w:r>
      <w:r w:rsidR="001E13DF">
        <w:t>firms</w:t>
      </w:r>
      <w:r>
        <w:t xml:space="preserve"> that were affected by the ruling, and therefore had a greater </w:t>
      </w:r>
      <w:r w:rsidR="00082810">
        <w:t xml:space="preserve">incentive to </w:t>
      </w:r>
      <w:r>
        <w:t xml:space="preserve">maintain positive equity in order to avoid debt restructuring and the loss of control of the company, were able to significantly increase their equity.  In particular, in the years following the ruling, there were far fewer </w:t>
      </w:r>
      <w:r w:rsidR="001E13DF">
        <w:t>firms</w:t>
      </w:r>
      <w:r>
        <w:t xml:space="preserve"> that were affected by the ruling that reported negative equity </w:t>
      </w:r>
      <w:r w:rsidR="00E105DD">
        <w:t>than there were prior to the ruling (Figure 1).</w:t>
      </w:r>
    </w:p>
    <w:p w14:paraId="5A823D13" w14:textId="77777777" w:rsidR="00E105DD" w:rsidRDefault="005609BD" w:rsidP="00E105DD">
      <w:pPr>
        <w:pStyle w:val="regpar"/>
        <w:ind w:firstLine="0"/>
      </w:pPr>
      <w:r>
        <w:rPr>
          <w:noProof/>
        </w:rPr>
        <w:drawing>
          <wp:anchor distT="0" distB="0" distL="114300" distR="114300" simplePos="0" relativeHeight="251661312" behindDoc="0" locked="0" layoutInCell="1" allowOverlap="1" wp14:anchorId="0601A7E3" wp14:editId="08925096">
            <wp:simplePos x="0" y="0"/>
            <wp:positionH relativeFrom="column">
              <wp:posOffset>1073888</wp:posOffset>
            </wp:positionH>
            <wp:positionV relativeFrom="paragraph">
              <wp:posOffset>93285</wp:posOffset>
            </wp:positionV>
            <wp:extent cx="3980815" cy="3615055"/>
            <wp:effectExtent l="0" t="0" r="635" b="444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980815" cy="3615055"/>
                    </a:xfrm>
                    <a:prstGeom prst="rect">
                      <a:avLst/>
                    </a:prstGeom>
                    <a:noFill/>
                  </pic:spPr>
                </pic:pic>
              </a:graphicData>
            </a:graphic>
            <wp14:sizeRelH relativeFrom="page">
              <wp14:pctWidth>0</wp14:pctWidth>
            </wp14:sizeRelH>
            <wp14:sizeRelV relativeFrom="page">
              <wp14:pctHeight>0</wp14:pctHeight>
            </wp14:sizeRelV>
          </wp:anchor>
        </w:drawing>
      </w:r>
    </w:p>
    <w:p w14:paraId="516DEED9" w14:textId="77777777" w:rsidR="00E105DD" w:rsidRDefault="00E105DD" w:rsidP="00E105DD">
      <w:pPr>
        <w:pStyle w:val="regpar"/>
        <w:ind w:firstLine="0"/>
      </w:pPr>
    </w:p>
    <w:p w14:paraId="0170D8B9" w14:textId="77777777" w:rsidR="00E105DD" w:rsidRDefault="00E105DD" w:rsidP="00E105DD">
      <w:pPr>
        <w:pStyle w:val="regpar"/>
        <w:ind w:firstLine="0"/>
      </w:pPr>
    </w:p>
    <w:p w14:paraId="6136D52C" w14:textId="77777777" w:rsidR="00D2344A" w:rsidRDefault="00D2344A" w:rsidP="00E105DD">
      <w:pPr>
        <w:pStyle w:val="regpar"/>
        <w:ind w:firstLine="0"/>
      </w:pPr>
    </w:p>
    <w:p w14:paraId="0F9CDA05" w14:textId="77777777" w:rsidR="00D2344A" w:rsidRDefault="00D2344A" w:rsidP="00E105DD">
      <w:pPr>
        <w:pStyle w:val="regpar"/>
        <w:ind w:firstLine="0"/>
      </w:pPr>
    </w:p>
    <w:p w14:paraId="0F64B960" w14:textId="77777777" w:rsidR="00D2344A" w:rsidRDefault="00D2344A" w:rsidP="00E105DD">
      <w:pPr>
        <w:pStyle w:val="regpar"/>
        <w:ind w:firstLine="0"/>
      </w:pPr>
    </w:p>
    <w:p w14:paraId="26285D43" w14:textId="77777777" w:rsidR="00D2344A" w:rsidRDefault="00D2344A" w:rsidP="00E105DD">
      <w:pPr>
        <w:pStyle w:val="regpar"/>
        <w:ind w:firstLine="0"/>
      </w:pPr>
    </w:p>
    <w:p w14:paraId="758E8E75" w14:textId="77777777" w:rsidR="00D2344A" w:rsidRDefault="00D2344A" w:rsidP="00E105DD">
      <w:pPr>
        <w:pStyle w:val="regpar"/>
        <w:ind w:firstLine="0"/>
      </w:pPr>
    </w:p>
    <w:p w14:paraId="78FC0467" w14:textId="77777777" w:rsidR="00D2344A" w:rsidRDefault="00D2344A" w:rsidP="00E105DD">
      <w:pPr>
        <w:pStyle w:val="regpar"/>
        <w:ind w:firstLine="0"/>
      </w:pPr>
    </w:p>
    <w:p w14:paraId="7741E4D1" w14:textId="77777777" w:rsidR="00D2344A" w:rsidRDefault="00D2344A" w:rsidP="00E105DD">
      <w:pPr>
        <w:pStyle w:val="regpar"/>
        <w:ind w:firstLine="0"/>
      </w:pPr>
    </w:p>
    <w:p w14:paraId="35F41A71" w14:textId="77777777" w:rsidR="00D2344A" w:rsidRDefault="00D2344A" w:rsidP="00E105DD">
      <w:pPr>
        <w:pStyle w:val="regpar"/>
        <w:ind w:firstLine="0"/>
      </w:pPr>
    </w:p>
    <w:p w14:paraId="70A725E8" w14:textId="77777777" w:rsidR="00D2344A" w:rsidRDefault="00D2344A" w:rsidP="00E105DD">
      <w:pPr>
        <w:pStyle w:val="regpar"/>
        <w:ind w:firstLine="0"/>
      </w:pPr>
    </w:p>
    <w:p w14:paraId="576632B6" w14:textId="77777777" w:rsidR="00D2344A" w:rsidRDefault="00D2344A" w:rsidP="00E105DD">
      <w:pPr>
        <w:pStyle w:val="regpar"/>
        <w:ind w:firstLine="0"/>
      </w:pPr>
    </w:p>
    <w:p w14:paraId="06B44CA8" w14:textId="77777777" w:rsidR="00D2344A" w:rsidRDefault="00D2344A" w:rsidP="00E105DD">
      <w:pPr>
        <w:pStyle w:val="regpar"/>
        <w:ind w:firstLine="0"/>
      </w:pPr>
    </w:p>
    <w:p w14:paraId="4DED8905" w14:textId="77777777" w:rsidR="00D2344A" w:rsidRDefault="00D2344A" w:rsidP="00E105DD">
      <w:pPr>
        <w:pStyle w:val="regpar"/>
        <w:ind w:firstLine="0"/>
      </w:pPr>
    </w:p>
    <w:p w14:paraId="2CAE634D" w14:textId="77777777" w:rsidR="00D2344A" w:rsidRDefault="00D2344A" w:rsidP="00E105DD">
      <w:pPr>
        <w:pStyle w:val="regpar"/>
        <w:ind w:firstLine="0"/>
      </w:pPr>
    </w:p>
    <w:p w14:paraId="39245CB0" w14:textId="77777777" w:rsidR="005609BD" w:rsidRDefault="005609BD" w:rsidP="00E105DD">
      <w:pPr>
        <w:pStyle w:val="regpar"/>
        <w:ind w:firstLine="0"/>
      </w:pPr>
    </w:p>
    <w:p w14:paraId="43048C00" w14:textId="77777777" w:rsidR="005609BD" w:rsidRDefault="005609BD" w:rsidP="00E105DD">
      <w:pPr>
        <w:pStyle w:val="regpar"/>
        <w:ind w:firstLine="0"/>
      </w:pPr>
    </w:p>
    <w:p w14:paraId="207BC175" w14:textId="77777777" w:rsidR="005609BD" w:rsidRDefault="005609BD" w:rsidP="00E105DD">
      <w:pPr>
        <w:pStyle w:val="regpar"/>
        <w:ind w:firstLine="0"/>
      </w:pPr>
    </w:p>
    <w:p w14:paraId="46B956BB" w14:textId="77777777" w:rsidR="005609BD" w:rsidRDefault="005609BD" w:rsidP="00E105DD">
      <w:pPr>
        <w:pStyle w:val="regpar"/>
        <w:ind w:firstLine="0"/>
      </w:pPr>
    </w:p>
    <w:p w14:paraId="4F412ABC" w14:textId="05D0B5C8" w:rsidR="00E105DD" w:rsidRDefault="00E105DD" w:rsidP="00082810">
      <w:pPr>
        <w:pStyle w:val="regpar"/>
        <w:ind w:firstLine="0"/>
      </w:pPr>
      <w:r>
        <w:t xml:space="preserve">What explains the increase in equity of the </w:t>
      </w:r>
      <w:r w:rsidR="001E13DF">
        <w:t>firms</w:t>
      </w:r>
      <w:r>
        <w:t xml:space="preserve"> affected by the ruling?  The study found an increase in share offerings among some of the </w:t>
      </w:r>
      <w:r w:rsidR="001E13DF">
        <w:t>firms</w:t>
      </w:r>
      <w:r>
        <w:t>, mainly those that had particularly low equity prior to the ruling.</w:t>
      </w:r>
      <w:r w:rsidR="00092FD8">
        <w:t xml:space="preserve">  These </w:t>
      </w:r>
      <w:r w:rsidR="001E13DF">
        <w:t>firms</w:t>
      </w:r>
      <w:r w:rsidR="00092FD8">
        <w:t xml:space="preserve"> were </w:t>
      </w:r>
      <w:r w:rsidR="001E13DF">
        <w:t>in significant financial distress</w:t>
      </w:r>
      <w:r w:rsidR="00092FD8">
        <w:t xml:space="preserve">, and following the ruling they were in material danger of entering debt restructuring.  Therefore, many of them reacted by raising additional capital from shareholders.  This is a way to improve the financial state of a company </w:t>
      </w:r>
      <w:r w:rsidR="001E13DF">
        <w:t>in distress</w:t>
      </w:r>
      <w:r w:rsidR="00092FD8">
        <w:t xml:space="preserve">, and it is good for creditors because it brings new money into the company that can be used to meet its liabilities.  However, alongside the increase in share offerings, the study found that the ruling also led to a change in </w:t>
      </w:r>
      <w:r w:rsidR="001E13DF">
        <w:t>firms</w:t>
      </w:r>
      <w:r w:rsidR="00092FD8">
        <w:t xml:space="preserve">’ accounting </w:t>
      </w:r>
      <w:r w:rsidR="001E13DF">
        <w:t>policies</w:t>
      </w:r>
      <w:r w:rsidR="00092FD8">
        <w:t xml:space="preserve">.  The study shows that common </w:t>
      </w:r>
      <w:r w:rsidR="00082810">
        <w:t xml:space="preserve">measures </w:t>
      </w:r>
      <w:r w:rsidR="00092FD8">
        <w:t>of accounting conservatism decline</w:t>
      </w:r>
      <w:r w:rsidR="00B82553">
        <w:t>d</w:t>
      </w:r>
      <w:r w:rsidR="00092FD8">
        <w:t xml:space="preserve"> among these </w:t>
      </w:r>
      <w:r w:rsidR="001E13DF">
        <w:t>firms</w:t>
      </w:r>
      <w:r w:rsidR="00092FD8">
        <w:t>.  Among other things, there was a greater-than-expected increase in a phenomenon known in the professional literature as “</w:t>
      </w:r>
      <w:r w:rsidR="00B82553">
        <w:t>long-term discretionary accruals</w:t>
      </w:r>
      <w:r w:rsidR="00092FD8">
        <w:t xml:space="preserve">”—where </w:t>
      </w:r>
      <w:r w:rsidR="001E13DF">
        <w:t>firms</w:t>
      </w:r>
      <w:r w:rsidR="00092FD8">
        <w:t xml:space="preserve"> present accounting data in a legal way, but where the data presents a rosy picture, sometimes too rosy, regarding the company’s actual results (Figure 2).</w:t>
      </w:r>
    </w:p>
    <w:p w14:paraId="1211503B" w14:textId="77777777" w:rsidR="00092FD8" w:rsidRDefault="00092FD8" w:rsidP="00E105DD">
      <w:pPr>
        <w:pStyle w:val="regpar"/>
        <w:ind w:firstLine="0"/>
      </w:pPr>
    </w:p>
    <w:p w14:paraId="3D3FAA6C" w14:textId="77777777" w:rsidR="00092FD8" w:rsidRDefault="00092FD8" w:rsidP="00E105DD">
      <w:pPr>
        <w:pStyle w:val="regpar"/>
        <w:ind w:firstLine="0"/>
      </w:pPr>
    </w:p>
    <w:p w14:paraId="4E79B38C" w14:textId="77777777" w:rsidR="00092FD8" w:rsidRDefault="00092FD8" w:rsidP="00E105DD">
      <w:pPr>
        <w:pStyle w:val="regpar"/>
        <w:ind w:firstLine="0"/>
      </w:pPr>
    </w:p>
    <w:p w14:paraId="2DE9D22F" w14:textId="77777777" w:rsidR="00D2344A" w:rsidRDefault="00D2344A" w:rsidP="00092FD8">
      <w:pPr>
        <w:pStyle w:val="regpar"/>
        <w:ind w:firstLine="0"/>
      </w:pPr>
      <w:r>
        <w:rPr>
          <w:noProof/>
        </w:rPr>
        <w:lastRenderedPageBreak/>
        <w:drawing>
          <wp:anchor distT="0" distB="0" distL="114300" distR="114300" simplePos="0" relativeHeight="251660288" behindDoc="0" locked="0" layoutInCell="1" allowOverlap="1" wp14:anchorId="702A48E8" wp14:editId="213BD1E3">
            <wp:simplePos x="0" y="0"/>
            <wp:positionH relativeFrom="column">
              <wp:posOffset>300887</wp:posOffset>
            </wp:positionH>
            <wp:positionV relativeFrom="paragraph">
              <wp:posOffset>246321</wp:posOffset>
            </wp:positionV>
            <wp:extent cx="5194300" cy="3352800"/>
            <wp:effectExtent l="0" t="0" r="635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194300" cy="3352800"/>
                    </a:xfrm>
                    <a:prstGeom prst="rect">
                      <a:avLst/>
                    </a:prstGeom>
                    <a:noFill/>
                  </pic:spPr>
                </pic:pic>
              </a:graphicData>
            </a:graphic>
          </wp:anchor>
        </w:drawing>
      </w:r>
    </w:p>
    <w:p w14:paraId="7E31241F" w14:textId="77777777" w:rsidR="00D2344A" w:rsidRDefault="00D2344A" w:rsidP="00092FD8">
      <w:pPr>
        <w:pStyle w:val="regpar"/>
        <w:ind w:firstLine="0"/>
      </w:pPr>
    </w:p>
    <w:p w14:paraId="3E43AB4E" w14:textId="77777777" w:rsidR="00D2344A" w:rsidRDefault="00D2344A" w:rsidP="00092FD8">
      <w:pPr>
        <w:pStyle w:val="regpar"/>
        <w:ind w:firstLine="0"/>
      </w:pPr>
    </w:p>
    <w:p w14:paraId="450F947F" w14:textId="32DA62DE" w:rsidR="00092FD8" w:rsidRDefault="00092FD8" w:rsidP="00B41B79">
      <w:pPr>
        <w:pStyle w:val="regpar"/>
        <w:ind w:firstLine="0"/>
      </w:pPr>
      <w:r>
        <w:t xml:space="preserve">Finally, the study found evidence that the accounting aggressiveness that helped improve the </w:t>
      </w:r>
      <w:r w:rsidR="001E13DF">
        <w:t>firms</w:t>
      </w:r>
      <w:r>
        <w:t xml:space="preserve">’ balance sheets in the short term is correlated with lower profitability in the following years.  More importantly, </w:t>
      </w:r>
      <w:r w:rsidR="00B82553">
        <w:t>long-term discretionary accruals</w:t>
      </w:r>
      <w:r>
        <w:t xml:space="preserve"> and a lack of conservatism in reporting may make the </w:t>
      </w:r>
      <w:r w:rsidR="001E13DF">
        <w:t>firms</w:t>
      </w:r>
      <w:r>
        <w:t xml:space="preserve">’ financial statements less informative, and thereby harm the value they provide to the </w:t>
      </w:r>
      <w:r w:rsidR="001E13DF">
        <w:t>firms</w:t>
      </w:r>
      <w:r>
        <w:t xml:space="preserve">’ </w:t>
      </w:r>
      <w:r w:rsidR="00B41B79">
        <w:t>stakeholders</w:t>
      </w:r>
      <w:r>
        <w:t xml:space="preserve">, particularly creditors.  Accordingly, the study found that following the ruling, bondholders reacted more weakly to the financial statements of the </w:t>
      </w:r>
      <w:r w:rsidR="001E13DF">
        <w:t>firms</w:t>
      </w:r>
      <w:r>
        <w:t xml:space="preserve"> that were affected by the ruling.</w:t>
      </w:r>
    </w:p>
    <w:p w14:paraId="01C098B8" w14:textId="77777777" w:rsidR="00092FD8" w:rsidRDefault="00092FD8" w:rsidP="00092FD8">
      <w:pPr>
        <w:pStyle w:val="regpar"/>
        <w:ind w:firstLine="0"/>
      </w:pPr>
    </w:p>
    <w:p w14:paraId="0EEFB0A2" w14:textId="53D92623" w:rsidR="00092FD8" w:rsidRDefault="002D381A" w:rsidP="00D53E21">
      <w:pPr>
        <w:pStyle w:val="regpar"/>
        <w:ind w:firstLine="0"/>
      </w:pPr>
      <w:r>
        <w:t xml:space="preserve">The study joins an increasing number of articles using a legislative or legal shock to examine the effects of increased creditors’ rights on company behavior.  This is the first study that examines the impact of an increase in creditors’ ability to force </w:t>
      </w:r>
      <w:r w:rsidR="001E13DF">
        <w:t>firms</w:t>
      </w:r>
      <w:r>
        <w:t xml:space="preserve"> into debt restructuring, and is unique in its focus on the impact of creditors’ rights on the quality of </w:t>
      </w:r>
      <w:r w:rsidR="001E13DF">
        <w:t>firms</w:t>
      </w:r>
      <w:r>
        <w:t xml:space="preserve">’ financial reporting and accounting </w:t>
      </w:r>
      <w:r w:rsidR="001E13DF">
        <w:t>policies</w:t>
      </w:r>
      <w:r w:rsidRPr="009E35EB">
        <w:t xml:space="preserve">.  The findings show that </w:t>
      </w:r>
      <w:r>
        <w:t xml:space="preserve">changes that are intended to give creditors more rights in certain situations—changes that should be positive in many cases—may also lead to negative </w:t>
      </w:r>
      <w:r w:rsidR="0060151D">
        <w:t xml:space="preserve">unintended </w:t>
      </w:r>
      <w:r>
        <w:t xml:space="preserve">results. On one hand, the power given to creditors may give </w:t>
      </w:r>
      <w:r w:rsidR="001E13DF">
        <w:t>firms</w:t>
      </w:r>
      <w:r>
        <w:t xml:space="preserve"> in serious </w:t>
      </w:r>
      <w:r w:rsidR="00B82553">
        <w:t>distress</w:t>
      </w:r>
      <w:r>
        <w:t xml:space="preserve"> the incentive to raise capital or, alternatively, </w:t>
      </w:r>
      <w:r w:rsidR="0060151D">
        <w:t>enable</w:t>
      </w:r>
      <w:r>
        <w:t xml:space="preserve"> creditors </w:t>
      </w:r>
      <w:r w:rsidR="00327581">
        <w:t xml:space="preserve">to </w:t>
      </w:r>
      <w:r w:rsidR="0060151D">
        <w:t>enforce a timely</w:t>
      </w:r>
      <w:r>
        <w:t xml:space="preserve"> debt restructuring if the company cannot improve its </w:t>
      </w:r>
      <w:r w:rsidR="0060151D">
        <w:t>financial situation</w:t>
      </w:r>
      <w:r>
        <w:t xml:space="preserve">.  On the other hand, the increase in creditors’ rights may give </w:t>
      </w:r>
      <w:r w:rsidR="001E13DF">
        <w:t>firms</w:t>
      </w:r>
      <w:r>
        <w:t xml:space="preserve"> </w:t>
      </w:r>
      <w:r w:rsidR="00B82553">
        <w:t>in distress</w:t>
      </w:r>
      <w:r>
        <w:t xml:space="preserve"> the incentive to inflate their profits and balance sheet</w:t>
      </w:r>
      <w:r w:rsidR="0060151D">
        <w:t>s</w:t>
      </w:r>
      <w:r>
        <w:t xml:space="preserve">, and thereby </w:t>
      </w:r>
      <w:r w:rsidR="00B82553">
        <w:t>reduce</w:t>
      </w:r>
      <w:r>
        <w:t xml:space="preserve"> the quality of information in the capital market.</w:t>
      </w:r>
    </w:p>
    <w:p w14:paraId="69773984" w14:textId="1DE76E65" w:rsidR="00D2344A" w:rsidRDefault="00D2344A" w:rsidP="002D381A">
      <w:pPr>
        <w:pStyle w:val="regpar"/>
        <w:ind w:firstLine="0"/>
      </w:pPr>
    </w:p>
    <w:p w14:paraId="1DE66C99" w14:textId="77777777" w:rsidR="00D2344A" w:rsidRDefault="00D2344A" w:rsidP="002D381A">
      <w:pPr>
        <w:pStyle w:val="regpar"/>
        <w:ind w:firstLine="0"/>
      </w:pPr>
    </w:p>
    <w:p w14:paraId="2BE0F5C9" w14:textId="77777777" w:rsidR="00D2344A" w:rsidRPr="00634A22" w:rsidRDefault="00D2344A" w:rsidP="002D381A">
      <w:pPr>
        <w:pStyle w:val="regpar"/>
        <w:ind w:firstLine="0"/>
        <w:rPr>
          <w:rtl/>
        </w:rPr>
      </w:pPr>
    </w:p>
    <w:sectPr w:rsidR="00D2344A" w:rsidRPr="00634A22" w:rsidSect="004F5A85">
      <w:headerReference w:type="default" r:id="rId14"/>
      <w:endnotePr>
        <w:numFmt w:val="hebrew2"/>
      </w:endnotePr>
      <w:pgSz w:w="11880" w:h="16820"/>
      <w:pgMar w:top="624" w:right="1390" w:bottom="567" w:left="1418" w:header="57" w:footer="283" w:gutter="0"/>
      <w:cols w:space="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7A6019" w14:textId="77777777" w:rsidR="00AC2846" w:rsidRDefault="00AC2846">
      <w:pPr>
        <w:spacing w:line="240" w:lineRule="auto"/>
      </w:pPr>
      <w:r>
        <w:separator/>
      </w:r>
    </w:p>
  </w:endnote>
  <w:endnote w:type="continuationSeparator" w:id="0">
    <w:p w14:paraId="23B7332D" w14:textId="77777777" w:rsidR="00AC2846" w:rsidRDefault="00AC284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avid">
    <w:panose1 w:val="00000000000000000000"/>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5515A5" w14:textId="77777777" w:rsidR="00AC2846" w:rsidRDefault="00AC2846">
      <w:pPr>
        <w:spacing w:line="160" w:lineRule="exact"/>
      </w:pPr>
    </w:p>
  </w:footnote>
  <w:footnote w:type="continuationSeparator" w:id="0">
    <w:p w14:paraId="6830EB7B" w14:textId="77777777" w:rsidR="00AC2846" w:rsidRDefault="00AC2846">
      <w:pPr>
        <w:pStyle w:val="rule"/>
      </w:pPr>
      <w:r>
        <w:t>–––––––––––––––––––––––––––</w:t>
      </w:r>
    </w:p>
    <w:p w14:paraId="37C6BF80" w14:textId="77777777" w:rsidR="00AC2846" w:rsidRDefault="00AC2846">
      <w:pPr>
        <w:pStyle w:val="noteseparator"/>
      </w:pPr>
    </w:p>
  </w:footnote>
  <w:footnote w:id="1">
    <w:p w14:paraId="1E1D70D9" w14:textId="77777777" w:rsidR="00627280" w:rsidRDefault="00627280">
      <w:pPr>
        <w:pStyle w:val="a7"/>
        <w:rPr>
          <w:rtl/>
        </w:rPr>
      </w:pPr>
      <w:r>
        <w:rPr>
          <w:rStyle w:val="a6"/>
        </w:rPr>
        <w:footnoteRef/>
      </w:r>
      <w:r>
        <w:t xml:space="preserve"> The ruling in Civil Case 36681-04-13, Hermetic Trust (1975) Ltd. v ID</w:t>
      </w:r>
      <w:r>
        <w:rPr>
          <w:rFonts w:hint="cs"/>
        </w:rPr>
        <w:t>B</w:t>
      </w:r>
      <w:r>
        <w:t xml:space="preserve"> Development Company Ltd. (April 30, 2013).  The ruling was handed down by Judge </w:t>
      </w:r>
      <w:proofErr w:type="spellStart"/>
      <w:r>
        <w:t>Eitan</w:t>
      </w:r>
      <w:proofErr w:type="spellEnd"/>
      <w:r>
        <w:t xml:space="preserve"> Orenstein in response to a request by the trustees in three of IDB’s bond series to force the company into debt restructuring.  Judge Orenstein ruled that attorney </w:t>
      </w:r>
      <w:proofErr w:type="spellStart"/>
      <w:r>
        <w:t>Hagay</w:t>
      </w:r>
      <w:proofErr w:type="spellEnd"/>
      <w:r>
        <w:t xml:space="preserve"> </w:t>
      </w:r>
      <w:proofErr w:type="spellStart"/>
      <w:r>
        <w:t>Olman</w:t>
      </w:r>
      <w:proofErr w:type="spellEnd"/>
      <w:r>
        <w:t xml:space="preserve"> should be appointed as an observer of the company, and that </w:t>
      </w:r>
      <w:proofErr w:type="spellStart"/>
      <w:r>
        <w:t>Eyal</w:t>
      </w:r>
      <w:proofErr w:type="spellEnd"/>
      <w:r>
        <w:t xml:space="preserve"> </w:t>
      </w:r>
      <w:proofErr w:type="spellStart"/>
      <w:r>
        <w:t>Gabay</w:t>
      </w:r>
      <w:proofErr w:type="spellEnd"/>
      <w:r>
        <w:t xml:space="preserve"> should be appointed as an economic specialist to evaluate the state of the company, despite the company’s argument that a restructuring could not be forced upon it.  The court’s ruling was precedent-setting in determining that creditors can force a debt restructuring on the company if they succeed in showing that the company is insolvent, even though the company had thus far met all of its payments and did not breach any covenant in the debt certificate.  The ruling was surprising and controversial, and there were two unsuccessful attempts to challenge it in the Supreme Court.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9A7F49" w14:textId="77777777" w:rsidR="00CE7A79" w:rsidRDefault="00CE7A79" w:rsidP="007A34C9">
    <w:pPr>
      <w:pStyle w:val="regpar"/>
      <w:spacing w:line="300" w:lineRule="atLeast"/>
      <w:ind w:firstLine="0"/>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0"/>
    <w:lvl w:ilvl="0">
      <w:start w:val="1"/>
      <w:numFmt w:val="decimal"/>
      <w:lvlText w:val="%1)"/>
      <w:lvlJc w:val="left"/>
      <w:pPr>
        <w:tabs>
          <w:tab w:val="num" w:pos="600"/>
        </w:tabs>
        <w:ind w:left="600" w:hanging="360"/>
      </w:pPr>
      <w:rPr>
        <w:rFonts w:hint="default"/>
      </w:rPr>
    </w:lvl>
  </w:abstractNum>
  <w:abstractNum w:abstractNumId="1" w15:restartNumberingAfterBreak="0">
    <w:nsid w:val="2ABA69E9"/>
    <w:multiLevelType w:val="hybridMultilevel"/>
    <w:tmpl w:val="A67A3D80"/>
    <w:lvl w:ilvl="0" w:tplc="04090001">
      <w:start w:val="1"/>
      <w:numFmt w:val="bullet"/>
      <w:lvlText w:val=""/>
      <w:lvlJc w:val="left"/>
      <w:pPr>
        <w:ind w:left="960" w:hanging="360"/>
      </w:pPr>
      <w:rPr>
        <w:rFonts w:ascii="Symbol" w:hAnsi="Symbol"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2" w15:restartNumberingAfterBreak="0">
    <w:nsid w:val="3F003117"/>
    <w:multiLevelType w:val="hybridMultilevel"/>
    <w:tmpl w:val="FA1A5C1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40F544E1"/>
    <w:multiLevelType w:val="hybridMultilevel"/>
    <w:tmpl w:val="59661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38912EE"/>
    <w:multiLevelType w:val="hybridMultilevel"/>
    <w:tmpl w:val="58729F30"/>
    <w:lvl w:ilvl="0" w:tplc="0AA490D4">
      <w:start w:val="1"/>
      <w:numFmt w:val="decimal"/>
      <w:lvlText w:val="%1."/>
      <w:lvlJc w:val="left"/>
      <w:pPr>
        <w:ind w:left="359" w:hanging="360"/>
      </w:pPr>
      <w:rPr>
        <w:rFonts w:hint="default"/>
      </w:rPr>
    </w:lvl>
    <w:lvl w:ilvl="1" w:tplc="04090019" w:tentative="1">
      <w:start w:val="1"/>
      <w:numFmt w:val="lowerLetter"/>
      <w:lvlText w:val="%2."/>
      <w:lvlJc w:val="left"/>
      <w:pPr>
        <w:ind w:left="1079" w:hanging="360"/>
      </w:pPr>
    </w:lvl>
    <w:lvl w:ilvl="2" w:tplc="0409001B" w:tentative="1">
      <w:start w:val="1"/>
      <w:numFmt w:val="lowerRoman"/>
      <w:lvlText w:val="%3."/>
      <w:lvlJc w:val="right"/>
      <w:pPr>
        <w:ind w:left="1799" w:hanging="180"/>
      </w:pPr>
    </w:lvl>
    <w:lvl w:ilvl="3" w:tplc="0409000F" w:tentative="1">
      <w:start w:val="1"/>
      <w:numFmt w:val="decimal"/>
      <w:lvlText w:val="%4."/>
      <w:lvlJc w:val="left"/>
      <w:pPr>
        <w:ind w:left="2519" w:hanging="360"/>
      </w:pPr>
    </w:lvl>
    <w:lvl w:ilvl="4" w:tplc="04090019" w:tentative="1">
      <w:start w:val="1"/>
      <w:numFmt w:val="lowerLetter"/>
      <w:lvlText w:val="%5."/>
      <w:lvlJc w:val="left"/>
      <w:pPr>
        <w:ind w:left="3239" w:hanging="360"/>
      </w:pPr>
    </w:lvl>
    <w:lvl w:ilvl="5" w:tplc="0409001B" w:tentative="1">
      <w:start w:val="1"/>
      <w:numFmt w:val="lowerRoman"/>
      <w:lvlText w:val="%6."/>
      <w:lvlJc w:val="right"/>
      <w:pPr>
        <w:ind w:left="3959" w:hanging="180"/>
      </w:pPr>
    </w:lvl>
    <w:lvl w:ilvl="6" w:tplc="0409000F" w:tentative="1">
      <w:start w:val="1"/>
      <w:numFmt w:val="decimal"/>
      <w:lvlText w:val="%7."/>
      <w:lvlJc w:val="left"/>
      <w:pPr>
        <w:ind w:left="4679" w:hanging="360"/>
      </w:pPr>
    </w:lvl>
    <w:lvl w:ilvl="7" w:tplc="04090019" w:tentative="1">
      <w:start w:val="1"/>
      <w:numFmt w:val="lowerLetter"/>
      <w:lvlText w:val="%8."/>
      <w:lvlJc w:val="left"/>
      <w:pPr>
        <w:ind w:left="5399" w:hanging="360"/>
      </w:pPr>
    </w:lvl>
    <w:lvl w:ilvl="8" w:tplc="0409001B" w:tentative="1">
      <w:start w:val="1"/>
      <w:numFmt w:val="lowerRoman"/>
      <w:lvlText w:val="%9."/>
      <w:lvlJc w:val="right"/>
      <w:pPr>
        <w:ind w:left="6119" w:hanging="180"/>
      </w:pPr>
    </w:lvl>
  </w:abstractNum>
  <w:abstractNum w:abstractNumId="5" w15:restartNumberingAfterBreak="0">
    <w:nsid w:val="4DB31951"/>
    <w:multiLevelType w:val="hybridMultilevel"/>
    <w:tmpl w:val="CD5013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4C727CA"/>
    <w:multiLevelType w:val="hybridMultilevel"/>
    <w:tmpl w:val="D5F6F2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4BB2FC6"/>
    <w:multiLevelType w:val="hybridMultilevel"/>
    <w:tmpl w:val="03E4B96C"/>
    <w:lvl w:ilvl="0" w:tplc="B814614C">
      <w:start w:val="7"/>
      <w:numFmt w:val="decimal"/>
      <w:lvlText w:val="%1."/>
      <w:lvlJc w:val="left"/>
      <w:pPr>
        <w:ind w:left="359" w:hanging="360"/>
      </w:pPr>
      <w:rPr>
        <w:rFonts w:hint="default"/>
      </w:rPr>
    </w:lvl>
    <w:lvl w:ilvl="1" w:tplc="04090019" w:tentative="1">
      <w:start w:val="1"/>
      <w:numFmt w:val="lowerLetter"/>
      <w:lvlText w:val="%2."/>
      <w:lvlJc w:val="left"/>
      <w:pPr>
        <w:ind w:left="1079" w:hanging="360"/>
      </w:pPr>
    </w:lvl>
    <w:lvl w:ilvl="2" w:tplc="0409001B" w:tentative="1">
      <w:start w:val="1"/>
      <w:numFmt w:val="lowerRoman"/>
      <w:lvlText w:val="%3."/>
      <w:lvlJc w:val="right"/>
      <w:pPr>
        <w:ind w:left="1799" w:hanging="180"/>
      </w:pPr>
    </w:lvl>
    <w:lvl w:ilvl="3" w:tplc="0409000F" w:tentative="1">
      <w:start w:val="1"/>
      <w:numFmt w:val="decimal"/>
      <w:lvlText w:val="%4."/>
      <w:lvlJc w:val="left"/>
      <w:pPr>
        <w:ind w:left="2519" w:hanging="360"/>
      </w:pPr>
    </w:lvl>
    <w:lvl w:ilvl="4" w:tplc="04090019" w:tentative="1">
      <w:start w:val="1"/>
      <w:numFmt w:val="lowerLetter"/>
      <w:lvlText w:val="%5."/>
      <w:lvlJc w:val="left"/>
      <w:pPr>
        <w:ind w:left="3239" w:hanging="360"/>
      </w:pPr>
    </w:lvl>
    <w:lvl w:ilvl="5" w:tplc="0409001B" w:tentative="1">
      <w:start w:val="1"/>
      <w:numFmt w:val="lowerRoman"/>
      <w:lvlText w:val="%6."/>
      <w:lvlJc w:val="right"/>
      <w:pPr>
        <w:ind w:left="3959" w:hanging="180"/>
      </w:pPr>
    </w:lvl>
    <w:lvl w:ilvl="6" w:tplc="0409000F" w:tentative="1">
      <w:start w:val="1"/>
      <w:numFmt w:val="decimal"/>
      <w:lvlText w:val="%7."/>
      <w:lvlJc w:val="left"/>
      <w:pPr>
        <w:ind w:left="4679" w:hanging="360"/>
      </w:pPr>
    </w:lvl>
    <w:lvl w:ilvl="7" w:tplc="04090019" w:tentative="1">
      <w:start w:val="1"/>
      <w:numFmt w:val="lowerLetter"/>
      <w:lvlText w:val="%8."/>
      <w:lvlJc w:val="left"/>
      <w:pPr>
        <w:ind w:left="5399" w:hanging="360"/>
      </w:pPr>
    </w:lvl>
    <w:lvl w:ilvl="8" w:tplc="0409001B" w:tentative="1">
      <w:start w:val="1"/>
      <w:numFmt w:val="lowerRoman"/>
      <w:lvlText w:val="%9."/>
      <w:lvlJc w:val="right"/>
      <w:pPr>
        <w:ind w:left="6119" w:hanging="180"/>
      </w:pPr>
    </w:lvl>
  </w:abstractNum>
  <w:abstractNum w:abstractNumId="8" w15:restartNumberingAfterBreak="0">
    <w:nsid w:val="718D7B23"/>
    <w:multiLevelType w:val="hybridMultilevel"/>
    <w:tmpl w:val="A56819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C2616CB"/>
    <w:multiLevelType w:val="hybridMultilevel"/>
    <w:tmpl w:val="11728488"/>
    <w:lvl w:ilvl="0" w:tplc="5802D0FC">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0" w15:restartNumberingAfterBreak="0">
    <w:nsid w:val="7DA0365C"/>
    <w:multiLevelType w:val="hybridMultilevel"/>
    <w:tmpl w:val="03D09186"/>
    <w:lvl w:ilvl="0" w:tplc="AC34D7F8">
      <w:numFmt w:val="bullet"/>
      <w:lvlText w:val="-"/>
      <w:lvlJc w:val="left"/>
      <w:pPr>
        <w:ind w:left="720" w:hanging="360"/>
      </w:pPr>
      <w:rPr>
        <w:rFonts w:ascii="Times" w:eastAsia="Times New Roman"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7"/>
  </w:num>
  <w:num w:numId="4">
    <w:abstractNumId w:val="8"/>
  </w:num>
  <w:num w:numId="5">
    <w:abstractNumId w:val="9"/>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3"/>
  </w:num>
  <w:num w:numId="9">
    <w:abstractNumId w:val="1"/>
  </w:num>
  <w:num w:numId="10">
    <w:abstractNumId w:val="10"/>
  </w:num>
  <w:num w:numId="11">
    <w:abstractNumId w:val="6"/>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4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4097"/>
  </w:hdrShapeDefaults>
  <w:footnotePr>
    <w:footnote w:id="-1"/>
    <w:footnote w:id="0"/>
  </w:footnotePr>
  <w:endnotePr>
    <w:numFmt w:val="hebrew2"/>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1D70"/>
    <w:rsid w:val="00002A48"/>
    <w:rsid w:val="00005737"/>
    <w:rsid w:val="00014291"/>
    <w:rsid w:val="00016929"/>
    <w:rsid w:val="00016E30"/>
    <w:rsid w:val="00017E04"/>
    <w:rsid w:val="000305B1"/>
    <w:rsid w:val="0004575D"/>
    <w:rsid w:val="000466C2"/>
    <w:rsid w:val="000502D1"/>
    <w:rsid w:val="00052610"/>
    <w:rsid w:val="000614E5"/>
    <w:rsid w:val="00066C5D"/>
    <w:rsid w:val="00067EAC"/>
    <w:rsid w:val="0007485B"/>
    <w:rsid w:val="00076856"/>
    <w:rsid w:val="00077915"/>
    <w:rsid w:val="00082810"/>
    <w:rsid w:val="00085E93"/>
    <w:rsid w:val="0009048D"/>
    <w:rsid w:val="00092FD8"/>
    <w:rsid w:val="00093619"/>
    <w:rsid w:val="00093A61"/>
    <w:rsid w:val="00094FFA"/>
    <w:rsid w:val="000A0AE8"/>
    <w:rsid w:val="000B2451"/>
    <w:rsid w:val="000B5143"/>
    <w:rsid w:val="000C1242"/>
    <w:rsid w:val="000D3201"/>
    <w:rsid w:val="000D3F79"/>
    <w:rsid w:val="000E08B9"/>
    <w:rsid w:val="000E2EB0"/>
    <w:rsid w:val="000F3A60"/>
    <w:rsid w:val="00104F58"/>
    <w:rsid w:val="0010545F"/>
    <w:rsid w:val="001116D7"/>
    <w:rsid w:val="00114F59"/>
    <w:rsid w:val="001172A8"/>
    <w:rsid w:val="00121BED"/>
    <w:rsid w:val="001239DD"/>
    <w:rsid w:val="00124970"/>
    <w:rsid w:val="00124ED8"/>
    <w:rsid w:val="00126370"/>
    <w:rsid w:val="00127549"/>
    <w:rsid w:val="00130460"/>
    <w:rsid w:val="00143F0D"/>
    <w:rsid w:val="0014603A"/>
    <w:rsid w:val="001550A7"/>
    <w:rsid w:val="00160123"/>
    <w:rsid w:val="00161743"/>
    <w:rsid w:val="0016621D"/>
    <w:rsid w:val="00166ECD"/>
    <w:rsid w:val="0018444C"/>
    <w:rsid w:val="00187D68"/>
    <w:rsid w:val="00190909"/>
    <w:rsid w:val="00194F7F"/>
    <w:rsid w:val="001A2237"/>
    <w:rsid w:val="001A6127"/>
    <w:rsid w:val="001B0294"/>
    <w:rsid w:val="001C1743"/>
    <w:rsid w:val="001C209A"/>
    <w:rsid w:val="001C502E"/>
    <w:rsid w:val="001C5614"/>
    <w:rsid w:val="001D57CD"/>
    <w:rsid w:val="001D5EBA"/>
    <w:rsid w:val="001E13DF"/>
    <w:rsid w:val="001E2931"/>
    <w:rsid w:val="001E6D0C"/>
    <w:rsid w:val="001F28E6"/>
    <w:rsid w:val="001F51F4"/>
    <w:rsid w:val="00203B3D"/>
    <w:rsid w:val="00210F11"/>
    <w:rsid w:val="00212EBE"/>
    <w:rsid w:val="00232ED0"/>
    <w:rsid w:val="00236391"/>
    <w:rsid w:val="00243044"/>
    <w:rsid w:val="00246FA7"/>
    <w:rsid w:val="00250C32"/>
    <w:rsid w:val="0025222B"/>
    <w:rsid w:val="00263AC9"/>
    <w:rsid w:val="00275B82"/>
    <w:rsid w:val="00276225"/>
    <w:rsid w:val="002771FF"/>
    <w:rsid w:val="00283C91"/>
    <w:rsid w:val="002878D8"/>
    <w:rsid w:val="00295684"/>
    <w:rsid w:val="002A325D"/>
    <w:rsid w:val="002A5EE7"/>
    <w:rsid w:val="002C31A2"/>
    <w:rsid w:val="002D0B04"/>
    <w:rsid w:val="002D381A"/>
    <w:rsid w:val="002D460E"/>
    <w:rsid w:val="002D6616"/>
    <w:rsid w:val="002D6644"/>
    <w:rsid w:val="002E2978"/>
    <w:rsid w:val="002E5259"/>
    <w:rsid w:val="002E77B6"/>
    <w:rsid w:val="002F02D1"/>
    <w:rsid w:val="002F761B"/>
    <w:rsid w:val="00302325"/>
    <w:rsid w:val="003121C6"/>
    <w:rsid w:val="0031394B"/>
    <w:rsid w:val="003140DF"/>
    <w:rsid w:val="00323D8C"/>
    <w:rsid w:val="00327581"/>
    <w:rsid w:val="00327BCD"/>
    <w:rsid w:val="00332614"/>
    <w:rsid w:val="00333620"/>
    <w:rsid w:val="00333F56"/>
    <w:rsid w:val="003370E3"/>
    <w:rsid w:val="003445F3"/>
    <w:rsid w:val="00347069"/>
    <w:rsid w:val="00347EEC"/>
    <w:rsid w:val="00350413"/>
    <w:rsid w:val="003514AB"/>
    <w:rsid w:val="00354C47"/>
    <w:rsid w:val="00357E66"/>
    <w:rsid w:val="003605C6"/>
    <w:rsid w:val="00366DB8"/>
    <w:rsid w:val="00367A32"/>
    <w:rsid w:val="00376023"/>
    <w:rsid w:val="00376976"/>
    <w:rsid w:val="003814C4"/>
    <w:rsid w:val="0038232A"/>
    <w:rsid w:val="003938F8"/>
    <w:rsid w:val="00395D70"/>
    <w:rsid w:val="003A1107"/>
    <w:rsid w:val="003A3B39"/>
    <w:rsid w:val="003B0942"/>
    <w:rsid w:val="003B4074"/>
    <w:rsid w:val="003B4DF1"/>
    <w:rsid w:val="003C3B6F"/>
    <w:rsid w:val="003C6E15"/>
    <w:rsid w:val="003D0E36"/>
    <w:rsid w:val="003D71F7"/>
    <w:rsid w:val="003E0432"/>
    <w:rsid w:val="003E107B"/>
    <w:rsid w:val="003F360E"/>
    <w:rsid w:val="00403AF2"/>
    <w:rsid w:val="00406562"/>
    <w:rsid w:val="00406709"/>
    <w:rsid w:val="00406809"/>
    <w:rsid w:val="00407252"/>
    <w:rsid w:val="00421E16"/>
    <w:rsid w:val="00423781"/>
    <w:rsid w:val="0042406A"/>
    <w:rsid w:val="00425894"/>
    <w:rsid w:val="004266FD"/>
    <w:rsid w:val="004307F0"/>
    <w:rsid w:val="004356C6"/>
    <w:rsid w:val="004361EA"/>
    <w:rsid w:val="00437FD7"/>
    <w:rsid w:val="00441DC9"/>
    <w:rsid w:val="004421CE"/>
    <w:rsid w:val="00452814"/>
    <w:rsid w:val="00454C06"/>
    <w:rsid w:val="00457687"/>
    <w:rsid w:val="004576AA"/>
    <w:rsid w:val="004605C3"/>
    <w:rsid w:val="004655E8"/>
    <w:rsid w:val="004735EC"/>
    <w:rsid w:val="00482B8E"/>
    <w:rsid w:val="004839AA"/>
    <w:rsid w:val="00484A86"/>
    <w:rsid w:val="00492029"/>
    <w:rsid w:val="004A0A80"/>
    <w:rsid w:val="004A179B"/>
    <w:rsid w:val="004A2970"/>
    <w:rsid w:val="004C5B3B"/>
    <w:rsid w:val="004C7155"/>
    <w:rsid w:val="004D0449"/>
    <w:rsid w:val="004D55DA"/>
    <w:rsid w:val="004E1E74"/>
    <w:rsid w:val="004E7032"/>
    <w:rsid w:val="004F5A85"/>
    <w:rsid w:val="00500F8B"/>
    <w:rsid w:val="00503622"/>
    <w:rsid w:val="00515681"/>
    <w:rsid w:val="00517461"/>
    <w:rsid w:val="005273A2"/>
    <w:rsid w:val="005317F2"/>
    <w:rsid w:val="00531AD1"/>
    <w:rsid w:val="00536575"/>
    <w:rsid w:val="0054053A"/>
    <w:rsid w:val="0054075A"/>
    <w:rsid w:val="005417D3"/>
    <w:rsid w:val="00543038"/>
    <w:rsid w:val="005504CF"/>
    <w:rsid w:val="0055658B"/>
    <w:rsid w:val="0056099E"/>
    <w:rsid w:val="005609BD"/>
    <w:rsid w:val="00562B0B"/>
    <w:rsid w:val="005676E1"/>
    <w:rsid w:val="00572E97"/>
    <w:rsid w:val="00581AE6"/>
    <w:rsid w:val="00590949"/>
    <w:rsid w:val="00591171"/>
    <w:rsid w:val="00594895"/>
    <w:rsid w:val="005A5253"/>
    <w:rsid w:val="005B0C33"/>
    <w:rsid w:val="005B5BFC"/>
    <w:rsid w:val="005B6B00"/>
    <w:rsid w:val="005C1FAF"/>
    <w:rsid w:val="005C274D"/>
    <w:rsid w:val="005C5CA6"/>
    <w:rsid w:val="005C635F"/>
    <w:rsid w:val="005C76FF"/>
    <w:rsid w:val="005D0ED7"/>
    <w:rsid w:val="005D175A"/>
    <w:rsid w:val="005D225E"/>
    <w:rsid w:val="005E1AD6"/>
    <w:rsid w:val="005E23D5"/>
    <w:rsid w:val="0060151D"/>
    <w:rsid w:val="006031D8"/>
    <w:rsid w:val="0061268B"/>
    <w:rsid w:val="00612A07"/>
    <w:rsid w:val="00613B3E"/>
    <w:rsid w:val="00617A39"/>
    <w:rsid w:val="00621D95"/>
    <w:rsid w:val="00621DB2"/>
    <w:rsid w:val="00624732"/>
    <w:rsid w:val="00627280"/>
    <w:rsid w:val="00632487"/>
    <w:rsid w:val="0063248B"/>
    <w:rsid w:val="00634A22"/>
    <w:rsid w:val="00636566"/>
    <w:rsid w:val="00641FBE"/>
    <w:rsid w:val="00644EC6"/>
    <w:rsid w:val="0064598C"/>
    <w:rsid w:val="00650B9A"/>
    <w:rsid w:val="00653813"/>
    <w:rsid w:val="006540CC"/>
    <w:rsid w:val="0065491B"/>
    <w:rsid w:val="00655D2E"/>
    <w:rsid w:val="00660075"/>
    <w:rsid w:val="00663562"/>
    <w:rsid w:val="0067456C"/>
    <w:rsid w:val="00677C0C"/>
    <w:rsid w:val="00681BC1"/>
    <w:rsid w:val="00683C36"/>
    <w:rsid w:val="00684279"/>
    <w:rsid w:val="006918C1"/>
    <w:rsid w:val="00694066"/>
    <w:rsid w:val="00696506"/>
    <w:rsid w:val="006A29C7"/>
    <w:rsid w:val="006A2E45"/>
    <w:rsid w:val="006A36A4"/>
    <w:rsid w:val="006B03B7"/>
    <w:rsid w:val="006B39E9"/>
    <w:rsid w:val="006C17E0"/>
    <w:rsid w:val="006D10C5"/>
    <w:rsid w:val="006D738F"/>
    <w:rsid w:val="006E30C1"/>
    <w:rsid w:val="006E33B5"/>
    <w:rsid w:val="006E35F9"/>
    <w:rsid w:val="006E4E37"/>
    <w:rsid w:val="006F331D"/>
    <w:rsid w:val="007012E2"/>
    <w:rsid w:val="00701620"/>
    <w:rsid w:val="00706A01"/>
    <w:rsid w:val="0071317E"/>
    <w:rsid w:val="00730C23"/>
    <w:rsid w:val="00730F15"/>
    <w:rsid w:val="007342CE"/>
    <w:rsid w:val="00740582"/>
    <w:rsid w:val="007414E1"/>
    <w:rsid w:val="00741B11"/>
    <w:rsid w:val="0074580C"/>
    <w:rsid w:val="00760F71"/>
    <w:rsid w:val="007617BD"/>
    <w:rsid w:val="00770D80"/>
    <w:rsid w:val="00772339"/>
    <w:rsid w:val="0078710E"/>
    <w:rsid w:val="00787F4C"/>
    <w:rsid w:val="007917B0"/>
    <w:rsid w:val="007A1A5F"/>
    <w:rsid w:val="007A34C9"/>
    <w:rsid w:val="007A6C5D"/>
    <w:rsid w:val="007A7425"/>
    <w:rsid w:val="007A7980"/>
    <w:rsid w:val="007B04FD"/>
    <w:rsid w:val="007B71B6"/>
    <w:rsid w:val="007C085F"/>
    <w:rsid w:val="007C1B58"/>
    <w:rsid w:val="007D41E1"/>
    <w:rsid w:val="007E1A57"/>
    <w:rsid w:val="007E616F"/>
    <w:rsid w:val="007E7073"/>
    <w:rsid w:val="007F0611"/>
    <w:rsid w:val="007F2CA6"/>
    <w:rsid w:val="007F423C"/>
    <w:rsid w:val="007F71A7"/>
    <w:rsid w:val="00801CA2"/>
    <w:rsid w:val="00802BFE"/>
    <w:rsid w:val="008052DA"/>
    <w:rsid w:val="00807431"/>
    <w:rsid w:val="00810763"/>
    <w:rsid w:val="008157BA"/>
    <w:rsid w:val="00817D8A"/>
    <w:rsid w:val="00826845"/>
    <w:rsid w:val="00836D7A"/>
    <w:rsid w:val="00841E41"/>
    <w:rsid w:val="0084331E"/>
    <w:rsid w:val="00843E13"/>
    <w:rsid w:val="00843F4B"/>
    <w:rsid w:val="0084597D"/>
    <w:rsid w:val="00850D4E"/>
    <w:rsid w:val="00857394"/>
    <w:rsid w:val="008600E4"/>
    <w:rsid w:val="0086296B"/>
    <w:rsid w:val="008676DF"/>
    <w:rsid w:val="00867ECF"/>
    <w:rsid w:val="00872CF4"/>
    <w:rsid w:val="00873E53"/>
    <w:rsid w:val="00877C88"/>
    <w:rsid w:val="0088365D"/>
    <w:rsid w:val="008907C3"/>
    <w:rsid w:val="008920C9"/>
    <w:rsid w:val="008924D8"/>
    <w:rsid w:val="00892705"/>
    <w:rsid w:val="008965FF"/>
    <w:rsid w:val="00897D7D"/>
    <w:rsid w:val="008A0D61"/>
    <w:rsid w:val="008A117A"/>
    <w:rsid w:val="008A4E71"/>
    <w:rsid w:val="008B3910"/>
    <w:rsid w:val="008B564A"/>
    <w:rsid w:val="008C0767"/>
    <w:rsid w:val="008C2D26"/>
    <w:rsid w:val="008C671A"/>
    <w:rsid w:val="008D2340"/>
    <w:rsid w:val="008E2532"/>
    <w:rsid w:val="008E34E9"/>
    <w:rsid w:val="008F0C79"/>
    <w:rsid w:val="008F3DE8"/>
    <w:rsid w:val="008F4908"/>
    <w:rsid w:val="009055ED"/>
    <w:rsid w:val="00912CE3"/>
    <w:rsid w:val="009249B9"/>
    <w:rsid w:val="009269B2"/>
    <w:rsid w:val="00930D0F"/>
    <w:rsid w:val="00932779"/>
    <w:rsid w:val="009341F4"/>
    <w:rsid w:val="009345ED"/>
    <w:rsid w:val="00934ED3"/>
    <w:rsid w:val="00940505"/>
    <w:rsid w:val="00941183"/>
    <w:rsid w:val="00943EFE"/>
    <w:rsid w:val="00946CAD"/>
    <w:rsid w:val="00970925"/>
    <w:rsid w:val="00987141"/>
    <w:rsid w:val="00991A2A"/>
    <w:rsid w:val="009937AE"/>
    <w:rsid w:val="009A2328"/>
    <w:rsid w:val="009A374A"/>
    <w:rsid w:val="009B01E1"/>
    <w:rsid w:val="009B5ABC"/>
    <w:rsid w:val="009C2CE3"/>
    <w:rsid w:val="009D5B6B"/>
    <w:rsid w:val="009D6B3B"/>
    <w:rsid w:val="009D71A3"/>
    <w:rsid w:val="009E35EB"/>
    <w:rsid w:val="009E5610"/>
    <w:rsid w:val="009F3027"/>
    <w:rsid w:val="009F5C01"/>
    <w:rsid w:val="00A06CAC"/>
    <w:rsid w:val="00A10C60"/>
    <w:rsid w:val="00A176D5"/>
    <w:rsid w:val="00A2557F"/>
    <w:rsid w:val="00A27711"/>
    <w:rsid w:val="00A30E4A"/>
    <w:rsid w:val="00A339CF"/>
    <w:rsid w:val="00A362B4"/>
    <w:rsid w:val="00A40088"/>
    <w:rsid w:val="00A41ECF"/>
    <w:rsid w:val="00A43D36"/>
    <w:rsid w:val="00A60E0E"/>
    <w:rsid w:val="00A61B62"/>
    <w:rsid w:val="00A72CBB"/>
    <w:rsid w:val="00A85159"/>
    <w:rsid w:val="00A87E8E"/>
    <w:rsid w:val="00A91D66"/>
    <w:rsid w:val="00AA4754"/>
    <w:rsid w:val="00AA4992"/>
    <w:rsid w:val="00AA71D5"/>
    <w:rsid w:val="00AB0EB8"/>
    <w:rsid w:val="00AB478D"/>
    <w:rsid w:val="00AC2846"/>
    <w:rsid w:val="00AC5B03"/>
    <w:rsid w:val="00AC5D5C"/>
    <w:rsid w:val="00AF535D"/>
    <w:rsid w:val="00B02AD8"/>
    <w:rsid w:val="00B02B42"/>
    <w:rsid w:val="00B03A12"/>
    <w:rsid w:val="00B06509"/>
    <w:rsid w:val="00B06C58"/>
    <w:rsid w:val="00B158CF"/>
    <w:rsid w:val="00B23E71"/>
    <w:rsid w:val="00B269CD"/>
    <w:rsid w:val="00B3068E"/>
    <w:rsid w:val="00B3103B"/>
    <w:rsid w:val="00B37BBE"/>
    <w:rsid w:val="00B41B79"/>
    <w:rsid w:val="00B46F7B"/>
    <w:rsid w:val="00B476CC"/>
    <w:rsid w:val="00B52957"/>
    <w:rsid w:val="00B552D1"/>
    <w:rsid w:val="00B5736D"/>
    <w:rsid w:val="00B57F69"/>
    <w:rsid w:val="00B6764F"/>
    <w:rsid w:val="00B74664"/>
    <w:rsid w:val="00B76579"/>
    <w:rsid w:val="00B81305"/>
    <w:rsid w:val="00B82553"/>
    <w:rsid w:val="00B9723D"/>
    <w:rsid w:val="00BA3A63"/>
    <w:rsid w:val="00BA589A"/>
    <w:rsid w:val="00BA78B9"/>
    <w:rsid w:val="00BC46DE"/>
    <w:rsid w:val="00BC6BBA"/>
    <w:rsid w:val="00BD570C"/>
    <w:rsid w:val="00BE50DA"/>
    <w:rsid w:val="00BF0276"/>
    <w:rsid w:val="00BF0433"/>
    <w:rsid w:val="00BF78A3"/>
    <w:rsid w:val="00C00CE9"/>
    <w:rsid w:val="00C042B1"/>
    <w:rsid w:val="00C178D0"/>
    <w:rsid w:val="00C2256F"/>
    <w:rsid w:val="00C23F8F"/>
    <w:rsid w:val="00C24EB5"/>
    <w:rsid w:val="00C25A28"/>
    <w:rsid w:val="00C26787"/>
    <w:rsid w:val="00C3065F"/>
    <w:rsid w:val="00C34862"/>
    <w:rsid w:val="00C34F28"/>
    <w:rsid w:val="00C3506B"/>
    <w:rsid w:val="00C36FE1"/>
    <w:rsid w:val="00C40F50"/>
    <w:rsid w:val="00C5022D"/>
    <w:rsid w:val="00C52A97"/>
    <w:rsid w:val="00C62AC4"/>
    <w:rsid w:val="00C63A99"/>
    <w:rsid w:val="00C64770"/>
    <w:rsid w:val="00C67CCF"/>
    <w:rsid w:val="00C701EA"/>
    <w:rsid w:val="00C76EFC"/>
    <w:rsid w:val="00C773B3"/>
    <w:rsid w:val="00C80C62"/>
    <w:rsid w:val="00C81F0F"/>
    <w:rsid w:val="00C82902"/>
    <w:rsid w:val="00C839A9"/>
    <w:rsid w:val="00C870AA"/>
    <w:rsid w:val="00C96635"/>
    <w:rsid w:val="00C97616"/>
    <w:rsid w:val="00CA4BB8"/>
    <w:rsid w:val="00CA68B3"/>
    <w:rsid w:val="00CB474B"/>
    <w:rsid w:val="00CC493C"/>
    <w:rsid w:val="00CC598E"/>
    <w:rsid w:val="00CC59FC"/>
    <w:rsid w:val="00CC65CD"/>
    <w:rsid w:val="00CD51D2"/>
    <w:rsid w:val="00CE1CDD"/>
    <w:rsid w:val="00CE65D4"/>
    <w:rsid w:val="00CE7A79"/>
    <w:rsid w:val="00CF4492"/>
    <w:rsid w:val="00D038A8"/>
    <w:rsid w:val="00D0407A"/>
    <w:rsid w:val="00D043CC"/>
    <w:rsid w:val="00D14E29"/>
    <w:rsid w:val="00D2344A"/>
    <w:rsid w:val="00D25B51"/>
    <w:rsid w:val="00D33F84"/>
    <w:rsid w:val="00D3751C"/>
    <w:rsid w:val="00D424D1"/>
    <w:rsid w:val="00D44CFE"/>
    <w:rsid w:val="00D463F8"/>
    <w:rsid w:val="00D53E21"/>
    <w:rsid w:val="00D5403A"/>
    <w:rsid w:val="00D54F0D"/>
    <w:rsid w:val="00D56394"/>
    <w:rsid w:val="00D56CA9"/>
    <w:rsid w:val="00D56FEA"/>
    <w:rsid w:val="00D61443"/>
    <w:rsid w:val="00D621C1"/>
    <w:rsid w:val="00D6747A"/>
    <w:rsid w:val="00D776C6"/>
    <w:rsid w:val="00D77FC6"/>
    <w:rsid w:val="00D85592"/>
    <w:rsid w:val="00D866ED"/>
    <w:rsid w:val="00D907F6"/>
    <w:rsid w:val="00D93E87"/>
    <w:rsid w:val="00D94C50"/>
    <w:rsid w:val="00DA4139"/>
    <w:rsid w:val="00DA5C83"/>
    <w:rsid w:val="00DA6F1C"/>
    <w:rsid w:val="00DC192C"/>
    <w:rsid w:val="00DD0AB5"/>
    <w:rsid w:val="00DD1273"/>
    <w:rsid w:val="00DD20B4"/>
    <w:rsid w:val="00DE121E"/>
    <w:rsid w:val="00DE76BB"/>
    <w:rsid w:val="00E03DAD"/>
    <w:rsid w:val="00E042D4"/>
    <w:rsid w:val="00E105DD"/>
    <w:rsid w:val="00E1087D"/>
    <w:rsid w:val="00E305A3"/>
    <w:rsid w:val="00E3258A"/>
    <w:rsid w:val="00E33F37"/>
    <w:rsid w:val="00E37EA3"/>
    <w:rsid w:val="00E40792"/>
    <w:rsid w:val="00E448BF"/>
    <w:rsid w:val="00E50A6B"/>
    <w:rsid w:val="00E52DD0"/>
    <w:rsid w:val="00E6497E"/>
    <w:rsid w:val="00E65CA7"/>
    <w:rsid w:val="00E67A70"/>
    <w:rsid w:val="00E701BC"/>
    <w:rsid w:val="00E74B20"/>
    <w:rsid w:val="00E878FC"/>
    <w:rsid w:val="00E9221F"/>
    <w:rsid w:val="00E927A6"/>
    <w:rsid w:val="00EA1D70"/>
    <w:rsid w:val="00EA2FB0"/>
    <w:rsid w:val="00EA3CE9"/>
    <w:rsid w:val="00EB1022"/>
    <w:rsid w:val="00EB2AB7"/>
    <w:rsid w:val="00EC6A3B"/>
    <w:rsid w:val="00ED1987"/>
    <w:rsid w:val="00ED1A90"/>
    <w:rsid w:val="00ED576F"/>
    <w:rsid w:val="00ED6F4E"/>
    <w:rsid w:val="00EE4F43"/>
    <w:rsid w:val="00EF5815"/>
    <w:rsid w:val="00F0557B"/>
    <w:rsid w:val="00F14FC5"/>
    <w:rsid w:val="00F17BE5"/>
    <w:rsid w:val="00F217C5"/>
    <w:rsid w:val="00F23C43"/>
    <w:rsid w:val="00F2605B"/>
    <w:rsid w:val="00F26C5D"/>
    <w:rsid w:val="00F32332"/>
    <w:rsid w:val="00F35D37"/>
    <w:rsid w:val="00F41E74"/>
    <w:rsid w:val="00F433E4"/>
    <w:rsid w:val="00F454A2"/>
    <w:rsid w:val="00F5404C"/>
    <w:rsid w:val="00F56652"/>
    <w:rsid w:val="00F573B0"/>
    <w:rsid w:val="00F6266E"/>
    <w:rsid w:val="00F74B4E"/>
    <w:rsid w:val="00F74CC8"/>
    <w:rsid w:val="00F863B6"/>
    <w:rsid w:val="00F9199C"/>
    <w:rsid w:val="00F92BBC"/>
    <w:rsid w:val="00F95623"/>
    <w:rsid w:val="00F96CE5"/>
    <w:rsid w:val="00FA0F55"/>
    <w:rsid w:val="00FA1547"/>
    <w:rsid w:val="00FA16BE"/>
    <w:rsid w:val="00FA18C6"/>
    <w:rsid w:val="00FA427D"/>
    <w:rsid w:val="00FA46BE"/>
    <w:rsid w:val="00FA4BC3"/>
    <w:rsid w:val="00FA5FFA"/>
    <w:rsid w:val="00FA67CD"/>
    <w:rsid w:val="00FC1161"/>
    <w:rsid w:val="00FC7294"/>
    <w:rsid w:val="00FE0A60"/>
    <w:rsid w:val="00FE4890"/>
    <w:rsid w:val="00FF5F8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5F12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New York" w:eastAsia="Times New Roman" w:hAnsi="New York" w:cs="Times New Roman"/>
        <w:lang w:val="en-US" w:eastAsia="en-US" w:bidi="he-I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regpar"/>
    <w:qFormat/>
    <w:pPr>
      <w:spacing w:line="300" w:lineRule="exact"/>
      <w:jc w:val="both"/>
    </w:pPr>
    <w:rPr>
      <w:rFonts w:ascii="Times" w:hAnsi="Times" w:cs="Time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egpar">
    <w:name w:val="regpar"/>
    <w:basedOn w:val="a"/>
    <w:pPr>
      <w:ind w:firstLine="240"/>
    </w:pPr>
  </w:style>
  <w:style w:type="paragraph" w:styleId="a3">
    <w:name w:val="footer"/>
    <w:basedOn w:val="a"/>
    <w:link w:val="a4"/>
    <w:uiPriority w:val="99"/>
    <w:pPr>
      <w:tabs>
        <w:tab w:val="center" w:pos="4320"/>
        <w:tab w:val="right" w:pos="8640"/>
      </w:tabs>
    </w:pPr>
  </w:style>
  <w:style w:type="paragraph" w:styleId="a5">
    <w:name w:val="header"/>
    <w:basedOn w:val="a"/>
    <w:pPr>
      <w:tabs>
        <w:tab w:val="center" w:pos="4200"/>
        <w:tab w:val="right" w:pos="8400"/>
      </w:tabs>
    </w:pPr>
  </w:style>
  <w:style w:type="character" w:styleId="a6">
    <w:name w:val="footnote reference"/>
    <w:rPr>
      <w:position w:val="6"/>
      <w:sz w:val="14"/>
      <w:szCs w:val="14"/>
    </w:rPr>
  </w:style>
  <w:style w:type="paragraph" w:styleId="a7">
    <w:name w:val="footnote text"/>
    <w:basedOn w:val="regpar"/>
    <w:link w:val="a8"/>
    <w:pPr>
      <w:spacing w:line="240" w:lineRule="exact"/>
    </w:pPr>
    <w:rPr>
      <w:sz w:val="20"/>
      <w:szCs w:val="20"/>
    </w:rPr>
  </w:style>
  <w:style w:type="character" w:styleId="a9">
    <w:name w:val="page number"/>
    <w:basedOn w:val="a0"/>
  </w:style>
  <w:style w:type="paragraph" w:customStyle="1" w:styleId="ER-text86">
    <w:name w:val="*ER-text 86%"/>
    <w:basedOn w:val="a"/>
  </w:style>
  <w:style w:type="paragraph" w:customStyle="1" w:styleId="abstract">
    <w:name w:val="abstract"/>
    <w:basedOn w:val="a"/>
    <w:next w:val="a"/>
    <w:pPr>
      <w:spacing w:line="260" w:lineRule="exact"/>
      <w:ind w:left="480" w:right="480"/>
    </w:pPr>
    <w:rPr>
      <w:sz w:val="22"/>
      <w:szCs w:val="22"/>
    </w:rPr>
  </w:style>
  <w:style w:type="paragraph" w:customStyle="1" w:styleId="author">
    <w:name w:val="author"/>
    <w:basedOn w:val="a"/>
    <w:next w:val="abstract"/>
    <w:pPr>
      <w:jc w:val="center"/>
    </w:pPr>
    <w:rPr>
      <w:smallCaps/>
    </w:rPr>
  </w:style>
  <w:style w:type="paragraph" w:customStyle="1" w:styleId="1">
    <w:name w:val="כותרת טקסט1"/>
    <w:basedOn w:val="a"/>
    <w:next w:val="author"/>
    <w:pPr>
      <w:jc w:val="center"/>
    </w:pPr>
    <w:rPr>
      <w:caps/>
      <w:sz w:val="28"/>
      <w:szCs w:val="28"/>
    </w:rPr>
  </w:style>
  <w:style w:type="paragraph" w:customStyle="1" w:styleId="Ahead">
    <w:name w:val="A head"/>
    <w:basedOn w:val="a"/>
    <w:next w:val="a"/>
    <w:pPr>
      <w:jc w:val="left"/>
    </w:pPr>
    <w:rPr>
      <w:caps/>
      <w:sz w:val="22"/>
      <w:szCs w:val="22"/>
    </w:rPr>
  </w:style>
  <w:style w:type="paragraph" w:customStyle="1" w:styleId="Bhead">
    <w:name w:val="B head"/>
    <w:basedOn w:val="a"/>
    <w:next w:val="a"/>
    <w:rPr>
      <w:b/>
      <w:bCs/>
    </w:rPr>
  </w:style>
  <w:style w:type="paragraph" w:customStyle="1" w:styleId="rule">
    <w:name w:val="rule"/>
    <w:basedOn w:val="a"/>
    <w:pPr>
      <w:spacing w:line="120" w:lineRule="exact"/>
      <w:jc w:val="left"/>
    </w:pPr>
    <w:rPr>
      <w:spacing w:val="-20"/>
      <w:sz w:val="12"/>
      <w:szCs w:val="12"/>
    </w:rPr>
  </w:style>
  <w:style w:type="paragraph" w:customStyle="1" w:styleId="noteseparator">
    <w:name w:val="note separator"/>
    <w:basedOn w:val="a"/>
    <w:next w:val="a7"/>
    <w:pPr>
      <w:spacing w:line="160" w:lineRule="exact"/>
    </w:pPr>
  </w:style>
  <w:style w:type="paragraph" w:customStyle="1" w:styleId="runninghead">
    <w:name w:val="running head"/>
    <w:basedOn w:val="a5"/>
    <w:rPr>
      <w:smallCaps/>
    </w:rPr>
  </w:style>
  <w:style w:type="paragraph" w:customStyle="1" w:styleId="eq">
    <w:name w:val="eq"/>
    <w:basedOn w:val="a"/>
    <w:pPr>
      <w:tabs>
        <w:tab w:val="center" w:pos="4320"/>
        <w:tab w:val="right" w:pos="8400"/>
      </w:tabs>
      <w:spacing w:line="300" w:lineRule="atLeast"/>
    </w:pPr>
  </w:style>
  <w:style w:type="paragraph" w:customStyle="1" w:styleId="Chead">
    <w:name w:val="C head"/>
    <w:basedOn w:val="a"/>
    <w:next w:val="a"/>
    <w:rPr>
      <w:i/>
      <w:iCs/>
    </w:rPr>
  </w:style>
  <w:style w:type="paragraph" w:customStyle="1" w:styleId="ARtext">
    <w:name w:val="*AR text"/>
    <w:basedOn w:val="a"/>
  </w:style>
  <w:style w:type="paragraph" w:customStyle="1" w:styleId="quotes">
    <w:name w:val="quotes"/>
    <w:basedOn w:val="a"/>
    <w:next w:val="a"/>
    <w:pPr>
      <w:spacing w:line="260" w:lineRule="exact"/>
      <w:ind w:left="480" w:right="480"/>
    </w:pPr>
    <w:rPr>
      <w:sz w:val="22"/>
      <w:szCs w:val="22"/>
    </w:rPr>
  </w:style>
  <w:style w:type="paragraph" w:customStyle="1" w:styleId="chapter">
    <w:name w:val="chapter"/>
    <w:basedOn w:val="a"/>
    <w:next w:val="1"/>
    <w:pPr>
      <w:spacing w:line="560" w:lineRule="atLeast"/>
    </w:pPr>
    <w:rPr>
      <w:i/>
      <w:iCs/>
      <w:sz w:val="36"/>
      <w:szCs w:val="36"/>
    </w:rPr>
  </w:style>
  <w:style w:type="paragraph" w:styleId="aa">
    <w:name w:val="Body Text Indent"/>
    <w:basedOn w:val="a"/>
    <w:pPr>
      <w:widowControl w:val="0"/>
      <w:ind w:left="284" w:hanging="284"/>
    </w:pPr>
  </w:style>
  <w:style w:type="character" w:styleId="Hyperlink">
    <w:name w:val="Hyperlink"/>
    <w:rPr>
      <w:color w:val="0000FF"/>
      <w:u w:val="single"/>
    </w:rPr>
  </w:style>
  <w:style w:type="paragraph" w:styleId="ab">
    <w:name w:val="Date"/>
    <w:basedOn w:val="a"/>
    <w:next w:val="a"/>
    <w:rsid w:val="00E03DAD"/>
  </w:style>
  <w:style w:type="table" w:styleId="ac">
    <w:name w:val="Table Grid"/>
    <w:basedOn w:val="a1"/>
    <w:rsid w:val="00E03DAD"/>
    <w:pPr>
      <w:spacing w:line="300" w:lineRule="exac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CE7A79"/>
    <w:rPr>
      <w:color w:val="800080"/>
      <w:u w:val="single"/>
    </w:rPr>
  </w:style>
  <w:style w:type="paragraph" w:styleId="ad">
    <w:name w:val="Balloon Text"/>
    <w:basedOn w:val="a"/>
    <w:link w:val="ae"/>
    <w:uiPriority w:val="99"/>
    <w:semiHidden/>
    <w:unhideWhenUsed/>
    <w:rsid w:val="00EC6A3B"/>
    <w:pPr>
      <w:spacing w:line="240" w:lineRule="auto"/>
    </w:pPr>
    <w:rPr>
      <w:rFonts w:ascii="Tahoma" w:hAnsi="Tahoma" w:cs="Tahoma"/>
      <w:sz w:val="16"/>
      <w:szCs w:val="16"/>
    </w:rPr>
  </w:style>
  <w:style w:type="character" w:customStyle="1" w:styleId="ae">
    <w:name w:val="טקסט בלונים תו"/>
    <w:link w:val="ad"/>
    <w:uiPriority w:val="99"/>
    <w:semiHidden/>
    <w:rsid w:val="00EC6A3B"/>
    <w:rPr>
      <w:rFonts w:ascii="Tahoma" w:hAnsi="Tahoma" w:cs="Tahoma"/>
      <w:sz w:val="16"/>
      <w:szCs w:val="16"/>
    </w:rPr>
  </w:style>
  <w:style w:type="paragraph" w:styleId="af">
    <w:name w:val="Revision"/>
    <w:hidden/>
    <w:uiPriority w:val="99"/>
    <w:semiHidden/>
    <w:rsid w:val="00C81F0F"/>
    <w:rPr>
      <w:rFonts w:ascii="Times" w:hAnsi="Times" w:cs="Times"/>
      <w:sz w:val="24"/>
      <w:szCs w:val="24"/>
    </w:rPr>
  </w:style>
  <w:style w:type="paragraph" w:styleId="af0">
    <w:name w:val="Plain Text"/>
    <w:basedOn w:val="a"/>
    <w:link w:val="af1"/>
    <w:uiPriority w:val="99"/>
    <w:semiHidden/>
    <w:unhideWhenUsed/>
    <w:rsid w:val="00E52DD0"/>
    <w:pPr>
      <w:spacing w:line="240" w:lineRule="auto"/>
      <w:jc w:val="left"/>
    </w:pPr>
    <w:rPr>
      <w:rFonts w:ascii="Calibri" w:eastAsia="Calibri" w:hAnsi="Calibri" w:cs="Arial"/>
      <w:sz w:val="22"/>
      <w:szCs w:val="21"/>
    </w:rPr>
  </w:style>
  <w:style w:type="character" w:customStyle="1" w:styleId="af1">
    <w:name w:val="טקסט רגיל תו"/>
    <w:link w:val="af0"/>
    <w:uiPriority w:val="99"/>
    <w:semiHidden/>
    <w:rsid w:val="00E52DD0"/>
    <w:rPr>
      <w:rFonts w:ascii="Calibri" w:eastAsia="Calibri" w:hAnsi="Calibri" w:cs="Arial"/>
      <w:sz w:val="22"/>
      <w:szCs w:val="21"/>
    </w:rPr>
  </w:style>
  <w:style w:type="paragraph" w:styleId="af2">
    <w:name w:val="List Paragraph"/>
    <w:basedOn w:val="a"/>
    <w:uiPriority w:val="34"/>
    <w:qFormat/>
    <w:rsid w:val="00C96635"/>
    <w:pPr>
      <w:ind w:left="720"/>
      <w:contextualSpacing/>
    </w:pPr>
  </w:style>
  <w:style w:type="character" w:customStyle="1" w:styleId="a4">
    <w:name w:val="כותרת תחתונה תו"/>
    <w:basedOn w:val="a0"/>
    <w:link w:val="a3"/>
    <w:uiPriority w:val="99"/>
    <w:rsid w:val="008F0C79"/>
    <w:rPr>
      <w:rFonts w:ascii="Times" w:hAnsi="Times" w:cs="Times"/>
      <w:sz w:val="24"/>
      <w:szCs w:val="24"/>
    </w:rPr>
  </w:style>
  <w:style w:type="character" w:customStyle="1" w:styleId="a8">
    <w:name w:val="טקסט הערת שוליים תו"/>
    <w:basedOn w:val="a0"/>
    <w:link w:val="a7"/>
    <w:rsid w:val="00A27711"/>
    <w:rPr>
      <w:rFonts w:ascii="Times" w:hAnsi="Times" w:cs="Times"/>
    </w:rPr>
  </w:style>
  <w:style w:type="character" w:styleId="af3">
    <w:name w:val="annotation reference"/>
    <w:basedOn w:val="a0"/>
    <w:uiPriority w:val="99"/>
    <w:semiHidden/>
    <w:unhideWhenUsed/>
    <w:rsid w:val="008D2340"/>
    <w:rPr>
      <w:sz w:val="16"/>
      <w:szCs w:val="16"/>
    </w:rPr>
  </w:style>
  <w:style w:type="paragraph" w:styleId="af4">
    <w:name w:val="annotation text"/>
    <w:basedOn w:val="a"/>
    <w:link w:val="af5"/>
    <w:uiPriority w:val="99"/>
    <w:semiHidden/>
    <w:unhideWhenUsed/>
    <w:rsid w:val="008D2340"/>
    <w:pPr>
      <w:spacing w:line="240" w:lineRule="auto"/>
    </w:pPr>
    <w:rPr>
      <w:sz w:val="20"/>
      <w:szCs w:val="20"/>
    </w:rPr>
  </w:style>
  <w:style w:type="character" w:customStyle="1" w:styleId="af5">
    <w:name w:val="טקסט הערה תו"/>
    <w:basedOn w:val="a0"/>
    <w:link w:val="af4"/>
    <w:uiPriority w:val="99"/>
    <w:semiHidden/>
    <w:rsid w:val="008D2340"/>
    <w:rPr>
      <w:rFonts w:ascii="Times" w:hAnsi="Times" w:cs="Times"/>
    </w:rPr>
  </w:style>
  <w:style w:type="paragraph" w:styleId="af6">
    <w:name w:val="annotation subject"/>
    <w:basedOn w:val="af4"/>
    <w:next w:val="af4"/>
    <w:link w:val="af7"/>
    <w:uiPriority w:val="99"/>
    <w:semiHidden/>
    <w:unhideWhenUsed/>
    <w:rsid w:val="008D2340"/>
    <w:rPr>
      <w:b/>
      <w:bCs/>
    </w:rPr>
  </w:style>
  <w:style w:type="character" w:customStyle="1" w:styleId="af7">
    <w:name w:val="נושא הערה תו"/>
    <w:basedOn w:val="af5"/>
    <w:link w:val="af6"/>
    <w:uiPriority w:val="99"/>
    <w:semiHidden/>
    <w:rsid w:val="008D2340"/>
    <w:rPr>
      <w:rFonts w:ascii="Times" w:hAnsi="Times" w:cs="Times"/>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812841">
      <w:bodyDiv w:val="1"/>
      <w:marLeft w:val="0"/>
      <w:marRight w:val="0"/>
      <w:marTop w:val="0"/>
      <w:marBottom w:val="0"/>
      <w:divBdr>
        <w:top w:val="none" w:sz="0" w:space="0" w:color="auto"/>
        <w:left w:val="none" w:sz="0" w:space="0" w:color="auto"/>
        <w:bottom w:val="none" w:sz="0" w:space="0" w:color="auto"/>
        <w:right w:val="none" w:sz="0" w:space="0" w:color="auto"/>
      </w:divBdr>
    </w:div>
    <w:div w:id="1213811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eWaveListOrderValu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EE9343D4987C6478DC1BE6EDC107D2A" ma:contentTypeVersion="2" ma:contentTypeDescription="Create a new document." ma:contentTypeScope="" ma:versionID="dc66967819e61477bbb22baefbd46658">
  <xsd:schema xmlns:xsd="http://www.w3.org/2001/XMLSchema" xmlns:xs="http://www.w3.org/2001/XMLSchema" xmlns:p="http://schemas.microsoft.com/office/2006/metadata/properties" xmlns:ns1="http://schemas.microsoft.com/sharepoint/v3" targetNamespace="http://schemas.microsoft.com/office/2006/metadata/properties" ma:root="true" ma:fieldsID="ea2d015b092b9b034dac7bb82bea7adc" ns1:_="">
    <xsd:import namespace="http://schemas.microsoft.com/sharepoint/v3"/>
    <xsd:element name="properties">
      <xsd:complexType>
        <xsd:sequence>
          <xsd:element name="documentManagement">
            <xsd:complexType>
              <xsd:all>
                <xsd:element ref="ns1:PublishingStartDate" minOccurs="0"/>
                <xsd:element ref="ns1:PublishingExpirationDate" minOccurs="0"/>
                <xsd:element ref="ns1:eWaveListOrderValu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element name="eWaveListOrderValue" ma:index="10" nillable="true" ma:displayName="סידור" ma:decimals="2" ma:internalName="eWaveListOrderValue" ma:readOnly="false" ma:percentage="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4291E8D-F6AE-4F7D-B6A6-30AEBDDD55E0}"/>
</file>

<file path=customXml/itemProps2.xml><?xml version="1.0" encoding="utf-8"?>
<ds:datastoreItem xmlns:ds="http://schemas.openxmlformats.org/officeDocument/2006/customXml" ds:itemID="{37CB3AD7-C05B-4FB1-A8D2-B75B3DAE7EF1}"/>
</file>

<file path=customXml/itemProps3.xml><?xml version="1.0" encoding="utf-8"?>
<ds:datastoreItem xmlns:ds="http://schemas.openxmlformats.org/officeDocument/2006/customXml" ds:itemID="{BFD70AE1-37F1-4A16-B90F-7D9393E12D42}"/>
</file>

<file path=customXml/itemProps4.xml><?xml version="1.0" encoding="utf-8"?>
<ds:datastoreItem xmlns:ds="http://schemas.openxmlformats.org/officeDocument/2006/customXml" ds:itemID="{07378FF9-0194-4635-AEA9-2AA43F32DA6E}"/>
</file>

<file path=docProps/app.xml><?xml version="1.0" encoding="utf-8"?>
<Properties xmlns="http://schemas.openxmlformats.org/officeDocument/2006/extended-properties" xmlns:vt="http://schemas.openxmlformats.org/officeDocument/2006/docPropsVTypes">
  <Template>Normal.dotm</Template>
  <TotalTime>0</TotalTime>
  <Pages>3</Pages>
  <Words>987</Words>
  <Characters>5298</Characters>
  <Application>Microsoft Office Word</Application>
  <DocSecurity>4</DocSecurity>
  <Lines>44</Lines>
  <Paragraphs>12</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LinksUpToDate>false</LinksUpToDate>
  <CharactersWithSpaces>6273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2022-02-07T13:01:00Z</dcterms:created>
  <dcterms:modified xsi:type="dcterms:W3CDTF">2022-02-07T13:01:00Z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0x010100BEE9343D4987C6478DC1BE6EDC107D2A</vt:lpwstr>
  </property>
</Properties>
</file>