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B41F0D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E3553D" w:rsidRDefault="00C85DA4" w:rsidP="00020B4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3553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E3553D" w:rsidRDefault="00C85DA4" w:rsidP="00020B46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3553D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E3553D" w:rsidRDefault="00C85DA4" w:rsidP="00020B46">
            <w:pPr>
              <w:jc w:val="both"/>
              <w:rPr>
                <w:rFonts w:ascii="Calibri" w:hAnsi="Calibri" w:cs="Calibri"/>
              </w:rPr>
            </w:pPr>
            <w:r w:rsidRPr="00E3553D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E3553D" w:rsidRDefault="00C85DA4" w:rsidP="00410652">
            <w:pPr>
              <w:jc w:val="right"/>
              <w:rPr>
                <w:rFonts w:ascii="Calibri" w:hAnsi="Calibri" w:cs="Calibri"/>
                <w:rtl/>
              </w:rPr>
            </w:pPr>
            <w:r w:rsidRPr="00E3553D">
              <w:rPr>
                <w:rFonts w:ascii="Calibri" w:hAnsi="Calibri" w:cs="Calibri"/>
                <w:highlight w:val="green"/>
                <w:rtl/>
              </w:rPr>
              <w:t>‏</w:t>
            </w:r>
            <w:r w:rsidRPr="00E3553D">
              <w:rPr>
                <w:rFonts w:ascii="Calibri" w:hAnsi="Calibri" w:cs="Calibri"/>
                <w:rtl/>
              </w:rPr>
              <w:t xml:space="preserve">ירושלים, </w:t>
            </w:r>
            <w:r w:rsidRPr="00E3553D">
              <w:rPr>
                <w:rFonts w:ascii="Calibri" w:hAnsi="Calibri" w:cs="Calibri"/>
                <w:rtl/>
              </w:rPr>
              <w:fldChar w:fldCharType="begin"/>
            </w:r>
            <w:r w:rsidRPr="00E3553D">
              <w:rPr>
                <w:rFonts w:ascii="Calibri" w:hAnsi="Calibri" w:cs="Calibri"/>
                <w:rtl/>
              </w:rPr>
              <w:instrText xml:space="preserve"> </w:instrText>
            </w:r>
            <w:r w:rsidRPr="00E3553D">
              <w:rPr>
                <w:rFonts w:ascii="Calibri" w:hAnsi="Calibri" w:cs="Calibri"/>
              </w:rPr>
              <w:instrText>DATE</w:instrText>
            </w:r>
            <w:r w:rsidRPr="00E3553D">
              <w:rPr>
                <w:rFonts w:ascii="Calibri" w:hAnsi="Calibri" w:cs="Calibri"/>
                <w:rtl/>
              </w:rPr>
              <w:instrText xml:space="preserve"> \@ "</w:instrText>
            </w:r>
            <w:r w:rsidRPr="00E3553D">
              <w:rPr>
                <w:rFonts w:ascii="Calibri" w:hAnsi="Calibri" w:cs="Calibri"/>
              </w:rPr>
              <w:instrText>d MMMM, yyyy" \h</w:instrText>
            </w:r>
            <w:r w:rsidRPr="00E3553D">
              <w:rPr>
                <w:rFonts w:ascii="Calibri" w:hAnsi="Calibri" w:cs="Calibri"/>
                <w:rtl/>
              </w:rPr>
              <w:instrText xml:space="preserve"> </w:instrText>
            </w:r>
            <w:r w:rsidRPr="00E3553D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‏ה' סיון, תשפ"ה</w:t>
            </w:r>
            <w:r w:rsidRPr="00E3553D">
              <w:rPr>
                <w:rFonts w:ascii="Calibri" w:hAnsi="Calibri" w:cs="Calibri"/>
                <w:rtl/>
              </w:rPr>
              <w:fldChar w:fldCharType="end"/>
            </w:r>
          </w:p>
          <w:p w:rsidR="009005BA" w:rsidRPr="00E3553D" w:rsidRDefault="00C85DA4" w:rsidP="00410652">
            <w:pPr>
              <w:jc w:val="right"/>
              <w:rPr>
                <w:rFonts w:ascii="Calibri" w:hAnsi="Calibri" w:cs="Calibri"/>
                <w:highlight w:val="green"/>
              </w:rPr>
            </w:pPr>
            <w:r w:rsidRPr="00E3553D">
              <w:rPr>
                <w:rFonts w:ascii="Calibri" w:hAnsi="Calibri" w:cs="Calibri"/>
                <w:rtl/>
              </w:rPr>
              <w:fldChar w:fldCharType="begin"/>
            </w:r>
            <w:r w:rsidRPr="00E3553D">
              <w:rPr>
                <w:rFonts w:ascii="Calibri" w:hAnsi="Calibri" w:cs="Calibri"/>
                <w:rtl/>
              </w:rPr>
              <w:instrText xml:space="preserve"> </w:instrText>
            </w:r>
            <w:r w:rsidRPr="00E3553D">
              <w:rPr>
                <w:rFonts w:ascii="Calibri" w:hAnsi="Calibri" w:cs="Calibri"/>
              </w:rPr>
              <w:instrText>DATE</w:instrText>
            </w:r>
            <w:r w:rsidRPr="00E3553D">
              <w:rPr>
                <w:rFonts w:ascii="Calibri" w:hAnsi="Calibri" w:cs="Calibri"/>
                <w:rtl/>
              </w:rPr>
              <w:instrText xml:space="preserve"> \@ "</w:instrText>
            </w:r>
            <w:r w:rsidRPr="00E3553D">
              <w:rPr>
                <w:rFonts w:ascii="Calibri" w:hAnsi="Calibri" w:cs="Calibri"/>
              </w:rPr>
              <w:instrText>d MMMM, yyyy</w:instrText>
            </w:r>
            <w:r w:rsidRPr="00E3553D">
              <w:rPr>
                <w:rFonts w:ascii="Calibri" w:hAnsi="Calibri" w:cs="Calibri"/>
                <w:rtl/>
              </w:rPr>
              <w:instrText xml:space="preserve">" </w:instrText>
            </w:r>
            <w:r w:rsidRPr="00E3553D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‏1 יוני, 2025</w:t>
            </w:r>
            <w:r w:rsidRPr="00E3553D">
              <w:rPr>
                <w:rFonts w:ascii="Calibri" w:hAnsi="Calibri" w:cs="Calibri"/>
                <w:rtl/>
              </w:rPr>
              <w:fldChar w:fldCharType="end"/>
            </w:r>
          </w:p>
        </w:tc>
      </w:tr>
    </w:tbl>
    <w:p w:rsidR="009005BA" w:rsidRPr="00E3553D" w:rsidRDefault="009005BA" w:rsidP="00020B46">
      <w:pPr>
        <w:tabs>
          <w:tab w:val="left" w:pos="2315"/>
        </w:tabs>
        <w:jc w:val="both"/>
        <w:rPr>
          <w:rFonts w:ascii="Calibri" w:hAnsi="Calibri" w:cs="Calibri"/>
          <w:sz w:val="24"/>
          <w:szCs w:val="24"/>
          <w:rtl/>
        </w:rPr>
      </w:pPr>
    </w:p>
    <w:p w:rsidR="00D66255" w:rsidRDefault="00C85DA4" w:rsidP="00410652">
      <w:pPr>
        <w:tabs>
          <w:tab w:val="left" w:pos="2315"/>
        </w:tabs>
        <w:jc w:val="both"/>
        <w:rPr>
          <w:rFonts w:ascii="Calibri" w:hAnsi="Calibri" w:cs="Calibri"/>
          <w:sz w:val="24"/>
          <w:szCs w:val="24"/>
          <w:rtl/>
          <w:lang w:bidi="ar-SA"/>
        </w:rPr>
      </w:pPr>
      <w:r>
        <w:rPr>
          <w:rFonts w:ascii="Calibri" w:hAnsi="Calibri" w:cs="Calibri" w:hint="cs"/>
          <w:sz w:val="24"/>
          <w:szCs w:val="24"/>
          <w:rtl/>
          <w:lang w:bidi="ar-SA"/>
        </w:rPr>
        <w:t>بيان صحفي:</w:t>
      </w:r>
    </w:p>
    <w:p w:rsidR="00410652" w:rsidRPr="00410652" w:rsidRDefault="00C85DA4" w:rsidP="00410652">
      <w:pPr>
        <w:bidi w:val="0"/>
        <w:spacing w:after="0" w:line="240" w:lineRule="auto"/>
        <w:jc w:val="center"/>
        <w:rPr>
          <w:rFonts w:ascii="Calibri" w:eastAsia="Times New Roman" w:hAnsi="Calibri" w:cs="Calibri"/>
          <w:color w:val="0E0E0E"/>
          <w:sz w:val="32"/>
          <w:szCs w:val="32"/>
          <w:lang w:val="" w:bidi="ar-SA"/>
        </w:rPr>
      </w:pPr>
      <w:r w:rsidRPr="00410652">
        <w:rPr>
          <w:rFonts w:ascii="Calibri" w:eastAsia="Times New Roman" w:hAnsi="Calibri" w:cs="Calibri"/>
          <w:b/>
          <w:bCs/>
          <w:color w:val="0E0E0E"/>
          <w:sz w:val="32"/>
          <w:szCs w:val="32"/>
          <w:rtl/>
          <w:lang w:val="" w:bidi="ar-SA"/>
        </w:rPr>
        <w:t>مؤتمر عرض التقرير السنوي ل</w:t>
      </w:r>
      <w:r w:rsidR="003B2653">
        <w:rPr>
          <w:rFonts w:ascii="Calibri" w:eastAsia="Times New Roman" w:hAnsi="Calibri" w:cs="Calibri" w:hint="cs"/>
          <w:b/>
          <w:bCs/>
          <w:color w:val="0E0E0E"/>
          <w:sz w:val="32"/>
          <w:szCs w:val="32"/>
          <w:rtl/>
          <w:lang w:val="" w:bidi="ar-SA"/>
        </w:rPr>
        <w:t>ل</w:t>
      </w:r>
      <w:r w:rsidRPr="00410652">
        <w:rPr>
          <w:rFonts w:ascii="Calibri" w:eastAsia="Times New Roman" w:hAnsi="Calibri" w:cs="Calibri"/>
          <w:b/>
          <w:bCs/>
          <w:color w:val="0E0E0E"/>
          <w:sz w:val="32"/>
          <w:szCs w:val="32"/>
          <w:rtl/>
          <w:lang w:val="" w:bidi="ar-SA"/>
        </w:rPr>
        <w:t>رقابة</w:t>
      </w:r>
      <w:r w:rsidR="003B2653">
        <w:rPr>
          <w:rFonts w:ascii="Calibri" w:eastAsia="Times New Roman" w:hAnsi="Calibri" w:cs="Calibri" w:hint="cs"/>
          <w:b/>
          <w:bCs/>
          <w:color w:val="0E0E0E"/>
          <w:sz w:val="32"/>
          <w:szCs w:val="32"/>
          <w:rtl/>
          <w:lang w:val="" w:bidi="ar-SA"/>
        </w:rPr>
        <w:t xml:space="preserve"> على</w:t>
      </w:r>
      <w:r w:rsidRPr="00410652">
        <w:rPr>
          <w:rFonts w:ascii="Calibri" w:eastAsia="Times New Roman" w:hAnsi="Calibri" w:cs="Calibri"/>
          <w:b/>
          <w:bCs/>
          <w:color w:val="0E0E0E"/>
          <w:sz w:val="32"/>
          <w:szCs w:val="32"/>
          <w:rtl/>
          <w:lang w:val="" w:bidi="ar-SA"/>
        </w:rPr>
        <w:t xml:space="preserve"> البنوك ونتائج استطلاع المستهلكين – دراسة السلوك والتفضيلات المالية في مجال الودائع</w:t>
      </w:r>
    </w:p>
    <w:p w:rsidR="00FA3A59" w:rsidRPr="00FA3A59" w:rsidRDefault="00C85DA4" w:rsidP="00BE47E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3B2653" w:rsidRPr="00147493" w:rsidRDefault="00C85DA4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</w:pPr>
      <w:bookmarkStart w:id="0" w:name="_GoBack"/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أُقيم يوم أمس (19.05.2025) مؤتمر لعرض التقرير السنوي </w:t>
      </w:r>
      <w:r w:rsidR="005A58E3" w:rsidRPr="00147493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>ل</w:t>
      </w:r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لرقابة </w:t>
      </w:r>
      <w:r w:rsidR="005A58E3" w:rsidRPr="00147493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 xml:space="preserve">على </w:t>
      </w:r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البنوك، بتنظيم معهد سفرا للمصرفية والوساطة المالية، وذلك في كلية كولر لإدارة</w:t>
      </w:r>
      <w:r w:rsidR="000C5E60" w:rsidRPr="00147493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 xml:space="preserve"> الأعمال</w:t>
      </w:r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 </w:t>
      </w:r>
      <w:r w:rsidR="000C5E60" w:rsidRPr="00147493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>ب</w:t>
      </w:r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جامعة تل أبيب</w:t>
      </w:r>
      <w:r w:rsidRPr="0014749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.</w:t>
      </w:r>
    </w:p>
    <w:p w:rsidR="003B2653" w:rsidRPr="00147493" w:rsidRDefault="003B2653" w:rsidP="001546CF">
      <w:pPr>
        <w:spacing w:after="0"/>
        <w:rPr>
          <w:rFonts w:ascii="Helvetica Neue" w:eastAsia="Times New Roman" w:hAnsi="Helvetica Neue" w:cs="Times New Roman"/>
          <w:color w:val="0E0E0E"/>
          <w:sz w:val="24"/>
          <w:szCs w:val="24"/>
          <w:rtl/>
          <w:lang w:val="" w:bidi="ar-SA"/>
        </w:rPr>
      </w:pPr>
    </w:p>
    <w:p w:rsidR="004A1395" w:rsidRDefault="00C85DA4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</w:pPr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خلال المؤتمر، عُرضت الاتجاهات الرئيسية في الجهاز المصرفي لعام 2024، إلى جانب الخطوات الأساسية التي بادرت بها </w:t>
      </w:r>
      <w:r w:rsidR="000C5E60" w:rsidRPr="00147493">
        <w:rPr>
          <w:rFonts w:ascii="Calibri" w:eastAsia="Times New Roman" w:hAnsi="Calibri" w:cs="Calibri" w:hint="cs"/>
          <w:color w:val="0E0E0E"/>
          <w:sz w:val="24"/>
          <w:szCs w:val="24"/>
          <w:rtl/>
          <w:lang w:bidi="ar-SA"/>
        </w:rPr>
        <w:t>ال</w:t>
      </w:r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رقابة</w:t>
      </w:r>
      <w:r w:rsidR="000C5E60" w:rsidRPr="00147493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 xml:space="preserve"> على</w:t>
      </w:r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 البنوك خلال هذا العام. كما قُدمت نتائج استطلاع أجرته </w:t>
      </w:r>
      <w:r w:rsidR="000C5E60" w:rsidRPr="00147493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>ال</w:t>
      </w:r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رقابة </w:t>
      </w:r>
      <w:r w:rsidR="000C5E60" w:rsidRPr="00147493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 xml:space="preserve">على </w:t>
      </w:r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البنوك بالتعاون مع </w:t>
      </w:r>
      <w:r w:rsidR="000C5E60" w:rsidRPr="00147493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>نظام الديجيتال الوطني</w:t>
      </w:r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، بهدف دراسة أنماط السلوك والت</w:t>
      </w:r>
      <w:r w:rsidRPr="003B265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فضيلات المالية للجمهور في مجال الودائع</w:t>
      </w:r>
      <w:r w:rsidRPr="003B2653"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  <w:t>.</w:t>
      </w:r>
      <w:r w:rsidRPr="00147493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 xml:space="preserve"> </w:t>
      </w:r>
    </w:p>
    <w:p w:rsidR="00147493" w:rsidRPr="00147493" w:rsidRDefault="00147493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</w:pPr>
    </w:p>
    <w:p w:rsidR="005A58E3" w:rsidRPr="005A58E3" w:rsidRDefault="00C85DA4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</w:pPr>
      <w:r w:rsidRPr="005A58E3">
        <w:rPr>
          <w:rFonts w:ascii="Calibri" w:eastAsia="Times New Roman" w:hAnsi="Calibri" w:cs="Calibri"/>
          <w:b/>
          <w:bCs/>
          <w:color w:val="0E0E0E"/>
          <w:sz w:val="24"/>
          <w:szCs w:val="24"/>
          <w:rtl/>
          <w:lang w:val="" w:bidi="ar-SA"/>
        </w:rPr>
        <w:t>دانييل ححياشفيلي – المراقب على البنوك</w:t>
      </w:r>
      <w:r w:rsidR="00147493" w:rsidRPr="0014749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:</w:t>
      </w:r>
      <w:r w:rsidR="00147493" w:rsidRPr="00147493">
        <w:rPr>
          <w:rFonts w:ascii="Calibri" w:eastAsia="Times New Roman" w:hAnsi="Calibri" w:cs="Calibri"/>
          <w:b/>
          <w:bCs/>
          <w:color w:val="0E0E0E"/>
          <w:sz w:val="24"/>
          <w:szCs w:val="24"/>
          <w:rtl/>
          <w:lang w:val="" w:bidi="ar-SA"/>
        </w:rPr>
        <w:t xml:space="preserve"> </w:t>
      </w:r>
      <w:r w:rsidR="00147493" w:rsidRPr="0014749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"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حتى في العام </w:t>
      </w:r>
      <w:r w:rsidR="00147493" w:rsidRPr="0014749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الماضي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، ساعدت </w:t>
      </w:r>
      <w:r w:rsidR="00147493" w:rsidRPr="0014749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حصانة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 الجهاز المصرفي في إسرائيل على تجاوز التحديات العديدة، تلبية احتياجات الائتمان في السوق، وتقديم الدعم للجمهور من خلال برامج المساعدة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  <w:t>.</w:t>
      </w:r>
    </w:p>
    <w:p w:rsidR="005A58E3" w:rsidRPr="005A58E3" w:rsidRDefault="00C85DA4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</w:pP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تواصل 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الرقابة على البنوك باستمرار التعرف على المخاطر المختلفة التي تواجه النظام ومراقبتها، والعمل على تقليصها عند الضرورة، كما في القيود التي فرضناها على حملات التمويل في قطاع البناء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  <w:t>.</w:t>
      </w:r>
    </w:p>
    <w:p w:rsidR="005A58E3" w:rsidRPr="005A58E3" w:rsidRDefault="00C85DA4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</w:pP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في هذه الفترة، تعمل الرقابة على تعزيز هيكل رأس المال في الجهاز المصرفي من أجل 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تحسين قدرته على التعامل مع الصدمات والتحديات المختلفة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  <w:t>.</w:t>
      </w:r>
    </w:p>
    <w:p w:rsidR="005A58E3" w:rsidRPr="005A58E3" w:rsidRDefault="00C85DA4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</w:pP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إن استقرار النظام لا يعتمد فقط على خصائصه المالية، بل أيضًا على علاقته مع الزبائن. لقد عملنا وسنواصل العمل من أجل </w:t>
      </w:r>
      <w:r w:rsidR="00147493" w:rsidRPr="0014749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جهاز 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مصرفي عادل ومتاح لكل </w:t>
      </w:r>
      <w:r w:rsidR="00147493" w:rsidRPr="0014749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ال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فئات السكان</w:t>
      </w:r>
      <w:r w:rsidR="00147493" w:rsidRPr="0014749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ية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  <w:t>.</w:t>
      </w:r>
    </w:p>
    <w:p w:rsidR="005A58E3" w:rsidRPr="005A58E3" w:rsidRDefault="00C85DA4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</w:pP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في مجال التنافسية، نعمل على إدخال لاعبين جدد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 إلى </w:t>
      </w:r>
      <w:r w:rsidR="00147493" w:rsidRPr="0014749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الجهاز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 المصرفي من خلال تنظيم تدريجي. وبالمقابل، نواصل جهودنا لتعزيز شفافية البيانات وتزويد الزبائن بأدوات مقارنة، إلى جانب إزالة الحواجز التي تعيق انتقالهم بين البنوك</w:t>
      </w:r>
      <w:r w:rsidR="00147493" w:rsidRPr="0014749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".</w:t>
      </w:r>
    </w:p>
    <w:p w:rsidR="004A1395" w:rsidRDefault="004A1395" w:rsidP="001546CF">
      <w:pPr>
        <w:rPr>
          <w:rFonts w:ascii="Arial" w:hAnsi="Arial" w:cs="Arial"/>
          <w:rtl/>
        </w:rPr>
      </w:pPr>
    </w:p>
    <w:p w:rsidR="005A58E3" w:rsidRPr="005A58E3" w:rsidRDefault="00C85DA4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</w:pPr>
      <w:r w:rsidRPr="005A58E3">
        <w:rPr>
          <w:rFonts w:ascii="Calibri" w:eastAsia="Times New Roman" w:hAnsi="Calibri" w:cs="Calibri"/>
          <w:b/>
          <w:bCs/>
          <w:color w:val="0E0E0E"/>
          <w:sz w:val="24"/>
          <w:szCs w:val="24"/>
          <w:rtl/>
          <w:lang w:val="" w:bidi="ar-SA"/>
        </w:rPr>
        <w:t>زهافا بوخ</w:t>
      </w:r>
      <w:r w:rsidR="00147493" w:rsidRPr="001546CF">
        <w:rPr>
          <w:rFonts w:ascii="Calibri" w:eastAsia="Times New Roman" w:hAnsi="Calibri" w:cs="Calibri" w:hint="cs"/>
          <w:b/>
          <w:bCs/>
          <w:color w:val="0E0E0E"/>
          <w:sz w:val="24"/>
          <w:szCs w:val="24"/>
          <w:rtl/>
          <w:lang w:val="" w:bidi="ar-SA"/>
        </w:rPr>
        <w:t>ه</w:t>
      </w:r>
      <w:r w:rsidRPr="005A58E3">
        <w:rPr>
          <w:rFonts w:ascii="Calibri" w:eastAsia="Times New Roman" w:hAnsi="Calibri" w:cs="Calibri"/>
          <w:b/>
          <w:bCs/>
          <w:color w:val="0E0E0E"/>
          <w:sz w:val="24"/>
          <w:szCs w:val="24"/>
          <w:rtl/>
          <w:lang w:val="" w:bidi="ar-SA"/>
        </w:rPr>
        <w:t xml:space="preserve">ولتس – مديرة الوحدة الاقتصادية في </w:t>
      </w:r>
      <w:r w:rsidR="00147493" w:rsidRPr="001546CF">
        <w:rPr>
          <w:rFonts w:ascii="Calibri" w:eastAsia="Times New Roman" w:hAnsi="Calibri" w:cs="Calibri" w:hint="cs"/>
          <w:b/>
          <w:bCs/>
          <w:color w:val="0E0E0E"/>
          <w:sz w:val="24"/>
          <w:szCs w:val="24"/>
          <w:rtl/>
          <w:lang w:val="" w:bidi="ar-SA"/>
        </w:rPr>
        <w:t>ال</w:t>
      </w:r>
      <w:r w:rsidRPr="005A58E3">
        <w:rPr>
          <w:rFonts w:ascii="Calibri" w:eastAsia="Times New Roman" w:hAnsi="Calibri" w:cs="Calibri"/>
          <w:b/>
          <w:bCs/>
          <w:color w:val="0E0E0E"/>
          <w:sz w:val="24"/>
          <w:szCs w:val="24"/>
          <w:rtl/>
          <w:lang w:val="" w:bidi="ar-SA"/>
        </w:rPr>
        <w:t>رقابة</w:t>
      </w:r>
      <w:r w:rsidR="00147493" w:rsidRPr="001546CF">
        <w:rPr>
          <w:rFonts w:ascii="Calibri" w:eastAsia="Times New Roman" w:hAnsi="Calibri" w:cs="Calibri" w:hint="cs"/>
          <w:b/>
          <w:bCs/>
          <w:color w:val="0E0E0E"/>
          <w:sz w:val="24"/>
          <w:szCs w:val="24"/>
          <w:rtl/>
          <w:lang w:val="" w:bidi="ar-SA"/>
        </w:rPr>
        <w:t xml:space="preserve"> على</w:t>
      </w:r>
      <w:r w:rsidRPr="005A58E3">
        <w:rPr>
          <w:rFonts w:ascii="Calibri" w:eastAsia="Times New Roman" w:hAnsi="Calibri" w:cs="Calibri"/>
          <w:b/>
          <w:bCs/>
          <w:color w:val="0E0E0E"/>
          <w:sz w:val="24"/>
          <w:szCs w:val="24"/>
          <w:rtl/>
          <w:lang w:val="" w:bidi="ar-SA"/>
        </w:rPr>
        <w:t xml:space="preserve"> البنوك</w:t>
      </w:r>
      <w:r w:rsidR="001546CF" w:rsidRPr="001546CF">
        <w:rPr>
          <w:rFonts w:ascii="Calibri" w:eastAsia="Times New Roman" w:hAnsi="Calibri" w:cs="Calibri" w:hint="cs"/>
          <w:b/>
          <w:bCs/>
          <w:color w:val="0E0E0E"/>
          <w:sz w:val="24"/>
          <w:szCs w:val="24"/>
          <w:rtl/>
          <w:lang w:val="" w:bidi="ar-SA"/>
        </w:rPr>
        <w:t>: "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تشير نتائج 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الاستطلاع، من بين أمور أخرى، إلى أن 27٪ من الأسر لا تدّخر على الإطلاق، في حين أن 51٪ يختارون الادخار في وديعة مصرفية – نصفهم يدّخرون أيضًا في مسارات أخرى خارج الجهاز المصرفي. أما باقي المشاركين، فيدّخرون فقط عبر قنوات غير مصرفية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  <w:t>.</w:t>
      </w:r>
    </w:p>
    <w:p w:rsidR="005A58E3" w:rsidRPr="005A58E3" w:rsidRDefault="00C85DA4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</w:pP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يسلّط الاستطلاع الضوء أيضً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ا على أهمية الثقافة المالية: المشاركون الذين يفهمون قيمة المال وتأثيرات التضخم، يميلون إلى الادخار بدرجة أكبر وبطريقة أكثر وعيًا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  <w:t>.</w:t>
      </w:r>
    </w:p>
    <w:p w:rsidR="005A58E3" w:rsidRPr="005A58E3" w:rsidRDefault="00C85DA4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</w:pP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وبالنسبة لأولئك الذين لا يدّخرون في ودائع مصرفية، برزت عدة عوامل قد تشجّعهم على القيام بذلك: إجراءات بسيطة وميسّرة، معلومات وا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ضحة وشفافة على مواقع البنوك، منتجات ملائمة لاحتياجاتهم، ومرافقة مستمرة من قبل البنك خلال العملية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  <w:t>.</w:t>
      </w:r>
    </w:p>
    <w:p w:rsidR="005A58E3" w:rsidRPr="005A58E3" w:rsidRDefault="00C85DA4" w:rsidP="001546CF">
      <w:pPr>
        <w:spacing w:after="0"/>
        <w:rPr>
          <w:rFonts w:ascii="Calibri" w:eastAsia="Times New Roman" w:hAnsi="Calibri" w:cs="Calibri"/>
          <w:color w:val="0E0E0E"/>
          <w:sz w:val="24"/>
          <w:szCs w:val="24"/>
          <w:lang w:val="" w:bidi="ar-SA"/>
        </w:rPr>
      </w:pP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كل هذه الجوانب تشكّل مجالات نولي لها في </w:t>
      </w:r>
      <w:r w:rsidR="001546CF" w:rsidRPr="001546CF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>ال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رقابة</w:t>
      </w:r>
      <w:r w:rsidR="001546CF" w:rsidRPr="001546CF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 xml:space="preserve"> على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 xml:space="preserve"> البنوك اهتمامًا خاصًا ونعمل على تطويرها – انطلاقًا من التزامنا برفاهية جمهور الزبائن وتعزيز الشفافية والعد</w:t>
      </w:r>
      <w:r w:rsidRPr="005A58E3">
        <w:rPr>
          <w:rFonts w:ascii="Calibri" w:eastAsia="Times New Roman" w:hAnsi="Calibri" w:cs="Calibri"/>
          <w:color w:val="0E0E0E"/>
          <w:sz w:val="24"/>
          <w:szCs w:val="24"/>
          <w:rtl/>
          <w:lang w:val="" w:bidi="ar-SA"/>
        </w:rPr>
        <w:t>الة</w:t>
      </w:r>
      <w:r w:rsidR="001546CF" w:rsidRPr="001546CF">
        <w:rPr>
          <w:rFonts w:ascii="Calibri" w:eastAsia="Times New Roman" w:hAnsi="Calibri" w:cs="Calibri" w:hint="cs"/>
          <w:color w:val="0E0E0E"/>
          <w:sz w:val="24"/>
          <w:szCs w:val="24"/>
          <w:rtl/>
          <w:lang w:val="" w:bidi="ar-SA"/>
        </w:rPr>
        <w:t>".</w:t>
      </w:r>
    </w:p>
    <w:bookmarkEnd w:id="0"/>
    <w:p w:rsidR="00A2150B" w:rsidRPr="00191536" w:rsidRDefault="00A2150B" w:rsidP="00BE47EE">
      <w:pPr>
        <w:tabs>
          <w:tab w:val="left" w:pos="2315"/>
        </w:tabs>
        <w:ind w:right="284"/>
        <w:jc w:val="both"/>
        <w:rPr>
          <w:rFonts w:ascii="Calibri" w:hAnsi="Calibri" w:cs="Calibri"/>
          <w:sz w:val="24"/>
          <w:szCs w:val="24"/>
          <w:rtl/>
        </w:rPr>
      </w:pPr>
    </w:p>
    <w:sectPr w:rsidR="00A2150B" w:rsidRPr="00191536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5DA4">
      <w:pPr>
        <w:spacing w:after="0" w:line="240" w:lineRule="auto"/>
      </w:pPr>
      <w:r>
        <w:separator/>
      </w:r>
    </w:p>
  </w:endnote>
  <w:endnote w:type="continuationSeparator" w:id="0">
    <w:p w:rsidR="00000000" w:rsidRDefault="00C8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C85DA4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85DA4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1D340E" w:rsidRPr="00031A9D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85DA4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1D340E" w:rsidRPr="00031A9D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85DA4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3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1D340E" w:rsidRPr="00031A9D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>פייסבוק - 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85DA4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4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1D340E" w:rsidRPr="00031A9D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4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3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5DA4">
      <w:pPr>
        <w:spacing w:after="0" w:line="240" w:lineRule="auto"/>
      </w:pPr>
      <w:r>
        <w:separator/>
      </w:r>
    </w:p>
  </w:footnote>
  <w:footnote w:type="continuationSeparator" w:id="0">
    <w:p w:rsidR="00000000" w:rsidRDefault="00C8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0D62DF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4BC7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AD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84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C7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EB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2B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26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A4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9B7A0E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9E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8E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2B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88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2B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2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64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A6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11C8A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EA69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9225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5C0A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082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6AAE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0633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74A4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A8E6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6220FF3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6166F5F8" w:tentative="1">
      <w:start w:val="1"/>
      <w:numFmt w:val="lowerLetter"/>
      <w:lvlText w:val="%2."/>
      <w:lvlJc w:val="left"/>
      <w:pPr>
        <w:ind w:left="1080" w:hanging="360"/>
      </w:pPr>
    </w:lvl>
    <w:lvl w:ilvl="2" w:tplc="CD2A392A" w:tentative="1">
      <w:start w:val="1"/>
      <w:numFmt w:val="lowerRoman"/>
      <w:lvlText w:val="%3."/>
      <w:lvlJc w:val="right"/>
      <w:pPr>
        <w:ind w:left="1800" w:hanging="180"/>
      </w:pPr>
    </w:lvl>
    <w:lvl w:ilvl="3" w:tplc="621C43A8" w:tentative="1">
      <w:start w:val="1"/>
      <w:numFmt w:val="decimal"/>
      <w:lvlText w:val="%4."/>
      <w:lvlJc w:val="left"/>
      <w:pPr>
        <w:ind w:left="2520" w:hanging="360"/>
      </w:pPr>
    </w:lvl>
    <w:lvl w:ilvl="4" w:tplc="EF4E446E" w:tentative="1">
      <w:start w:val="1"/>
      <w:numFmt w:val="lowerLetter"/>
      <w:lvlText w:val="%5."/>
      <w:lvlJc w:val="left"/>
      <w:pPr>
        <w:ind w:left="3240" w:hanging="360"/>
      </w:pPr>
    </w:lvl>
    <w:lvl w:ilvl="5" w:tplc="C4F45E26" w:tentative="1">
      <w:start w:val="1"/>
      <w:numFmt w:val="lowerRoman"/>
      <w:lvlText w:val="%6."/>
      <w:lvlJc w:val="right"/>
      <w:pPr>
        <w:ind w:left="3960" w:hanging="180"/>
      </w:pPr>
    </w:lvl>
    <w:lvl w:ilvl="6" w:tplc="55D406BC" w:tentative="1">
      <w:start w:val="1"/>
      <w:numFmt w:val="decimal"/>
      <w:lvlText w:val="%7."/>
      <w:lvlJc w:val="left"/>
      <w:pPr>
        <w:ind w:left="4680" w:hanging="360"/>
      </w:pPr>
    </w:lvl>
    <w:lvl w:ilvl="7" w:tplc="AE687598" w:tentative="1">
      <w:start w:val="1"/>
      <w:numFmt w:val="lowerLetter"/>
      <w:lvlText w:val="%8."/>
      <w:lvlJc w:val="left"/>
      <w:pPr>
        <w:ind w:left="5400" w:hanging="360"/>
      </w:pPr>
    </w:lvl>
    <w:lvl w:ilvl="8" w:tplc="A1C0B0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544C7D20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9B48BD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806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2C87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6696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3E1B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004D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D6FD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8209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7F90465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5BEAE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7438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708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7C77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6EAA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60F4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628B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58B3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E2D480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78BA1AA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3A2BE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06DC32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EF0AF6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2EC1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70FF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83A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6C6B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E82A159A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FEF470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02B9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2A19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6C2F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0A4F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560A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0C08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5A0A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533A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A0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46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81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81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0F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A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A77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746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294463B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ACECD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B6F83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0C0E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BA68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68605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28CF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CEEE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9670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8A1CD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255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CF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AB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605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89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25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EBA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03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6840F7F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EDC06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2A4D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16BD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522F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7653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C004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DA48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7A09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E1B0AE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3E9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8D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A6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63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06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03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A6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86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3F0CFC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07C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235F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20E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CE8C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3E06C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C561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05E8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401F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A470F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2D6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89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4F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25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44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7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80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A5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3A86935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25C36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FE88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68C8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BE80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003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E409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429C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428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72C8EC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29C8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0E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CF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EA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29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41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67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CA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31725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1AB5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EE8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1E2D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2C41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5E73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BEE0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EE8A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7675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2DF4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0B46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37D77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5E60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707"/>
    <w:rsid w:val="00142F71"/>
    <w:rsid w:val="00142F72"/>
    <w:rsid w:val="00144C67"/>
    <w:rsid w:val="00144CD6"/>
    <w:rsid w:val="001472FC"/>
    <w:rsid w:val="00147493"/>
    <w:rsid w:val="001474C5"/>
    <w:rsid w:val="00151E77"/>
    <w:rsid w:val="0015200F"/>
    <w:rsid w:val="00153235"/>
    <w:rsid w:val="001537BC"/>
    <w:rsid w:val="001546CF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51D2"/>
    <w:rsid w:val="001860B4"/>
    <w:rsid w:val="00186545"/>
    <w:rsid w:val="0018725C"/>
    <w:rsid w:val="00190517"/>
    <w:rsid w:val="00191536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09F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27B6A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32B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5A81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37EF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84E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653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065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0DA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1395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58E3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46B8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6FB3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5E04"/>
    <w:rsid w:val="008665FD"/>
    <w:rsid w:val="00866A19"/>
    <w:rsid w:val="008707FD"/>
    <w:rsid w:val="00871636"/>
    <w:rsid w:val="008717FB"/>
    <w:rsid w:val="00872960"/>
    <w:rsid w:val="00872FF3"/>
    <w:rsid w:val="0087326B"/>
    <w:rsid w:val="008742FE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3662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175E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29C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286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1F0D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E47EE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865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5DA4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47720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E6F94"/>
    <w:rsid w:val="00DE78B3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3A59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A418-3546-4180-A053-A083682C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2067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2025-06-01T09:43:00Z</dcterms:created>
  <dcterms:modified xsi:type="dcterms:W3CDTF">2025-06-01T09:43:00Z</dcterms:modified>
</cp:coreProperties>
</file>