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031A9D" w:rsidRPr="005E28F6" w:rsidTr="00031A9D">
        <w:tc>
          <w:tcPr>
            <w:tcW w:w="3343"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b/>
                <w:bCs/>
                <w:rtl/>
              </w:rPr>
            </w:pPr>
            <w:r w:rsidRPr="005E28F6">
              <w:rPr>
                <w:rFonts w:asciiTheme="minorHAnsi" w:hAnsiTheme="minorHAnsi" w:cstheme="minorHAnsi"/>
                <w:b/>
                <w:bCs/>
                <w:rtl/>
              </w:rPr>
              <w:t>בנק ישראל</w:t>
            </w:r>
          </w:p>
          <w:p w:rsidR="00031A9D" w:rsidRPr="005E28F6" w:rsidRDefault="00031A9D" w:rsidP="005E28F6">
            <w:pPr>
              <w:bidi/>
              <w:spacing w:line="276" w:lineRule="auto"/>
              <w:jc w:val="center"/>
              <w:rPr>
                <w:rFonts w:asciiTheme="minorHAnsi" w:hAnsiTheme="minorHAnsi" w:cstheme="minorHAnsi"/>
                <w:b/>
                <w:bCs/>
              </w:rPr>
            </w:pPr>
            <w:r w:rsidRPr="005E28F6">
              <w:rPr>
                <w:rFonts w:asciiTheme="minorHAnsi" w:hAnsiTheme="minorHAnsi" w:cstheme="minorHAnsi"/>
                <w:rtl/>
              </w:rPr>
              <w:t>דוברות והסברה כלכלית</w:t>
            </w:r>
          </w:p>
        </w:tc>
        <w:tc>
          <w:tcPr>
            <w:tcW w:w="2596" w:type="dxa"/>
            <w:tcBorders>
              <w:top w:val="nil"/>
              <w:left w:val="nil"/>
              <w:bottom w:val="nil"/>
              <w:right w:val="nil"/>
            </w:tcBorders>
            <w:shd w:val="clear" w:color="auto" w:fill="FFFFFF"/>
          </w:tcPr>
          <w:p w:rsidR="00031A9D" w:rsidRPr="005E28F6" w:rsidRDefault="00CC57F4" w:rsidP="005E28F6">
            <w:pPr>
              <w:bidi/>
              <w:jc w:val="center"/>
              <w:rPr>
                <w:rFonts w:asciiTheme="minorHAnsi" w:hAnsiTheme="minorHAnsi" w:cstheme="minorHAnsi"/>
              </w:rPr>
            </w:pPr>
            <w:r>
              <w:rPr>
                <w:rFonts w:asciiTheme="minorHAnsi" w:hAnsiTheme="minorHAnsi" w:cstheme="minorHAnsi"/>
                <w:noProof/>
              </w:rPr>
              <w:drawing>
                <wp:inline distT="0" distB="0" distL="0" distR="0" wp14:anchorId="5F08C3AE">
                  <wp:extent cx="914400" cy="914400"/>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tc>
        <w:tc>
          <w:tcPr>
            <w:tcW w:w="3591"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rtl/>
              </w:rPr>
            </w:pPr>
            <w:r w:rsidRPr="005E28F6">
              <w:rPr>
                <w:rFonts w:asciiTheme="minorHAnsi" w:hAnsiTheme="minorHAnsi" w:cstheme="minorHAnsi"/>
                <w:highlight w:val="green"/>
                <w:rtl/>
              </w:rPr>
              <w:t>‏</w:t>
            </w:r>
            <w:r w:rsidRPr="005E28F6">
              <w:rPr>
                <w:rFonts w:asciiTheme="minorHAnsi" w:hAnsiTheme="minorHAnsi" w:cstheme="minorHAnsi"/>
                <w:rtl/>
              </w:rPr>
              <w:t xml:space="preserve">ירושלים, </w:t>
            </w: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 \h</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AB1761">
              <w:rPr>
                <w:rFonts w:asciiTheme="minorHAnsi" w:hAnsiTheme="minorHAnsi" w:cstheme="minorHAnsi"/>
                <w:noProof/>
                <w:rtl/>
              </w:rPr>
              <w:t>‏י"ג ניסן, תשפ"ו</w:t>
            </w:r>
            <w:r w:rsidRPr="005E28F6">
              <w:rPr>
                <w:rFonts w:asciiTheme="minorHAnsi" w:hAnsiTheme="minorHAnsi" w:cstheme="minorHAnsi"/>
                <w:rtl/>
              </w:rPr>
              <w:fldChar w:fldCharType="end"/>
            </w:r>
          </w:p>
          <w:p w:rsidR="00031A9D" w:rsidRPr="005E28F6" w:rsidRDefault="00031A9D" w:rsidP="005E28F6">
            <w:pPr>
              <w:bidi/>
              <w:spacing w:line="276" w:lineRule="auto"/>
              <w:jc w:val="center"/>
              <w:rPr>
                <w:rFonts w:asciiTheme="minorHAnsi" w:hAnsiTheme="minorHAnsi" w:cstheme="minorHAnsi"/>
                <w:highlight w:val="green"/>
              </w:rPr>
            </w:pP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AB1761">
              <w:rPr>
                <w:rFonts w:asciiTheme="minorHAnsi" w:hAnsiTheme="minorHAnsi" w:cstheme="minorHAnsi"/>
                <w:noProof/>
                <w:rtl/>
              </w:rPr>
              <w:t>‏31 מרץ, 2026</w:t>
            </w:r>
            <w:r w:rsidRPr="005E28F6">
              <w:rPr>
                <w:rFonts w:asciiTheme="minorHAnsi" w:hAnsiTheme="minorHAnsi" w:cstheme="minorHAnsi"/>
                <w:rtl/>
              </w:rPr>
              <w:fldChar w:fldCharType="end"/>
            </w:r>
          </w:p>
        </w:tc>
      </w:tr>
    </w:tbl>
    <w:p w:rsidR="00031A9D" w:rsidRPr="005E28F6" w:rsidRDefault="00031A9D" w:rsidP="005E28F6">
      <w:pPr>
        <w:bidi/>
        <w:rPr>
          <w:rFonts w:asciiTheme="minorHAnsi" w:hAnsiTheme="minorHAnsi" w:cstheme="minorHAnsi"/>
          <w:rtl/>
        </w:rPr>
      </w:pPr>
    </w:p>
    <w:p w:rsidR="00D039D6" w:rsidRPr="00D039D6" w:rsidRDefault="005E28F6" w:rsidP="00D039D6">
      <w:pPr>
        <w:bidi/>
        <w:spacing w:line="360" w:lineRule="auto"/>
        <w:rPr>
          <w:rFonts w:asciiTheme="minorHAnsi" w:hAnsiTheme="minorHAnsi" w:cstheme="minorHAnsi"/>
          <w:rtl/>
        </w:rPr>
      </w:pPr>
      <w:r w:rsidRPr="005E28F6">
        <w:rPr>
          <w:rFonts w:asciiTheme="minorHAnsi" w:hAnsiTheme="minorHAnsi" w:cstheme="minorHAnsi"/>
          <w:rtl/>
        </w:rPr>
        <w:t>הודעה לעיתונות</w:t>
      </w:r>
      <w:r w:rsidRPr="005E28F6">
        <w:rPr>
          <w:rFonts w:asciiTheme="minorHAnsi" w:hAnsiTheme="minorHAnsi" w:cstheme="minorHAnsi"/>
        </w:rPr>
        <w:t>:</w:t>
      </w:r>
    </w:p>
    <w:p w:rsidR="00D039D6" w:rsidRPr="00D039D6" w:rsidRDefault="00D039D6" w:rsidP="00D039D6">
      <w:pPr>
        <w:bidi/>
        <w:spacing w:after="120" w:line="360" w:lineRule="auto"/>
        <w:ind w:right="-102"/>
        <w:jc w:val="center"/>
        <w:rPr>
          <w:rFonts w:asciiTheme="minorHAnsi" w:eastAsiaTheme="minorHAnsi" w:hAnsiTheme="minorHAnsi" w:cstheme="minorHAnsi"/>
          <w:b/>
          <w:bCs/>
          <w:sz w:val="28"/>
          <w:szCs w:val="28"/>
          <w:rtl/>
        </w:rPr>
      </w:pPr>
      <w:r w:rsidRPr="00D039D6">
        <w:rPr>
          <w:rFonts w:asciiTheme="minorHAnsi" w:eastAsiaTheme="minorHAnsi" w:hAnsiTheme="minorHAnsi" w:cstheme="minorHAnsi"/>
          <w:b/>
          <w:bCs/>
          <w:sz w:val="28"/>
          <w:szCs w:val="28"/>
          <w:rtl/>
        </w:rPr>
        <w:t>בנק ישראל מפרסם את דוחותיו הכספיים לשנת 2025</w:t>
      </w:r>
    </w:p>
    <w:p w:rsidR="00D039D6" w:rsidRPr="00D039D6" w:rsidRDefault="00D039D6" w:rsidP="00D039D6">
      <w:pPr>
        <w:pStyle w:val="ListParagraph"/>
        <w:numPr>
          <w:ilvl w:val="0"/>
          <w:numId w:val="7"/>
        </w:numPr>
        <w:bidi/>
        <w:spacing w:after="240" w:line="300" w:lineRule="auto"/>
        <w:ind w:left="714" w:hanging="357"/>
        <w:contextualSpacing w:val="0"/>
        <w:jc w:val="both"/>
        <w:rPr>
          <w:rFonts w:asciiTheme="minorHAnsi" w:eastAsia="Calibri" w:hAnsiTheme="minorHAnsi" w:cstheme="minorHAnsi"/>
        </w:rPr>
      </w:pPr>
      <w:r w:rsidRPr="00D039D6">
        <w:rPr>
          <w:rFonts w:asciiTheme="minorHAnsi" w:eastAsia="Calibri" w:hAnsiTheme="minorHAnsi" w:cstheme="minorHAnsi"/>
          <w:rtl/>
        </w:rPr>
        <w:t>בנק ישראל ממלא את התפקידים המוטלים עליו כבנק מרכזי ופועל להשגת המטרות שנקבעו לו בהתאם לחוק בנק ישראל, התש"ע-2010: שמירה על יציבות המחירים ותמיכה בצמיחה, בתעסוקה, בצמצום פערים חברתיים וביציבותה של המערכת הפיננסית. פעילותו של הבנק לשם השגת מטרותיו ולמילוי תפקידיו לא נועדה להשאת רווחים בלבד, אלא בעיקר לשם השגת יעדים כלכליים כלל-משקיים אלו</w:t>
      </w:r>
      <w:r w:rsidRPr="00D039D6">
        <w:rPr>
          <w:rFonts w:asciiTheme="minorHAnsi" w:eastAsia="Calibri" w:hAnsiTheme="minorHAnsi" w:cstheme="minorHAnsi"/>
        </w:rPr>
        <w:t>.</w:t>
      </w:r>
    </w:p>
    <w:p w:rsidR="00D039D6" w:rsidRPr="00D039D6" w:rsidRDefault="00D039D6" w:rsidP="00D039D6">
      <w:pPr>
        <w:pStyle w:val="ListParagraph"/>
        <w:numPr>
          <w:ilvl w:val="0"/>
          <w:numId w:val="7"/>
        </w:numPr>
        <w:bidi/>
        <w:spacing w:after="120" w:line="360" w:lineRule="auto"/>
        <w:contextualSpacing w:val="0"/>
        <w:jc w:val="both"/>
        <w:rPr>
          <w:rFonts w:asciiTheme="minorHAnsi" w:hAnsiTheme="minorHAnsi" w:cstheme="minorHAnsi"/>
        </w:rPr>
      </w:pPr>
      <w:r w:rsidRPr="00D039D6">
        <w:rPr>
          <w:rFonts w:asciiTheme="minorHAnsi" w:hAnsiTheme="minorHAnsi" w:cstheme="minorHAnsi"/>
          <w:b/>
          <w:rtl/>
        </w:rPr>
        <w:t>מאזן הבנק</w:t>
      </w:r>
      <w:r w:rsidRPr="00D039D6">
        <w:rPr>
          <w:rFonts w:asciiTheme="minorHAnsi" w:hAnsiTheme="minorHAnsi" w:cstheme="minorHAnsi"/>
          <w:rtl/>
        </w:rPr>
        <w:t xml:space="preserve"> בסוף שנת 2025 הסתכם ב-820.5 מיליארד ש"ח, ירידה של כ-61.4 מיליארד ש"ח (כ-7%) בהשוואה לשנת 2024.</w:t>
      </w:r>
    </w:p>
    <w:p w:rsidR="00D039D6" w:rsidRPr="00D039D6" w:rsidRDefault="00D039D6" w:rsidP="00D039D6">
      <w:pPr>
        <w:pStyle w:val="ListParagraph"/>
        <w:bidi/>
        <w:spacing w:after="120" w:line="360" w:lineRule="auto"/>
        <w:contextualSpacing w:val="0"/>
        <w:jc w:val="both"/>
        <w:rPr>
          <w:rFonts w:asciiTheme="minorHAnsi" w:hAnsiTheme="minorHAnsi" w:cstheme="minorHAnsi"/>
          <w:rtl/>
        </w:rPr>
      </w:pPr>
      <w:r w:rsidRPr="00D039D6">
        <w:rPr>
          <w:rFonts w:asciiTheme="minorHAnsi" w:hAnsiTheme="minorHAnsi" w:cstheme="minorHAnsi"/>
          <w:rtl/>
        </w:rPr>
        <w:t xml:space="preserve">עיקר הירידה בצד הנכסים נבעה מירידה ביתרת הנכסים בחו"ל בסך של כ-47.6 מיליארד ש"ח, וזאת על אף גידול ביתרה במונחי דולר, עקב ירידה בשווים </w:t>
      </w:r>
      <w:proofErr w:type="spellStart"/>
      <w:r w:rsidRPr="00D039D6">
        <w:rPr>
          <w:rFonts w:asciiTheme="minorHAnsi" w:hAnsiTheme="minorHAnsi" w:cstheme="minorHAnsi"/>
          <w:rtl/>
        </w:rPr>
        <w:t>השקלי</w:t>
      </w:r>
      <w:proofErr w:type="spellEnd"/>
      <w:r w:rsidRPr="00D039D6">
        <w:rPr>
          <w:rFonts w:asciiTheme="minorHAnsi" w:hAnsiTheme="minorHAnsi" w:cstheme="minorHAnsi"/>
          <w:rtl/>
        </w:rPr>
        <w:t xml:space="preserve"> של היתרות תוצאת התחזקות השקל השנה מול מטבעות אחרים. מנגד, עלייה ברווחי השערוך לשווי הוגן קיזזה חלק מירידה זו.</w:t>
      </w:r>
    </w:p>
    <w:p w:rsidR="00D039D6" w:rsidRPr="00D039D6" w:rsidRDefault="00D039D6" w:rsidP="00D039D6">
      <w:pPr>
        <w:pStyle w:val="ListParagraph"/>
        <w:bidi/>
        <w:spacing w:after="120" w:line="360" w:lineRule="auto"/>
        <w:contextualSpacing w:val="0"/>
        <w:jc w:val="both"/>
        <w:rPr>
          <w:rFonts w:asciiTheme="minorHAnsi" w:hAnsiTheme="minorHAnsi" w:cstheme="minorHAnsi"/>
        </w:rPr>
      </w:pPr>
      <w:r w:rsidRPr="00D039D6">
        <w:rPr>
          <w:rFonts w:asciiTheme="minorHAnsi" w:hAnsiTheme="minorHAnsi" w:cstheme="minorHAnsi"/>
          <w:rtl/>
        </w:rPr>
        <w:t>ביתרת הנכסים בארץ נרשמה ירידה בכ-13.7 מיליארד ש"ח, בעיקר בשל פירעון של הלוואות מוניטריות שניתנו לתאגידים בנקאים, וכן פירעון של אגרות חוב, שנרכשו במסגרת התערבות הבנק בשווקים על רקע משבר הקורונה.</w:t>
      </w:r>
    </w:p>
    <w:p w:rsidR="00D039D6" w:rsidRPr="00D039D6" w:rsidRDefault="00D039D6" w:rsidP="00D039D6">
      <w:pPr>
        <w:pStyle w:val="ListParagraph"/>
        <w:bidi/>
        <w:spacing w:after="120" w:line="300" w:lineRule="auto"/>
        <w:ind w:left="714"/>
        <w:contextualSpacing w:val="0"/>
        <w:jc w:val="both"/>
        <w:rPr>
          <w:rFonts w:asciiTheme="minorHAnsi" w:hAnsiTheme="minorHAnsi" w:cstheme="minorHAnsi"/>
          <w:rtl/>
        </w:rPr>
      </w:pPr>
      <w:r w:rsidRPr="00D039D6">
        <w:rPr>
          <w:rFonts w:asciiTheme="minorHAnsi" w:hAnsiTheme="minorHAnsi" w:cstheme="minorHAnsi"/>
          <w:rtl/>
        </w:rPr>
        <w:t>יתרת ההתחייבויות של הבנק הסתכמה בסוף שנת 2025 בכ-846.8 מיליארד ש"ח, ירידה של כ-16.2 מיליארד ש"ח (כ-2%) בהשוואה לשנת 2024.</w:t>
      </w:r>
    </w:p>
    <w:p w:rsidR="00D039D6" w:rsidRPr="00D039D6" w:rsidRDefault="00D039D6" w:rsidP="00D039D6">
      <w:pPr>
        <w:bidi/>
        <w:spacing w:line="360" w:lineRule="auto"/>
        <w:ind w:left="714"/>
        <w:jc w:val="both"/>
        <w:rPr>
          <w:rFonts w:asciiTheme="minorHAnsi" w:hAnsiTheme="minorHAnsi" w:cstheme="minorHAnsi"/>
          <w:rtl/>
        </w:rPr>
      </w:pPr>
      <w:r w:rsidRPr="00D039D6">
        <w:rPr>
          <w:rFonts w:asciiTheme="minorHAnsi" w:hAnsiTheme="minorHAnsi" w:cstheme="minorHAnsi"/>
          <w:rtl/>
        </w:rPr>
        <w:t xml:space="preserve">הירידה נובעת בעיקר מקיטון ביתרת כלי הספיגה המוניטריים, </w:t>
      </w:r>
      <w:proofErr w:type="spellStart"/>
      <w:r w:rsidRPr="00D039D6">
        <w:rPr>
          <w:rFonts w:asciiTheme="minorHAnsi" w:hAnsiTheme="minorHAnsi" w:cstheme="minorHAnsi"/>
          <w:rtl/>
        </w:rPr>
        <w:t>פז"ק</w:t>
      </w:r>
      <w:proofErr w:type="spellEnd"/>
      <w:r w:rsidRPr="00D039D6">
        <w:rPr>
          <w:rFonts w:asciiTheme="minorHAnsi" w:hAnsiTheme="minorHAnsi" w:cstheme="minorHAnsi"/>
          <w:rtl/>
        </w:rPr>
        <w:t xml:space="preserve"> ומק"מ ומירידה ביתרות של לקוחות הבנק ואחרות. </w:t>
      </w:r>
    </w:p>
    <w:p w:rsidR="00D039D6" w:rsidRPr="00D039D6" w:rsidRDefault="00D039D6" w:rsidP="00D039D6">
      <w:pPr>
        <w:pStyle w:val="ListParagraph"/>
        <w:numPr>
          <w:ilvl w:val="0"/>
          <w:numId w:val="7"/>
        </w:numPr>
        <w:bidi/>
        <w:spacing w:after="120" w:line="360" w:lineRule="auto"/>
        <w:ind w:left="714" w:hanging="357"/>
        <w:contextualSpacing w:val="0"/>
        <w:jc w:val="both"/>
        <w:rPr>
          <w:rFonts w:asciiTheme="minorHAnsi" w:eastAsia="Calibri" w:hAnsiTheme="minorHAnsi" w:cstheme="minorHAnsi"/>
        </w:rPr>
      </w:pPr>
      <w:r w:rsidRPr="00D039D6">
        <w:rPr>
          <w:rFonts w:asciiTheme="minorHAnsi" w:hAnsiTheme="minorHAnsi" w:cstheme="minorHAnsi"/>
          <w:rtl/>
        </w:rPr>
        <w:t>בהתאם לכללי ה-</w:t>
      </w:r>
      <w:r w:rsidRPr="00D039D6">
        <w:rPr>
          <w:rFonts w:asciiTheme="minorHAnsi" w:hAnsiTheme="minorHAnsi" w:cstheme="minorHAnsi"/>
        </w:rPr>
        <w:t>IFRS</w:t>
      </w:r>
      <w:r w:rsidRPr="00D039D6">
        <w:rPr>
          <w:rFonts w:asciiTheme="minorHAnsi" w:hAnsiTheme="minorHAnsi" w:cstheme="minorHAnsi"/>
          <w:rtl/>
        </w:rPr>
        <w:t xml:space="preserve"> הבנק רשם הפסד שנתי בסך של 45 מיליארד ש"ח המורכב מהסעיפים העיקריים הבאים:</w:t>
      </w:r>
    </w:p>
    <w:p w:rsidR="00D039D6" w:rsidRPr="00D039D6" w:rsidRDefault="00D039D6" w:rsidP="00D039D6">
      <w:pPr>
        <w:pStyle w:val="ListParagraph"/>
        <w:numPr>
          <w:ilvl w:val="1"/>
          <w:numId w:val="7"/>
        </w:numPr>
        <w:bidi/>
        <w:spacing w:after="120" w:line="360" w:lineRule="auto"/>
        <w:jc w:val="both"/>
        <w:rPr>
          <w:rFonts w:asciiTheme="minorHAnsi" w:hAnsiTheme="minorHAnsi" w:cstheme="minorHAnsi"/>
        </w:rPr>
      </w:pPr>
      <w:r w:rsidRPr="00D039D6">
        <w:rPr>
          <w:rFonts w:asciiTheme="minorHAnsi" w:eastAsia="Calibri" w:hAnsiTheme="minorHAnsi" w:cstheme="minorHAnsi"/>
          <w:rtl/>
        </w:rPr>
        <w:t>רווחים גבוהים בסך של כ-49.4 מיליארד ש"ח מהשקעת יתרות מטבע החוץ, כאשר עיקרם רווחי שערוך מהחזקת מניות והכנסות ריבית ושערוך מהחזקת אג"ח, וזאת על רקע המשך העליות במדדי המניות בעולם וירידה הדרגתית בשיעורי הריבית.</w:t>
      </w:r>
      <w:r w:rsidRPr="00D039D6">
        <w:rPr>
          <w:rFonts w:asciiTheme="minorHAnsi" w:hAnsiTheme="minorHAnsi" w:cstheme="minorHAnsi"/>
          <w:rtl/>
        </w:rPr>
        <w:t xml:space="preserve"> רווחים אלו מהווים את עיקר הכנסות הבנק.</w:t>
      </w:r>
      <w:r w:rsidRPr="00D039D6">
        <w:rPr>
          <w:rFonts w:asciiTheme="minorHAnsi" w:hAnsiTheme="minorHAnsi" w:cstheme="minorHAnsi"/>
          <w:rtl/>
        </w:rPr>
        <w:br/>
        <w:t>במונחי דולר, מסתכמים הרווחים מהשקעת היתרות בסך  של כ–17.2 מיליארדי דולרים.</w:t>
      </w:r>
    </w:p>
    <w:p w:rsidR="00D039D6" w:rsidRPr="00D039D6" w:rsidRDefault="00D039D6" w:rsidP="00D039D6">
      <w:pPr>
        <w:pStyle w:val="ListParagraph"/>
        <w:numPr>
          <w:ilvl w:val="1"/>
          <w:numId w:val="7"/>
        </w:numPr>
        <w:bidi/>
        <w:spacing w:after="60" w:line="360" w:lineRule="auto"/>
        <w:jc w:val="both"/>
        <w:rPr>
          <w:rFonts w:asciiTheme="minorHAnsi" w:eastAsia="Calibri" w:hAnsiTheme="minorHAnsi" w:cstheme="minorHAnsi"/>
          <w:rtl/>
        </w:rPr>
      </w:pPr>
      <w:r w:rsidRPr="00D039D6">
        <w:rPr>
          <w:rFonts w:asciiTheme="minorHAnsi" w:hAnsiTheme="minorHAnsi" w:cstheme="minorHAnsi"/>
          <w:rtl/>
        </w:rPr>
        <w:t xml:space="preserve">רישום הוצאות הפרשי שערים מול השקל על סך של כ-66.5 מיליארדי ₪, כפועל יוצא של התחזקות השקל מול המטבעות העיקריים שבהם מוחזקות יתרות </w:t>
      </w:r>
      <w:proofErr w:type="spellStart"/>
      <w:r w:rsidRPr="00D039D6">
        <w:rPr>
          <w:rFonts w:asciiTheme="minorHAnsi" w:hAnsiTheme="minorHAnsi" w:cstheme="minorHAnsi"/>
          <w:rtl/>
        </w:rPr>
        <w:t>המט"ח</w:t>
      </w:r>
      <w:proofErr w:type="spellEnd"/>
      <w:r w:rsidRPr="00D039D6">
        <w:rPr>
          <w:rFonts w:asciiTheme="minorHAnsi" w:hAnsiTheme="minorHAnsi" w:cstheme="minorHAnsi"/>
          <w:rtl/>
        </w:rPr>
        <w:t xml:space="preserve">.  הרוב המוחלט של הוצאות אלו אינו </w:t>
      </w:r>
      <w:r w:rsidRPr="00D039D6">
        <w:rPr>
          <w:rFonts w:asciiTheme="minorHAnsi" w:hAnsiTheme="minorHAnsi" w:cstheme="minorHAnsi"/>
          <w:rtl/>
        </w:rPr>
        <w:lastRenderedPageBreak/>
        <w:t xml:space="preserve">ממומש בפועל, ואינו בא לידי ביטוי </w:t>
      </w:r>
      <w:proofErr w:type="spellStart"/>
      <w:r w:rsidRPr="00D039D6">
        <w:rPr>
          <w:rFonts w:asciiTheme="minorHAnsi" w:hAnsiTheme="minorHAnsi" w:cstheme="minorHAnsi"/>
          <w:rtl/>
        </w:rPr>
        <w:t>בתזרים</w:t>
      </w:r>
      <w:proofErr w:type="spellEnd"/>
      <w:r w:rsidRPr="00D039D6">
        <w:rPr>
          <w:rFonts w:asciiTheme="minorHAnsi" w:hAnsiTheme="minorHAnsi" w:cstheme="minorHAnsi"/>
          <w:rtl/>
        </w:rPr>
        <w:t xml:space="preserve"> המזומנים של הבנק, אלא מהווה הפסדי שערוך "על הנייר". בפועל מומשו  השנה הכנסות מהפרשי שער בסך של כ-2 מיליארד ש"ח.</w:t>
      </w:r>
      <w:r w:rsidRPr="00D039D6">
        <w:rPr>
          <w:rFonts w:asciiTheme="minorHAnsi" w:eastAsia="Calibri" w:hAnsiTheme="minorHAnsi" w:cstheme="minorHAnsi"/>
          <w:rtl/>
        </w:rPr>
        <w:t xml:space="preserve"> </w:t>
      </w:r>
      <w:r w:rsidRPr="00D039D6">
        <w:rPr>
          <w:rFonts w:asciiTheme="minorHAnsi" w:eastAsia="Calibri" w:hAnsiTheme="minorHAnsi" w:cstheme="minorHAnsi"/>
          <w:rtl/>
        </w:rPr>
        <w:br/>
      </w:r>
      <w:r w:rsidRPr="00D039D6">
        <w:rPr>
          <w:rFonts w:asciiTheme="minorHAnsi" w:hAnsiTheme="minorHAnsi" w:cstheme="minorHAnsi"/>
          <w:b/>
          <w:rtl/>
        </w:rPr>
        <w:t xml:space="preserve">יתרה מזאת, </w:t>
      </w:r>
      <w:r w:rsidRPr="00D039D6">
        <w:rPr>
          <w:rFonts w:asciiTheme="minorHAnsi" w:hAnsiTheme="minorHAnsi" w:cstheme="minorHAnsi"/>
          <w:rtl/>
        </w:rPr>
        <w:t>במונחי דולר המגמה של הפרשי השערים הפוכה, ונצברו הכנסות מהפרשי השערים בסך של 7.1 מיליארדי דולר, תוצאת היחלשותו  של הדולר מול מטבעות חוץ אחרים השנה.</w:t>
      </w:r>
    </w:p>
    <w:p w:rsidR="00D039D6" w:rsidRPr="00D039D6" w:rsidRDefault="00D039D6" w:rsidP="00D039D6">
      <w:pPr>
        <w:pStyle w:val="ListParagraph"/>
        <w:numPr>
          <w:ilvl w:val="1"/>
          <w:numId w:val="7"/>
        </w:numPr>
        <w:bidi/>
        <w:spacing w:after="120" w:line="360" w:lineRule="auto"/>
        <w:contextualSpacing w:val="0"/>
        <w:jc w:val="both"/>
        <w:rPr>
          <w:rFonts w:asciiTheme="minorHAnsi" w:hAnsiTheme="minorHAnsi" w:cstheme="minorHAnsi"/>
        </w:rPr>
      </w:pPr>
      <w:r w:rsidRPr="00D039D6">
        <w:rPr>
          <w:rFonts w:asciiTheme="minorHAnsi" w:hAnsiTheme="minorHAnsi" w:cstheme="minorHAnsi"/>
          <w:rtl/>
        </w:rPr>
        <w:t xml:space="preserve">הוצאות הבנק מפעילותו בארץ הסתכמו השנה בכ-26.4 מיליארד ש"ח, שעיקרן הוצאות הריבית בגין יישום מדיניות הריבית של בנק ישראל באמצעות מק"מ </w:t>
      </w:r>
      <w:proofErr w:type="spellStart"/>
      <w:r w:rsidRPr="00D039D6">
        <w:rPr>
          <w:rFonts w:asciiTheme="minorHAnsi" w:hAnsiTheme="minorHAnsi" w:cstheme="minorHAnsi"/>
          <w:rtl/>
        </w:rPr>
        <w:t>ופז"ק</w:t>
      </w:r>
      <w:proofErr w:type="spellEnd"/>
      <w:r w:rsidRPr="00D039D6">
        <w:rPr>
          <w:rFonts w:asciiTheme="minorHAnsi" w:hAnsiTheme="minorHAnsi" w:cstheme="minorHAnsi"/>
          <w:rtl/>
        </w:rPr>
        <w:t>.</w:t>
      </w:r>
    </w:p>
    <w:p w:rsidR="00D039D6" w:rsidRPr="00D039D6" w:rsidRDefault="00D039D6" w:rsidP="00D039D6">
      <w:pPr>
        <w:bidi/>
        <w:spacing w:after="60" w:line="360" w:lineRule="auto"/>
        <w:ind w:left="1440"/>
        <w:jc w:val="both"/>
        <w:rPr>
          <w:rFonts w:asciiTheme="minorHAnsi" w:eastAsia="Calibri" w:hAnsiTheme="minorHAnsi" w:cstheme="minorHAnsi"/>
        </w:rPr>
      </w:pPr>
    </w:p>
    <w:p w:rsidR="00D039D6" w:rsidRPr="00D039D6" w:rsidRDefault="00D039D6" w:rsidP="00D039D6">
      <w:pPr>
        <w:pStyle w:val="ListParagraph"/>
        <w:numPr>
          <w:ilvl w:val="0"/>
          <w:numId w:val="8"/>
        </w:numPr>
        <w:bidi/>
        <w:spacing w:after="60" w:line="360" w:lineRule="auto"/>
        <w:jc w:val="both"/>
        <w:rPr>
          <w:rFonts w:asciiTheme="minorHAnsi" w:hAnsiTheme="minorHAnsi" w:cstheme="minorHAnsi"/>
        </w:rPr>
      </w:pPr>
      <w:r w:rsidRPr="00D039D6">
        <w:rPr>
          <w:rFonts w:asciiTheme="minorHAnsi" w:eastAsia="Calibri" w:hAnsiTheme="minorHAnsi" w:cstheme="minorHAnsi"/>
          <w:rtl/>
        </w:rPr>
        <w:t xml:space="preserve">בקווים המנחים שקבעה הוועדה המוניטרית של הבנק למדיניות ההשקעה של יתרות מטבע חוץ נקבע גם יעד להשגת תשואה שקלית, אשר תכסה בטווח הארוך לפחות את עלות המימון של החזקת היתרות. הבנק עמד ביעד שהוגדר, ובהסתכלות ארוכת טווח עמדו התשואות </w:t>
      </w:r>
      <w:proofErr w:type="spellStart"/>
      <w:r w:rsidRPr="00D039D6">
        <w:rPr>
          <w:rFonts w:asciiTheme="minorHAnsi" w:eastAsia="Calibri" w:hAnsiTheme="minorHAnsi" w:cstheme="minorHAnsi"/>
          <w:rtl/>
        </w:rPr>
        <w:t>השקליות</w:t>
      </w:r>
      <w:proofErr w:type="spellEnd"/>
      <w:r w:rsidRPr="00D039D6">
        <w:rPr>
          <w:rFonts w:asciiTheme="minorHAnsi" w:eastAsia="Calibri" w:hAnsiTheme="minorHAnsi" w:cstheme="minorHAnsi"/>
          <w:rtl/>
        </w:rPr>
        <w:t xml:space="preserve"> הממוצעות של היתרות לשלוש ולחמש שנים על שיעור של </w:t>
      </w:r>
      <w:r w:rsidRPr="00D039D6">
        <w:rPr>
          <w:rFonts w:asciiTheme="minorHAnsi" w:eastAsia="Calibri" w:hAnsiTheme="minorHAnsi" w:cstheme="minorHAnsi"/>
        </w:rPr>
        <w:t xml:space="preserve">  4.7%</w:t>
      </w:r>
      <w:r w:rsidRPr="00D039D6">
        <w:rPr>
          <w:rFonts w:asciiTheme="minorHAnsi" w:eastAsia="Calibri" w:hAnsiTheme="minorHAnsi" w:cstheme="minorHAnsi"/>
          <w:rtl/>
        </w:rPr>
        <w:t xml:space="preserve">ו-2.9% בהתאמה. </w:t>
      </w:r>
      <w:r w:rsidRPr="00D039D6">
        <w:rPr>
          <w:rFonts w:asciiTheme="minorHAnsi" w:hAnsiTheme="minorHAnsi" w:cstheme="minorHAnsi"/>
          <w:rtl/>
        </w:rPr>
        <w:t xml:space="preserve"> </w:t>
      </w:r>
    </w:p>
    <w:p w:rsidR="00D039D6" w:rsidRPr="00D039D6" w:rsidRDefault="00D039D6" w:rsidP="00D039D6">
      <w:pPr>
        <w:bidi/>
        <w:spacing w:after="240" w:line="360" w:lineRule="auto"/>
        <w:ind w:left="720"/>
        <w:jc w:val="both"/>
        <w:rPr>
          <w:rFonts w:asciiTheme="minorHAnsi" w:hAnsiTheme="minorHAnsi" w:cstheme="minorHAnsi"/>
          <w:b/>
          <w:rtl/>
        </w:rPr>
      </w:pPr>
      <w:r w:rsidRPr="00D039D6">
        <w:rPr>
          <w:rFonts w:asciiTheme="minorHAnsi" w:hAnsiTheme="minorHAnsi" w:cstheme="minorHAnsi"/>
          <w:b/>
          <w:rtl/>
        </w:rPr>
        <w:t xml:space="preserve">יתרות </w:t>
      </w:r>
      <w:proofErr w:type="spellStart"/>
      <w:r w:rsidRPr="00D039D6">
        <w:rPr>
          <w:rFonts w:asciiTheme="minorHAnsi" w:hAnsiTheme="minorHAnsi" w:cstheme="minorHAnsi"/>
          <w:b/>
          <w:rtl/>
        </w:rPr>
        <w:t>המט"ח</w:t>
      </w:r>
      <w:proofErr w:type="spellEnd"/>
      <w:r w:rsidRPr="00D039D6">
        <w:rPr>
          <w:rFonts w:asciiTheme="minorHAnsi" w:hAnsiTheme="minorHAnsi" w:cstheme="minorHAnsi"/>
          <w:b/>
          <w:rtl/>
        </w:rPr>
        <w:t xml:space="preserve"> המנוהלת בבנק ישראל הן נכס אסטרטגי עבור מדינת ישראל, כפי שהוכח בימים הראשונים שאחרי אירועי ה-7 באוקטובר. אירועים אלו הדגישו את נחיצותן ותרומתן להבטחת יציבות פיננסית ולהפחתת אי-ודאות בשווקים.</w:t>
      </w:r>
    </w:p>
    <w:p w:rsidR="00D039D6" w:rsidRPr="00D039D6" w:rsidRDefault="00D039D6" w:rsidP="00D039D6">
      <w:pPr>
        <w:pStyle w:val="ListParagraph"/>
        <w:numPr>
          <w:ilvl w:val="0"/>
          <w:numId w:val="7"/>
        </w:numPr>
        <w:bidi/>
        <w:spacing w:after="120" w:line="360" w:lineRule="auto"/>
        <w:contextualSpacing w:val="0"/>
        <w:jc w:val="both"/>
        <w:rPr>
          <w:rFonts w:asciiTheme="minorHAnsi" w:hAnsiTheme="minorHAnsi" w:cstheme="minorHAnsi"/>
          <w:rtl/>
        </w:rPr>
      </w:pPr>
      <w:r w:rsidRPr="00D039D6">
        <w:rPr>
          <w:rFonts w:asciiTheme="minorHAnsi" w:hAnsiTheme="minorHAnsi" w:cstheme="minorHAnsi"/>
          <w:rtl/>
        </w:rPr>
        <w:t>חלוקת הרווחים של הבנק נקבעת על פי חוק בנק ישראל, התש"ע-2010. סעיף 76(א) לחוק קובע כי הרווח הנקי של הבנק לא יכלול רווחים שטרם מומשו על פי הדוח השנתי</w:t>
      </w:r>
      <w:r w:rsidRPr="00D039D6">
        <w:rPr>
          <w:rStyle w:val="FootnoteReference"/>
          <w:rFonts w:asciiTheme="minorHAnsi" w:hAnsiTheme="minorHAnsi" w:cstheme="minorHAnsi"/>
          <w:rtl/>
        </w:rPr>
        <w:footnoteReference w:id="1"/>
      </w:r>
      <w:r w:rsidRPr="00D039D6">
        <w:rPr>
          <w:rFonts w:asciiTheme="minorHAnsi" w:hAnsiTheme="minorHAnsi" w:cstheme="minorHAnsi"/>
          <w:rtl/>
        </w:rPr>
        <w:t>. השנה  קוזזו מקרנות השערוך הוצאות הפרשי שער בסך 60.4  מיליארדי ש"ח. מנגד, נזקפו לקרן השערוך משווי הוגן הכנסות סך של 17.2 מיליארדי ש"ח משערוך מניות ואג"ח שנצברו השנה ולא מומשו. לאחר התאמות אלו לרווח לפי כללי ה-</w:t>
      </w:r>
      <w:r w:rsidRPr="00D039D6">
        <w:rPr>
          <w:rFonts w:asciiTheme="minorHAnsi" w:hAnsiTheme="minorHAnsi" w:cstheme="minorHAnsi"/>
        </w:rPr>
        <w:t>IFRS</w:t>
      </w:r>
      <w:r w:rsidRPr="00D039D6">
        <w:rPr>
          <w:rFonts w:asciiTheme="minorHAnsi" w:hAnsiTheme="minorHAnsi" w:cstheme="minorHAnsi"/>
          <w:rtl/>
        </w:rPr>
        <w:t>, הסתכם ההפסד הנקי של הבנק בהתאם לחוק ב-1.7 מיליארדי ש"ח, הנזקף ליתרת ההפסד המצטבר של הבנק בסוף שנת 2025. בהתאם לחוק, יתרת עודפים שלילית תנוכה מרווחים עתידיים להעברה.</w:t>
      </w:r>
    </w:p>
    <w:p w:rsidR="003E7478" w:rsidRPr="00D039D6" w:rsidRDefault="00D039D6" w:rsidP="005E7C1A">
      <w:pPr>
        <w:bidi/>
        <w:spacing w:line="360" w:lineRule="auto"/>
        <w:rPr>
          <w:rFonts w:asciiTheme="minorHAnsi" w:hAnsiTheme="minorHAnsi" w:cstheme="minorHAnsi"/>
        </w:rPr>
      </w:pPr>
      <w:r w:rsidRPr="00D039D6">
        <w:rPr>
          <w:rFonts w:asciiTheme="minorHAnsi" w:hAnsiTheme="minorHAnsi" w:cstheme="minorHAnsi"/>
          <w:rtl/>
        </w:rPr>
        <w:t xml:space="preserve">היתרה הכוללת של הון הבנק וקרנות השערוך  הסתכמה בכ-ב-26.3- מיליארד ש"ח. מתוכה הסתכמה יתרת קרנות השערוך בכ-89.5 מיליארד ש"ח. </w:t>
      </w:r>
      <w:r w:rsidRPr="00D039D6">
        <w:rPr>
          <w:rFonts w:asciiTheme="minorHAnsi" w:hAnsiTheme="minorHAnsi" w:cstheme="minorHAnsi"/>
          <w:rtl/>
        </w:rPr>
        <w:br/>
        <w:t>יתרה זו כוללת בעיקר רווחים שטרם מומשו מרווחי שערוך של ניירות ערך במט"ח לשווים ההוגן.  יתרת הגירעון בהון הסתכמה בכ-115.8- מיליארד ש"ח, ירידה של 1.7 מיליארד ש"ח בשנת 2025 תוצאת ההפסד</w:t>
      </w:r>
      <w:r w:rsidRPr="00D039D6">
        <w:rPr>
          <w:rFonts w:asciiTheme="minorHAnsi" w:hAnsiTheme="minorHAnsi" w:cstheme="minorHAnsi"/>
          <w:rtl/>
        </w:rPr>
        <w:t xml:space="preserve"> השנתי האמור בהתאם לחוק.</w:t>
      </w:r>
      <w:bookmarkStart w:id="0" w:name="_GoBack"/>
      <w:bookmarkEnd w:id="0"/>
    </w:p>
    <w:sectPr w:rsidR="003E7478" w:rsidRPr="00D039D6" w:rsidSect="00CC2499">
      <w:footerReference w:type="default" r:id="rId8"/>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BB6" w:rsidRDefault="00431BB6" w:rsidP="00E04682">
      <w:pPr>
        <w:spacing w:after="0" w:line="240" w:lineRule="auto"/>
      </w:pPr>
      <w:r>
        <w:separator/>
      </w:r>
    </w:p>
  </w:endnote>
  <w:endnote w:type="continuationSeparator" w:id="0">
    <w:p w:rsidR="00431BB6" w:rsidRDefault="00431BB6" w:rsidP="00E04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w:panose1 w:val="00000500000000000000"/>
    <w:charset w:val="00"/>
    <w:family w:val="auto"/>
    <w:pitch w:val="variable"/>
    <w:sig w:usb0="00000807" w:usb1="40000000" w:usb2="00000000" w:usb3="00000000" w:csb0="0000002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Varela Round">
    <w:panose1 w:val="00000500000000000000"/>
    <w:charset w:val="00"/>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682" w:rsidRDefault="00F25BB5" w:rsidP="00F20046">
    <w:pPr>
      <w:pStyle w:val="Footer"/>
      <w:rPr>
        <w:rtl/>
      </w:rPr>
    </w:pPr>
    <w:r>
      <w:rPr>
        <w:noProof/>
      </w:rPr>
      <mc:AlternateContent>
        <mc:Choice Requires="wps">
          <w:drawing>
            <wp:anchor distT="0" distB="0" distL="114300" distR="114300" simplePos="0" relativeHeight="251665408" behindDoc="0" locked="0" layoutInCell="1" allowOverlap="1" wp14:anchorId="6F2FA1B7" wp14:editId="115BEBC9">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1"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2FA1B7" id="_x0000_t202" coordsize="21600,21600" o:spt="202" path="m,l,21600r21600,l21600,xe">
              <v:stroke joinstyle="miter"/>
              <v:path gradientshapeok="t" o:connecttype="rect"/>
            </v:shapetype>
            <v:shape id="תיבת טקסט 13" o:spid="_x0000_s1026" type="#_x0000_t202" style="position:absolute;margin-left:125.25pt;margin-top:8.8pt;width:158.25pt;height:2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" filled="f" stroked="f" strokeweight=".5pt">
              <v:textbo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2"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v:textbox>
              <w10:wrap anchorx="margin"/>
            </v:shape>
          </w:pict>
        </mc:Fallback>
      </mc:AlternateContent>
    </w:r>
    <w:r w:rsidR="00C10172" w:rsidRPr="00571971">
      <w:rPr>
        <w:rFonts w:cs="Calibri"/>
        <w:noProof/>
        <w:rtl/>
      </w:rPr>
      <w:drawing>
        <wp:anchor distT="0" distB="0" distL="114300" distR="114300" simplePos="0" relativeHeight="251667456" behindDoc="0" locked="0" layoutInCell="1" allowOverlap="1">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46">
      <w:rPr>
        <w:noProof/>
      </w:rPr>
      <w:drawing>
        <wp:anchor distT="0" distB="0" distL="114300" distR="114300" simplePos="0" relativeHeight="251662336" behindDoc="0" locked="0" layoutInCell="1" allowOverlap="1">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8480" behindDoc="0" locked="0" layoutInCell="1" allowOverlap="1">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7"/>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r:embed="rId7">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9504" behindDoc="0" locked="0" layoutInCell="1" allowOverlap="1">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8"/>
                  <pic:cNvPicPr>
                    <a:picLocks noChangeAspect="1"/>
                  </pic:cNvPicPr>
                </pic:nvPicPr>
                <pic:blipFill>
                  <a:blip r:embed="rId8" cstate="print">
                    <a:duotone>
                      <a:schemeClr val="accent5">
                        <a:shade val="45000"/>
                        <a:satMod val="135000"/>
                      </a:schemeClr>
                      <a:prstClr val="white"/>
                    </a:duotone>
                    <a:extLst>
                      <a:ext uri="{BEBA8EAE-BF5A-486C-A8C5-ECC9F3942E4B}">
                        <a14:imgProps xmlns:a14="http://schemas.microsoft.com/office/drawing/2010/main">
                          <a14:imgLayer r:embed="rId9">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sidR="00F20046">
      <w:rPr>
        <w:noProof/>
      </w:rPr>
      <mc:AlternateContent>
        <mc:Choice Requires="wps">
          <w:drawing>
            <wp:anchor distT="0" distB="0" distL="114300" distR="114300" simplePos="0" relativeHeight="251671552" behindDoc="0" locked="0" layoutInCell="1" allowOverlap="1" wp14:anchorId="2A58D63D" wp14:editId="2D1F9C15">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0"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8D63D" id="תיבת טקסט 22" o:spid="_x0000_s1027" type="#_x0000_t202" style="position:absolute;margin-left:-23.05pt;margin-top:6pt;width:167.75pt;height:48.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" filled="f" stroked="f" strokeweight=".5pt">
              <v:textbo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1"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v:textbox>
              <w10:wrap anchorx="margin"/>
            </v:shape>
          </w:pict>
        </mc:Fallback>
      </mc:AlternateContent>
    </w:r>
    <w:r w:rsidR="00F20046">
      <w:rPr>
        <w:noProof/>
      </w:rPr>
      <mc:AlternateContent>
        <mc:Choice Requires="wps">
          <w:drawing>
            <wp:anchor distT="0" distB="0" distL="114300" distR="114300" simplePos="0" relativeHeight="251661312" behindDoc="0" locked="0" layoutInCell="1" allowOverlap="1" wp14:anchorId="71AF4990" wp14:editId="6CA604D5">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2" w:history="1">
                            <w:r w:rsidR="00571971"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AF4990" id="תיבת טקסט 9" o:spid="_x0000_s1028" type="#_x0000_t202" style="position:absolute;margin-left:256.5pt;margin-top:7.05pt;width:171.8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" filled="f" stroked="f" strokeweight=".5pt">
              <v:textbo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3" w:history="1">
                      <w:r w:rsidR="00571971" w:rsidRPr="00031A9D">
                        <w:rPr>
                          <w:rStyle w:val="Hyperlink"/>
                          <w:rFonts w:asciiTheme="minorHAnsi" w:hAnsiTheme="minorHAnsi" w:cstheme="minorHAnsi"/>
                          <w:sz w:val="14"/>
                          <w:szCs w:val="14"/>
                        </w:rPr>
                        <w:t>https://www.facebook.com/bankisraelvc</w:t>
                      </w:r>
                    </w:hyperlink>
                  </w:p>
                </w:txbxContent>
              </v:textbox>
            </v:shape>
          </w:pict>
        </mc:Fallback>
      </mc:AlternateContent>
    </w:r>
    <w:r w:rsidR="00F20046">
      <w:rPr>
        <w:noProof/>
      </w:rPr>
      <mc:AlternateContent>
        <mc:Choice Requires="wps">
          <w:drawing>
            <wp:anchor distT="0" distB="0" distL="114300" distR="114300" simplePos="0" relativeHeight="251659264" behindDoc="0" locked="0" layoutInCell="1" allowOverlap="1">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תיבת טקסט 7" o:spid="_x0000_s1029" type="#_x0000_t202" style="position:absolute;margin-left:394.85pt;margin-top:7pt;width:120.9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" filled="f" stroked="f" strokeweight=".5pt">
              <v:textbo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sidR="00B677DC">
      <w:rPr>
        <w:noProof/>
      </w:rPr>
      <mc:AlternateContent>
        <mc:Choice Requires="wps">
          <w:drawing>
            <wp:anchor distT="0" distB="0" distL="114300" distR="114300" simplePos="0" relativeHeight="251666432"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AD1803" id="מחבר ישר 15" o:spid="_x0000_s1026" style="position:absolute;left:0;text-align:left;flip:x;z-index:251666432;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" strokecolor="black [3040]"/>
          </w:pict>
        </mc:Fallback>
      </mc:AlternateContent>
    </w:r>
    <w:r w:rsidR="00972198" w:rsidRPr="00571971">
      <w:rPr>
        <w:rFonts w:cs="Calibri"/>
        <w:noProof/>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BB6" w:rsidRDefault="00431BB6" w:rsidP="00E04682">
      <w:pPr>
        <w:spacing w:after="0" w:line="240" w:lineRule="auto"/>
      </w:pPr>
      <w:r>
        <w:separator/>
      </w:r>
    </w:p>
  </w:footnote>
  <w:footnote w:type="continuationSeparator" w:id="0">
    <w:p w:rsidR="00431BB6" w:rsidRDefault="00431BB6" w:rsidP="00E04682">
      <w:pPr>
        <w:spacing w:after="0" w:line="240" w:lineRule="auto"/>
      </w:pPr>
      <w:r>
        <w:continuationSeparator/>
      </w:r>
    </w:p>
  </w:footnote>
  <w:footnote w:id="1">
    <w:p w:rsidR="00D039D6" w:rsidRPr="006B3DA0" w:rsidRDefault="00D039D6" w:rsidP="00D039D6">
      <w:pPr>
        <w:pStyle w:val="FootnoteText"/>
        <w:bidi/>
        <w:rPr>
          <w:sz w:val="18"/>
          <w:szCs w:val="18"/>
          <w:rtl/>
        </w:rPr>
      </w:pPr>
      <w:r>
        <w:rPr>
          <w:rStyle w:val="FootnoteReference"/>
        </w:rPr>
        <w:footnoteRef/>
      </w:r>
      <w:r>
        <w:t xml:space="preserve"> </w:t>
      </w:r>
      <w:r w:rsidRPr="006B3DA0">
        <w:rPr>
          <w:rFonts w:ascii="Varela Round" w:hAnsi="Varela Round" w:cs="Varela Round" w:hint="cs"/>
          <w:sz w:val="18"/>
          <w:szCs w:val="18"/>
          <w:rtl/>
        </w:rPr>
        <w:t xml:space="preserve">רווחים לא ממומשים נזקפים לקרנות שערוך בהון. מימוש מקרנות השערוך מבוצע כאשר נרשמים ברווח או הפסד  הפסדים שניתן לקזזם מהקרנות המתאימות. </w:t>
      </w:r>
      <w:r w:rsidRPr="006B3DA0">
        <w:rPr>
          <w:rFonts w:ascii="Varela Round" w:hAnsi="Varela Round" w:cs="Varela Round"/>
          <w:sz w:val="18"/>
          <w:szCs w:val="18"/>
          <w:rtl/>
        </w:rPr>
        <w:b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C6049"/>
    <w:multiLevelType w:val="hybridMultilevel"/>
    <w:tmpl w:val="3A4AADEA"/>
    <w:lvl w:ilvl="0" w:tplc="BCEC41EA">
      <w:numFmt w:val="bullet"/>
      <w:lvlText w:val=""/>
      <w:lvlJc w:val="left"/>
      <w:pPr>
        <w:ind w:left="720" w:hanging="360"/>
      </w:pPr>
      <w:rPr>
        <w:rFonts w:ascii="Symbol" w:eastAsia="David"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1D014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654D7F"/>
    <w:multiLevelType w:val="hybridMultilevel"/>
    <w:tmpl w:val="7ECE0DC4"/>
    <w:lvl w:ilvl="0" w:tplc="311A03AC">
      <w:start w:val="1"/>
      <w:numFmt w:val="bullet"/>
      <w:lvlText w:val=""/>
      <w:lvlJc w:val="left"/>
      <w:pPr>
        <w:ind w:left="1513" w:hanging="360"/>
      </w:pPr>
      <w:rPr>
        <w:rFonts w:ascii="Symbol" w:hAnsi="Symbol" w:hint="default"/>
      </w:rPr>
    </w:lvl>
    <w:lvl w:ilvl="1" w:tplc="2CB8D966" w:tentative="1">
      <w:start w:val="1"/>
      <w:numFmt w:val="bullet"/>
      <w:lvlText w:val="o"/>
      <w:lvlJc w:val="left"/>
      <w:pPr>
        <w:ind w:left="2233" w:hanging="360"/>
      </w:pPr>
      <w:rPr>
        <w:rFonts w:ascii="Courier New" w:hAnsi="Courier New" w:cs="Courier New" w:hint="default"/>
      </w:rPr>
    </w:lvl>
    <w:lvl w:ilvl="2" w:tplc="D0E099F0" w:tentative="1">
      <w:start w:val="1"/>
      <w:numFmt w:val="bullet"/>
      <w:lvlText w:val=""/>
      <w:lvlJc w:val="left"/>
      <w:pPr>
        <w:ind w:left="2953" w:hanging="360"/>
      </w:pPr>
      <w:rPr>
        <w:rFonts w:ascii="Wingdings" w:hAnsi="Wingdings" w:hint="default"/>
      </w:rPr>
    </w:lvl>
    <w:lvl w:ilvl="3" w:tplc="F84073CA" w:tentative="1">
      <w:start w:val="1"/>
      <w:numFmt w:val="bullet"/>
      <w:lvlText w:val=""/>
      <w:lvlJc w:val="left"/>
      <w:pPr>
        <w:ind w:left="3673" w:hanging="360"/>
      </w:pPr>
      <w:rPr>
        <w:rFonts w:ascii="Symbol" w:hAnsi="Symbol" w:hint="default"/>
      </w:rPr>
    </w:lvl>
    <w:lvl w:ilvl="4" w:tplc="95A41C3A" w:tentative="1">
      <w:start w:val="1"/>
      <w:numFmt w:val="bullet"/>
      <w:lvlText w:val="o"/>
      <w:lvlJc w:val="left"/>
      <w:pPr>
        <w:ind w:left="4393" w:hanging="360"/>
      </w:pPr>
      <w:rPr>
        <w:rFonts w:ascii="Courier New" w:hAnsi="Courier New" w:cs="Courier New" w:hint="default"/>
      </w:rPr>
    </w:lvl>
    <w:lvl w:ilvl="5" w:tplc="4D0635D2" w:tentative="1">
      <w:start w:val="1"/>
      <w:numFmt w:val="bullet"/>
      <w:lvlText w:val=""/>
      <w:lvlJc w:val="left"/>
      <w:pPr>
        <w:ind w:left="5113" w:hanging="360"/>
      </w:pPr>
      <w:rPr>
        <w:rFonts w:ascii="Wingdings" w:hAnsi="Wingdings" w:hint="default"/>
      </w:rPr>
    </w:lvl>
    <w:lvl w:ilvl="6" w:tplc="0CF8D35A" w:tentative="1">
      <w:start w:val="1"/>
      <w:numFmt w:val="bullet"/>
      <w:lvlText w:val=""/>
      <w:lvlJc w:val="left"/>
      <w:pPr>
        <w:ind w:left="5833" w:hanging="360"/>
      </w:pPr>
      <w:rPr>
        <w:rFonts w:ascii="Symbol" w:hAnsi="Symbol" w:hint="default"/>
      </w:rPr>
    </w:lvl>
    <w:lvl w:ilvl="7" w:tplc="DE04F528" w:tentative="1">
      <w:start w:val="1"/>
      <w:numFmt w:val="bullet"/>
      <w:lvlText w:val="o"/>
      <w:lvlJc w:val="left"/>
      <w:pPr>
        <w:ind w:left="6553" w:hanging="360"/>
      </w:pPr>
      <w:rPr>
        <w:rFonts w:ascii="Courier New" w:hAnsi="Courier New" w:cs="Courier New" w:hint="default"/>
      </w:rPr>
    </w:lvl>
    <w:lvl w:ilvl="8" w:tplc="822AFB6E" w:tentative="1">
      <w:start w:val="1"/>
      <w:numFmt w:val="bullet"/>
      <w:lvlText w:val=""/>
      <w:lvlJc w:val="left"/>
      <w:pPr>
        <w:ind w:left="7273" w:hanging="360"/>
      </w:pPr>
      <w:rPr>
        <w:rFonts w:ascii="Wingdings" w:hAnsi="Wingdings" w:hint="default"/>
      </w:rPr>
    </w:lvl>
  </w:abstractNum>
  <w:abstractNum w:abstractNumId="3" w15:restartNumberingAfterBreak="0">
    <w:nsid w:val="4BA53597"/>
    <w:multiLevelType w:val="hybridMultilevel"/>
    <w:tmpl w:val="64A80794"/>
    <w:lvl w:ilvl="0" w:tplc="B8B8FD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210C5A"/>
    <w:multiLevelType w:val="hybridMultilevel"/>
    <w:tmpl w:val="1F0214CA"/>
    <w:lvl w:ilvl="0" w:tplc="D41CDC90">
      <w:numFmt w:val="bullet"/>
      <w:lvlText w:val=""/>
      <w:lvlJc w:val="left"/>
      <w:pPr>
        <w:ind w:left="668" w:hanging="360"/>
      </w:pPr>
      <w:rPr>
        <w:rFonts w:ascii="Symbol" w:eastAsiaTheme="minorHAnsi" w:hAnsi="Symbol" w:cs="Assistant" w:hint="default"/>
      </w:rPr>
    </w:lvl>
    <w:lvl w:ilvl="1" w:tplc="04090003">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5" w15:restartNumberingAfterBreak="0">
    <w:nsid w:val="577F64B2"/>
    <w:multiLevelType w:val="hybridMultilevel"/>
    <w:tmpl w:val="A3EC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0941A4"/>
    <w:multiLevelType w:val="hybridMultilevel"/>
    <w:tmpl w:val="D5825F84"/>
    <w:lvl w:ilvl="0" w:tplc="2C8673AE">
      <w:start w:val="1"/>
      <w:numFmt w:val="bullet"/>
      <w:lvlText w:val=""/>
      <w:lvlJc w:val="left"/>
      <w:pPr>
        <w:ind w:left="720" w:hanging="360"/>
      </w:pPr>
      <w:rPr>
        <w:rFonts w:ascii="Symbol" w:hAnsi="Symbol" w:hint="default"/>
      </w:rPr>
    </w:lvl>
    <w:lvl w:ilvl="1" w:tplc="416E8F56" w:tentative="1">
      <w:start w:val="1"/>
      <w:numFmt w:val="bullet"/>
      <w:lvlText w:val="o"/>
      <w:lvlJc w:val="left"/>
      <w:pPr>
        <w:ind w:left="1440" w:hanging="360"/>
      </w:pPr>
      <w:rPr>
        <w:rFonts w:ascii="Courier New" w:hAnsi="Courier New" w:cs="Courier New" w:hint="default"/>
      </w:rPr>
    </w:lvl>
    <w:lvl w:ilvl="2" w:tplc="392CE05C" w:tentative="1">
      <w:start w:val="1"/>
      <w:numFmt w:val="bullet"/>
      <w:lvlText w:val=""/>
      <w:lvlJc w:val="left"/>
      <w:pPr>
        <w:ind w:left="2160" w:hanging="360"/>
      </w:pPr>
      <w:rPr>
        <w:rFonts w:ascii="Wingdings" w:hAnsi="Wingdings" w:hint="default"/>
      </w:rPr>
    </w:lvl>
    <w:lvl w:ilvl="3" w:tplc="BFAEF2A0" w:tentative="1">
      <w:start w:val="1"/>
      <w:numFmt w:val="bullet"/>
      <w:lvlText w:val=""/>
      <w:lvlJc w:val="left"/>
      <w:pPr>
        <w:ind w:left="2880" w:hanging="360"/>
      </w:pPr>
      <w:rPr>
        <w:rFonts w:ascii="Symbol" w:hAnsi="Symbol" w:hint="default"/>
      </w:rPr>
    </w:lvl>
    <w:lvl w:ilvl="4" w:tplc="9F04FF50" w:tentative="1">
      <w:start w:val="1"/>
      <w:numFmt w:val="bullet"/>
      <w:lvlText w:val="o"/>
      <w:lvlJc w:val="left"/>
      <w:pPr>
        <w:ind w:left="3600" w:hanging="360"/>
      </w:pPr>
      <w:rPr>
        <w:rFonts w:ascii="Courier New" w:hAnsi="Courier New" w:cs="Courier New" w:hint="default"/>
      </w:rPr>
    </w:lvl>
    <w:lvl w:ilvl="5" w:tplc="602A822A" w:tentative="1">
      <w:start w:val="1"/>
      <w:numFmt w:val="bullet"/>
      <w:lvlText w:val=""/>
      <w:lvlJc w:val="left"/>
      <w:pPr>
        <w:ind w:left="4320" w:hanging="360"/>
      </w:pPr>
      <w:rPr>
        <w:rFonts w:ascii="Wingdings" w:hAnsi="Wingdings" w:hint="default"/>
      </w:rPr>
    </w:lvl>
    <w:lvl w:ilvl="6" w:tplc="098C949E" w:tentative="1">
      <w:start w:val="1"/>
      <w:numFmt w:val="bullet"/>
      <w:lvlText w:val=""/>
      <w:lvlJc w:val="left"/>
      <w:pPr>
        <w:ind w:left="5040" w:hanging="360"/>
      </w:pPr>
      <w:rPr>
        <w:rFonts w:ascii="Symbol" w:hAnsi="Symbol" w:hint="default"/>
      </w:rPr>
    </w:lvl>
    <w:lvl w:ilvl="7" w:tplc="E3E09A74" w:tentative="1">
      <w:start w:val="1"/>
      <w:numFmt w:val="bullet"/>
      <w:lvlText w:val="o"/>
      <w:lvlJc w:val="left"/>
      <w:pPr>
        <w:ind w:left="5760" w:hanging="360"/>
      </w:pPr>
      <w:rPr>
        <w:rFonts w:ascii="Courier New" w:hAnsi="Courier New" w:cs="Courier New" w:hint="default"/>
      </w:rPr>
    </w:lvl>
    <w:lvl w:ilvl="8" w:tplc="F7B45E2A" w:tentative="1">
      <w:start w:val="1"/>
      <w:numFmt w:val="bullet"/>
      <w:lvlText w:val=""/>
      <w:lvlJc w:val="left"/>
      <w:pPr>
        <w:ind w:left="6480" w:hanging="360"/>
      </w:pPr>
      <w:rPr>
        <w:rFonts w:ascii="Wingdings" w:hAnsi="Wingdings" w:hint="default"/>
      </w:rPr>
    </w:lvl>
  </w:abstractNum>
  <w:abstractNum w:abstractNumId="7" w15:restartNumberingAfterBreak="0">
    <w:nsid w:val="7DC717F5"/>
    <w:multiLevelType w:val="hybridMultilevel"/>
    <w:tmpl w:val="9BEE725C"/>
    <w:lvl w:ilvl="0" w:tplc="B8B8FD8C">
      <w:start w:val="1"/>
      <w:numFmt w:val="bullet"/>
      <w:lvlText w:val=""/>
      <w:lvlJc w:val="left"/>
      <w:pPr>
        <w:ind w:left="720" w:hanging="360"/>
      </w:pPr>
      <w:rPr>
        <w:rFonts w:ascii="Symbol" w:hAnsi="Symbol" w:hint="default"/>
      </w:rPr>
    </w:lvl>
    <w:lvl w:ilvl="1" w:tplc="6CE86834">
      <w:start w:val="1"/>
      <w:numFmt w:val="bullet"/>
      <w:lvlText w:val="o"/>
      <w:lvlJc w:val="left"/>
      <w:pPr>
        <w:ind w:left="1440" w:hanging="360"/>
      </w:pPr>
      <w:rPr>
        <w:rFonts w:ascii="Courier New" w:hAnsi="Courier New" w:cs="Courier New" w:hint="default"/>
      </w:rPr>
    </w:lvl>
    <w:lvl w:ilvl="2" w:tplc="0A3600DE" w:tentative="1">
      <w:start w:val="1"/>
      <w:numFmt w:val="bullet"/>
      <w:lvlText w:val=""/>
      <w:lvlJc w:val="left"/>
      <w:pPr>
        <w:ind w:left="2160" w:hanging="360"/>
      </w:pPr>
      <w:rPr>
        <w:rFonts w:ascii="Wingdings" w:hAnsi="Wingdings" w:hint="default"/>
      </w:rPr>
    </w:lvl>
    <w:lvl w:ilvl="3" w:tplc="C6F05BAC" w:tentative="1">
      <w:start w:val="1"/>
      <w:numFmt w:val="bullet"/>
      <w:lvlText w:val=""/>
      <w:lvlJc w:val="left"/>
      <w:pPr>
        <w:ind w:left="2880" w:hanging="360"/>
      </w:pPr>
      <w:rPr>
        <w:rFonts w:ascii="Symbol" w:hAnsi="Symbol" w:hint="default"/>
      </w:rPr>
    </w:lvl>
    <w:lvl w:ilvl="4" w:tplc="28FC9A1C" w:tentative="1">
      <w:start w:val="1"/>
      <w:numFmt w:val="bullet"/>
      <w:lvlText w:val="o"/>
      <w:lvlJc w:val="left"/>
      <w:pPr>
        <w:ind w:left="3600" w:hanging="360"/>
      </w:pPr>
      <w:rPr>
        <w:rFonts w:ascii="Courier New" w:hAnsi="Courier New" w:cs="Courier New" w:hint="default"/>
      </w:rPr>
    </w:lvl>
    <w:lvl w:ilvl="5" w:tplc="9EB64A50" w:tentative="1">
      <w:start w:val="1"/>
      <w:numFmt w:val="bullet"/>
      <w:lvlText w:val=""/>
      <w:lvlJc w:val="left"/>
      <w:pPr>
        <w:ind w:left="4320" w:hanging="360"/>
      </w:pPr>
      <w:rPr>
        <w:rFonts w:ascii="Wingdings" w:hAnsi="Wingdings" w:hint="default"/>
      </w:rPr>
    </w:lvl>
    <w:lvl w:ilvl="6" w:tplc="65E2FF88" w:tentative="1">
      <w:start w:val="1"/>
      <w:numFmt w:val="bullet"/>
      <w:lvlText w:val=""/>
      <w:lvlJc w:val="left"/>
      <w:pPr>
        <w:ind w:left="5040" w:hanging="360"/>
      </w:pPr>
      <w:rPr>
        <w:rFonts w:ascii="Symbol" w:hAnsi="Symbol" w:hint="default"/>
      </w:rPr>
    </w:lvl>
    <w:lvl w:ilvl="7" w:tplc="B2B8E636" w:tentative="1">
      <w:start w:val="1"/>
      <w:numFmt w:val="bullet"/>
      <w:lvlText w:val="o"/>
      <w:lvlJc w:val="left"/>
      <w:pPr>
        <w:ind w:left="5760" w:hanging="360"/>
      </w:pPr>
      <w:rPr>
        <w:rFonts w:ascii="Courier New" w:hAnsi="Courier New" w:cs="Courier New" w:hint="default"/>
      </w:rPr>
    </w:lvl>
    <w:lvl w:ilvl="8" w:tplc="326CCED0"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1"/>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0A"/>
    <w:rsid w:val="0000680E"/>
    <w:rsid w:val="00012503"/>
    <w:rsid w:val="00031A9D"/>
    <w:rsid w:val="00040A7F"/>
    <w:rsid w:val="00045C65"/>
    <w:rsid w:val="00055CC5"/>
    <w:rsid w:val="00065B9B"/>
    <w:rsid w:val="000727FD"/>
    <w:rsid w:val="00084B5A"/>
    <w:rsid w:val="000857B7"/>
    <w:rsid w:val="00087BB3"/>
    <w:rsid w:val="00095555"/>
    <w:rsid w:val="00096238"/>
    <w:rsid w:val="000A5329"/>
    <w:rsid w:val="000C1E4D"/>
    <w:rsid w:val="000D2157"/>
    <w:rsid w:val="000D5445"/>
    <w:rsid w:val="000E7ED2"/>
    <w:rsid w:val="00100012"/>
    <w:rsid w:val="00113BC9"/>
    <w:rsid w:val="00115277"/>
    <w:rsid w:val="00115FEF"/>
    <w:rsid w:val="00127DAC"/>
    <w:rsid w:val="00151A07"/>
    <w:rsid w:val="00156135"/>
    <w:rsid w:val="00162DCC"/>
    <w:rsid w:val="00166DBC"/>
    <w:rsid w:val="001705B9"/>
    <w:rsid w:val="00170DDB"/>
    <w:rsid w:val="00184E4C"/>
    <w:rsid w:val="0019079B"/>
    <w:rsid w:val="00196785"/>
    <w:rsid w:val="001A2670"/>
    <w:rsid w:val="001A53CE"/>
    <w:rsid w:val="001B05C6"/>
    <w:rsid w:val="001B28C8"/>
    <w:rsid w:val="001B5E43"/>
    <w:rsid w:val="001C194B"/>
    <w:rsid w:val="001C7D79"/>
    <w:rsid w:val="001D5E62"/>
    <w:rsid w:val="001E0275"/>
    <w:rsid w:val="001E2886"/>
    <w:rsid w:val="001E46DB"/>
    <w:rsid w:val="001F2BE7"/>
    <w:rsid w:val="00223D37"/>
    <w:rsid w:val="00225BDF"/>
    <w:rsid w:val="00245BA3"/>
    <w:rsid w:val="00256095"/>
    <w:rsid w:val="00256D97"/>
    <w:rsid w:val="00265657"/>
    <w:rsid w:val="00274912"/>
    <w:rsid w:val="00275FE8"/>
    <w:rsid w:val="002834B6"/>
    <w:rsid w:val="00290B54"/>
    <w:rsid w:val="00297F94"/>
    <w:rsid w:val="002A2E4C"/>
    <w:rsid w:val="002A3CC4"/>
    <w:rsid w:val="002B564E"/>
    <w:rsid w:val="002B7877"/>
    <w:rsid w:val="002C05A5"/>
    <w:rsid w:val="002C754F"/>
    <w:rsid w:val="002D7AA8"/>
    <w:rsid w:val="002E330F"/>
    <w:rsid w:val="002E5F96"/>
    <w:rsid w:val="002F62A1"/>
    <w:rsid w:val="00301F96"/>
    <w:rsid w:val="003144E6"/>
    <w:rsid w:val="00315D7C"/>
    <w:rsid w:val="00316C9F"/>
    <w:rsid w:val="0031701E"/>
    <w:rsid w:val="0032792A"/>
    <w:rsid w:val="003353C9"/>
    <w:rsid w:val="00341083"/>
    <w:rsid w:val="00352E3C"/>
    <w:rsid w:val="003552BD"/>
    <w:rsid w:val="0036030B"/>
    <w:rsid w:val="003641E2"/>
    <w:rsid w:val="00370E6F"/>
    <w:rsid w:val="0037101B"/>
    <w:rsid w:val="003730B8"/>
    <w:rsid w:val="00375149"/>
    <w:rsid w:val="003A1561"/>
    <w:rsid w:val="003C2931"/>
    <w:rsid w:val="003E7478"/>
    <w:rsid w:val="003F01E4"/>
    <w:rsid w:val="003F57B2"/>
    <w:rsid w:val="00407D90"/>
    <w:rsid w:val="00431BB6"/>
    <w:rsid w:val="00440E7F"/>
    <w:rsid w:val="004537A7"/>
    <w:rsid w:val="004561A3"/>
    <w:rsid w:val="00460DDF"/>
    <w:rsid w:val="00461C90"/>
    <w:rsid w:val="00471092"/>
    <w:rsid w:val="004A120F"/>
    <w:rsid w:val="004A32D7"/>
    <w:rsid w:val="004A6295"/>
    <w:rsid w:val="004C6182"/>
    <w:rsid w:val="004C7925"/>
    <w:rsid w:val="004F26A1"/>
    <w:rsid w:val="004F5E3C"/>
    <w:rsid w:val="00567B1A"/>
    <w:rsid w:val="00571971"/>
    <w:rsid w:val="0057422C"/>
    <w:rsid w:val="00575141"/>
    <w:rsid w:val="0059782C"/>
    <w:rsid w:val="005A52A2"/>
    <w:rsid w:val="005C5BF9"/>
    <w:rsid w:val="005D5F2B"/>
    <w:rsid w:val="005E28F6"/>
    <w:rsid w:val="005E7C1A"/>
    <w:rsid w:val="00614024"/>
    <w:rsid w:val="00632CD2"/>
    <w:rsid w:val="006344CC"/>
    <w:rsid w:val="0063559D"/>
    <w:rsid w:val="0063690B"/>
    <w:rsid w:val="00640309"/>
    <w:rsid w:val="00660075"/>
    <w:rsid w:val="00660F46"/>
    <w:rsid w:val="006811C3"/>
    <w:rsid w:val="006907D5"/>
    <w:rsid w:val="0069557C"/>
    <w:rsid w:val="006C3C36"/>
    <w:rsid w:val="006C5099"/>
    <w:rsid w:val="006F0964"/>
    <w:rsid w:val="00701240"/>
    <w:rsid w:val="00715D7F"/>
    <w:rsid w:val="00716C90"/>
    <w:rsid w:val="007172E4"/>
    <w:rsid w:val="00737090"/>
    <w:rsid w:val="00780795"/>
    <w:rsid w:val="00783F55"/>
    <w:rsid w:val="007916D5"/>
    <w:rsid w:val="0079406F"/>
    <w:rsid w:val="00797111"/>
    <w:rsid w:val="007A0330"/>
    <w:rsid w:val="007A25C0"/>
    <w:rsid w:val="007A2A08"/>
    <w:rsid w:val="007B2299"/>
    <w:rsid w:val="007B2E35"/>
    <w:rsid w:val="007B64D4"/>
    <w:rsid w:val="007C40B7"/>
    <w:rsid w:val="007C41CE"/>
    <w:rsid w:val="007D028E"/>
    <w:rsid w:val="007E3CCC"/>
    <w:rsid w:val="00803D2A"/>
    <w:rsid w:val="008058DF"/>
    <w:rsid w:val="00810049"/>
    <w:rsid w:val="008137A5"/>
    <w:rsid w:val="00832597"/>
    <w:rsid w:val="008371BA"/>
    <w:rsid w:val="00844664"/>
    <w:rsid w:val="008466F0"/>
    <w:rsid w:val="008473FB"/>
    <w:rsid w:val="00850CC4"/>
    <w:rsid w:val="00886388"/>
    <w:rsid w:val="008B3199"/>
    <w:rsid w:val="008C47FB"/>
    <w:rsid w:val="008C4A46"/>
    <w:rsid w:val="008C706D"/>
    <w:rsid w:val="008D5488"/>
    <w:rsid w:val="008E2484"/>
    <w:rsid w:val="008F0B52"/>
    <w:rsid w:val="008F617A"/>
    <w:rsid w:val="00914AC1"/>
    <w:rsid w:val="00921F03"/>
    <w:rsid w:val="0095375C"/>
    <w:rsid w:val="00965C79"/>
    <w:rsid w:val="00972198"/>
    <w:rsid w:val="00984B1A"/>
    <w:rsid w:val="009851B0"/>
    <w:rsid w:val="00996DA6"/>
    <w:rsid w:val="009A089E"/>
    <w:rsid w:val="009A50FF"/>
    <w:rsid w:val="009B0FA7"/>
    <w:rsid w:val="009B2E19"/>
    <w:rsid w:val="009C6D0D"/>
    <w:rsid w:val="009E2FD2"/>
    <w:rsid w:val="00A076E6"/>
    <w:rsid w:val="00A13844"/>
    <w:rsid w:val="00A27085"/>
    <w:rsid w:val="00A344EF"/>
    <w:rsid w:val="00A41BD0"/>
    <w:rsid w:val="00A47944"/>
    <w:rsid w:val="00A61A41"/>
    <w:rsid w:val="00A6309F"/>
    <w:rsid w:val="00A678C6"/>
    <w:rsid w:val="00A71B93"/>
    <w:rsid w:val="00A730E0"/>
    <w:rsid w:val="00A8460D"/>
    <w:rsid w:val="00A92A3D"/>
    <w:rsid w:val="00AA00A5"/>
    <w:rsid w:val="00AB01E0"/>
    <w:rsid w:val="00AB1761"/>
    <w:rsid w:val="00AB37A4"/>
    <w:rsid w:val="00AC35CD"/>
    <w:rsid w:val="00AE7479"/>
    <w:rsid w:val="00AF1FA7"/>
    <w:rsid w:val="00B02A8E"/>
    <w:rsid w:val="00B071B6"/>
    <w:rsid w:val="00B13490"/>
    <w:rsid w:val="00B161CC"/>
    <w:rsid w:val="00B35876"/>
    <w:rsid w:val="00B569FD"/>
    <w:rsid w:val="00B63A33"/>
    <w:rsid w:val="00B677DC"/>
    <w:rsid w:val="00B70E6F"/>
    <w:rsid w:val="00B91BF0"/>
    <w:rsid w:val="00B955C2"/>
    <w:rsid w:val="00BA0282"/>
    <w:rsid w:val="00BB6985"/>
    <w:rsid w:val="00BD0783"/>
    <w:rsid w:val="00BD17EF"/>
    <w:rsid w:val="00BD7743"/>
    <w:rsid w:val="00BE729B"/>
    <w:rsid w:val="00BF4F97"/>
    <w:rsid w:val="00BF5589"/>
    <w:rsid w:val="00C0095C"/>
    <w:rsid w:val="00C02512"/>
    <w:rsid w:val="00C10172"/>
    <w:rsid w:val="00C25C86"/>
    <w:rsid w:val="00C36D00"/>
    <w:rsid w:val="00C42A4B"/>
    <w:rsid w:val="00C463C1"/>
    <w:rsid w:val="00C46931"/>
    <w:rsid w:val="00C47A89"/>
    <w:rsid w:val="00C73E6B"/>
    <w:rsid w:val="00C85D4E"/>
    <w:rsid w:val="00C9088B"/>
    <w:rsid w:val="00C91BA8"/>
    <w:rsid w:val="00C94FDB"/>
    <w:rsid w:val="00CA2ACF"/>
    <w:rsid w:val="00CB5C9F"/>
    <w:rsid w:val="00CB5CD9"/>
    <w:rsid w:val="00CB74C6"/>
    <w:rsid w:val="00CC2499"/>
    <w:rsid w:val="00CC57F4"/>
    <w:rsid w:val="00CC73CB"/>
    <w:rsid w:val="00CD11DB"/>
    <w:rsid w:val="00CD2037"/>
    <w:rsid w:val="00CD2A65"/>
    <w:rsid w:val="00CE2F8B"/>
    <w:rsid w:val="00D004D1"/>
    <w:rsid w:val="00D02324"/>
    <w:rsid w:val="00D039D6"/>
    <w:rsid w:val="00D06884"/>
    <w:rsid w:val="00D15579"/>
    <w:rsid w:val="00D45541"/>
    <w:rsid w:val="00D53BFE"/>
    <w:rsid w:val="00D73D49"/>
    <w:rsid w:val="00D747A1"/>
    <w:rsid w:val="00D85F94"/>
    <w:rsid w:val="00D878DF"/>
    <w:rsid w:val="00DB09F3"/>
    <w:rsid w:val="00DC23E1"/>
    <w:rsid w:val="00DC727C"/>
    <w:rsid w:val="00DD2E1F"/>
    <w:rsid w:val="00DE140A"/>
    <w:rsid w:val="00DF4B57"/>
    <w:rsid w:val="00E04682"/>
    <w:rsid w:val="00E20D4C"/>
    <w:rsid w:val="00E22BAA"/>
    <w:rsid w:val="00E44A34"/>
    <w:rsid w:val="00E52D98"/>
    <w:rsid w:val="00E52DAA"/>
    <w:rsid w:val="00E566ED"/>
    <w:rsid w:val="00E728E5"/>
    <w:rsid w:val="00E731F0"/>
    <w:rsid w:val="00E80E0F"/>
    <w:rsid w:val="00E84228"/>
    <w:rsid w:val="00EC51AC"/>
    <w:rsid w:val="00ED67BE"/>
    <w:rsid w:val="00EE07B1"/>
    <w:rsid w:val="00EF41BE"/>
    <w:rsid w:val="00F11065"/>
    <w:rsid w:val="00F20046"/>
    <w:rsid w:val="00F25BB5"/>
    <w:rsid w:val="00F40307"/>
    <w:rsid w:val="00F571F9"/>
    <w:rsid w:val="00F655AC"/>
    <w:rsid w:val="00F8256F"/>
    <w:rsid w:val="00F95970"/>
    <w:rsid w:val="00FB1B10"/>
    <w:rsid w:val="00FB278F"/>
    <w:rsid w:val="00FB3D7B"/>
    <w:rsid w:val="00FB6F6A"/>
    <w:rsid w:val="00FC67CB"/>
    <w:rsid w:val="00FD61EB"/>
    <w:rsid w:val="00FE245D"/>
    <w:rsid w:val="00FE3344"/>
    <w:rsid w:val="00FE77A7"/>
    <w:rsid w:val="00FF51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6F935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A9D"/>
    <w:pPr>
      <w:spacing w:after="160" w:line="259" w:lineRule="auto"/>
    </w:pPr>
    <w:rPr>
      <w:rFonts w:ascii="David" w:eastAsia="David" w:hAnsi="David"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5141"/>
    <w:rPr>
      <w:color w:val="0000FF"/>
      <w:u w:val="single"/>
    </w:rPr>
  </w:style>
  <w:style w:type="paragraph" w:styleId="BalloonText">
    <w:name w:val="Balloon Text"/>
    <w:basedOn w:val="Normal"/>
    <w:link w:val="BalloonTextChar"/>
    <w:uiPriority w:val="99"/>
    <w:semiHidden/>
    <w:unhideWhenUsed/>
    <w:rsid w:val="007B64D4"/>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7B64D4"/>
    <w:rPr>
      <w:rFonts w:ascii="Tahoma" w:hAnsi="Tahoma" w:cs="Tahoma"/>
      <w:sz w:val="18"/>
      <w:szCs w:val="18"/>
    </w:rPr>
  </w:style>
  <w:style w:type="paragraph" w:styleId="Header">
    <w:name w:val="header"/>
    <w:basedOn w:val="Normal"/>
    <w:link w:val="HeaderChar"/>
    <w:uiPriority w:val="99"/>
    <w:unhideWhenUsed/>
    <w:rsid w:val="00E046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E04682"/>
  </w:style>
  <w:style w:type="paragraph" w:styleId="Footer">
    <w:name w:val="footer"/>
    <w:basedOn w:val="Normal"/>
    <w:link w:val="FooterChar"/>
    <w:uiPriority w:val="99"/>
    <w:unhideWhenUsed/>
    <w:rsid w:val="00E04682"/>
    <w:pPr>
      <w:tabs>
        <w:tab w:val="center" w:pos="4153"/>
        <w:tab w:val="right" w:pos="8306"/>
      </w:tabs>
      <w:spacing w:after="0" w:line="240" w:lineRule="auto"/>
    </w:pPr>
  </w:style>
  <w:style w:type="character" w:customStyle="1" w:styleId="FooterChar">
    <w:name w:val="Footer Char"/>
    <w:basedOn w:val="DefaultParagraphFont"/>
    <w:link w:val="Footer"/>
    <w:uiPriority w:val="99"/>
    <w:rsid w:val="00E04682"/>
  </w:style>
  <w:style w:type="paragraph" w:styleId="ListParagraph">
    <w:name w:val="List Paragraph"/>
    <w:aliases w:val="פיסקת רשימה12,פיסקת רשימה121,פיסקת רשימה2,פיסקת רשימה11"/>
    <w:basedOn w:val="Normal"/>
    <w:link w:val="ListParagraphChar"/>
    <w:uiPriority w:val="34"/>
    <w:qFormat/>
    <w:rsid w:val="00CD2A65"/>
    <w:pPr>
      <w:ind w:left="720"/>
      <w:contextualSpacing/>
    </w:pPr>
  </w:style>
  <w:style w:type="character" w:styleId="CommentReference">
    <w:name w:val="annotation reference"/>
    <w:basedOn w:val="DefaultParagraphFont"/>
    <w:uiPriority w:val="99"/>
    <w:semiHidden/>
    <w:unhideWhenUsed/>
    <w:rsid w:val="004F26A1"/>
    <w:rPr>
      <w:sz w:val="16"/>
      <w:szCs w:val="16"/>
    </w:rPr>
  </w:style>
  <w:style w:type="paragraph" w:styleId="CommentText">
    <w:name w:val="annotation text"/>
    <w:basedOn w:val="Normal"/>
    <w:link w:val="CommentTextChar"/>
    <w:uiPriority w:val="99"/>
    <w:semiHidden/>
    <w:unhideWhenUsed/>
    <w:rsid w:val="004F26A1"/>
    <w:pPr>
      <w:spacing w:line="240" w:lineRule="auto"/>
    </w:pPr>
    <w:rPr>
      <w:sz w:val="20"/>
      <w:szCs w:val="20"/>
    </w:rPr>
  </w:style>
  <w:style w:type="character" w:customStyle="1" w:styleId="CommentTextChar">
    <w:name w:val="Comment Text Char"/>
    <w:basedOn w:val="DefaultParagraphFont"/>
    <w:link w:val="CommentText"/>
    <w:uiPriority w:val="99"/>
    <w:semiHidden/>
    <w:rsid w:val="004F26A1"/>
    <w:rPr>
      <w:sz w:val="20"/>
      <w:szCs w:val="20"/>
    </w:rPr>
  </w:style>
  <w:style w:type="paragraph" w:styleId="CommentSubject">
    <w:name w:val="annotation subject"/>
    <w:basedOn w:val="CommentText"/>
    <w:next w:val="CommentText"/>
    <w:link w:val="CommentSubjectChar"/>
    <w:uiPriority w:val="99"/>
    <w:semiHidden/>
    <w:unhideWhenUsed/>
    <w:rsid w:val="004F26A1"/>
    <w:rPr>
      <w:b/>
      <w:bCs/>
    </w:rPr>
  </w:style>
  <w:style w:type="character" w:customStyle="1" w:styleId="CommentSubjectChar">
    <w:name w:val="Comment Subject Char"/>
    <w:basedOn w:val="CommentTextChar"/>
    <w:link w:val="CommentSubject"/>
    <w:uiPriority w:val="99"/>
    <w:semiHidden/>
    <w:rsid w:val="004F26A1"/>
    <w:rPr>
      <w:b/>
      <w:bCs/>
      <w:sz w:val="20"/>
      <w:szCs w:val="20"/>
    </w:rPr>
  </w:style>
  <w:style w:type="character" w:styleId="FollowedHyperlink">
    <w:name w:val="FollowedHyperlink"/>
    <w:basedOn w:val="DefaultParagraphFont"/>
    <w:uiPriority w:val="99"/>
    <w:semiHidden/>
    <w:unhideWhenUsed/>
    <w:rsid w:val="00B569FD"/>
    <w:rPr>
      <w:color w:val="800080" w:themeColor="followedHyperlink"/>
      <w:u w:val="single"/>
    </w:rPr>
  </w:style>
  <w:style w:type="character" w:customStyle="1" w:styleId="ListParagraphChar">
    <w:name w:val="List Paragraph Char"/>
    <w:aliases w:val="פיסקת רשימה12 Char,פיסקת רשימה121 Char,פיסקת רשימה2 Char,פיסקת רשימה11 Char"/>
    <w:basedOn w:val="DefaultParagraphFont"/>
    <w:link w:val="ListParagraph"/>
    <w:uiPriority w:val="34"/>
    <w:rsid w:val="00031A9D"/>
  </w:style>
  <w:style w:type="paragraph" w:styleId="FootnoteText">
    <w:name w:val="footnote text"/>
    <w:aliases w:val="טקסט הערות שוליים תו2,טקסט הערות שוליים תו1 תו,טקסט הערות שוליים תו תו תו, תו תו תו תו,טקסט הערות שוליים תו תו1, תו תו תו1,Footnote Text תו,תו תו תו1,תו תו תו תו,fn,fn Char,single space,Footnote Text Char Char Char Char Char Char,תו, תו"/>
    <w:basedOn w:val="Normal"/>
    <w:link w:val="FootnoteTextChar"/>
    <w:uiPriority w:val="99"/>
    <w:unhideWhenUsed/>
    <w:rsid w:val="00D039D6"/>
    <w:pPr>
      <w:spacing w:after="0" w:line="240" w:lineRule="auto"/>
    </w:pPr>
    <w:rPr>
      <w:rFonts w:ascii="Times New Roman" w:eastAsia="Times New Roman" w:hAnsi="Times New Roman" w:cs="Miriam"/>
      <w:sz w:val="20"/>
      <w:szCs w:val="20"/>
      <w:lang w:eastAsia="he-IL"/>
    </w:rPr>
  </w:style>
  <w:style w:type="character" w:customStyle="1" w:styleId="FootnoteTextChar">
    <w:name w:val="Footnote Text Char"/>
    <w:aliases w:val="טקסט הערות שוליים תו2 Char,טקסט הערות שוליים תו1 תו Char,טקסט הערות שוליים תו תו תו Char, תו תו תו תו Char,טקסט הערות שוליים תו תו1 Char, תו תו תו1 Char,Footnote Text תו Char,תו תו תו1 Char,תו תו תו תו Char,fn Char1,fn Char Char"/>
    <w:basedOn w:val="DefaultParagraphFont"/>
    <w:link w:val="FootnoteText"/>
    <w:uiPriority w:val="99"/>
    <w:rsid w:val="00D039D6"/>
    <w:rPr>
      <w:rFonts w:ascii="Times New Roman" w:eastAsia="Times New Roman" w:hAnsi="Times New Roman" w:cs="Miriam"/>
      <w:sz w:val="20"/>
      <w:szCs w:val="20"/>
      <w:lang w:eastAsia="he-IL"/>
    </w:rPr>
  </w:style>
  <w:style w:type="character" w:styleId="FootnoteReference">
    <w:name w:val="footnote reference"/>
    <w:aliases w:val="Footnote Reference Superscript,Footnote symbol,Footnote Reference Number,Footnote Reference_LVL6,Footnote Reference_LVL61,Footnote Reference_LVL62,Footnote Reference_LVL63,Footnote Reference_LVL64,fr,SUPERS,EN Footnote Reference"/>
    <w:basedOn w:val="DefaultParagraphFont"/>
    <w:unhideWhenUsed/>
    <w:rsid w:val="00D039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134256">
      <w:bodyDiv w:val="1"/>
      <w:marLeft w:val="0"/>
      <w:marRight w:val="0"/>
      <w:marTop w:val="0"/>
      <w:marBottom w:val="0"/>
      <w:divBdr>
        <w:top w:val="none" w:sz="0" w:space="0" w:color="auto"/>
        <w:left w:val="none" w:sz="0" w:space="0" w:color="auto"/>
        <w:bottom w:val="none" w:sz="0" w:space="0" w:color="auto"/>
        <w:right w:val="none" w:sz="0" w:space="0" w:color="auto"/>
      </w:divBdr>
    </w:div>
    <w:div w:id="872764382">
      <w:bodyDiv w:val="1"/>
      <w:marLeft w:val="0"/>
      <w:marRight w:val="0"/>
      <w:marTop w:val="0"/>
      <w:marBottom w:val="0"/>
      <w:divBdr>
        <w:top w:val="none" w:sz="0" w:space="0" w:color="auto"/>
        <w:left w:val="none" w:sz="0" w:space="0" w:color="auto"/>
        <w:bottom w:val="none" w:sz="0" w:space="0" w:color="auto"/>
        <w:right w:val="none" w:sz="0" w:space="0" w:color="auto"/>
      </w:divBdr>
    </w:div>
    <w:div w:id="1112937149">
      <w:bodyDiv w:val="1"/>
      <w:marLeft w:val="0"/>
      <w:marRight w:val="0"/>
      <w:marTop w:val="0"/>
      <w:marBottom w:val="0"/>
      <w:divBdr>
        <w:top w:val="none" w:sz="0" w:space="0" w:color="auto"/>
        <w:left w:val="none" w:sz="0" w:space="0" w:color="auto"/>
        <w:bottom w:val="none" w:sz="0" w:space="0" w:color="auto"/>
        <w:right w:val="none" w:sz="0" w:space="0" w:color="auto"/>
      </w:divBdr>
    </w:div>
    <w:div w:id="1557356728">
      <w:bodyDiv w:val="1"/>
      <w:marLeft w:val="0"/>
      <w:marRight w:val="0"/>
      <w:marTop w:val="0"/>
      <w:marBottom w:val="0"/>
      <w:divBdr>
        <w:top w:val="none" w:sz="0" w:space="0" w:color="auto"/>
        <w:left w:val="none" w:sz="0" w:space="0" w:color="auto"/>
        <w:bottom w:val="none" w:sz="0" w:space="0" w:color="auto"/>
        <w:right w:val="none" w:sz="0" w:space="0" w:color="auto"/>
      </w:divBdr>
    </w:div>
    <w:div w:id="19631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www.facebook.com/bankisraelvc" TargetMode="External"/><Relationship Id="rId3" Type="http://schemas.openxmlformats.org/officeDocument/2006/relationships/image" Target="media/image2.png"/><Relationship Id="rId7" Type="http://schemas.microsoft.com/office/2007/relationships/hdphoto" Target="media/hdphoto2.wdp"/><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4.png"/><Relationship Id="rId11" Type="http://schemas.openxmlformats.org/officeDocument/2006/relationships/hyperlink" Target="https://www.youtube.com/user/thebankofisrael" TargetMode="External"/><Relationship Id="rId5" Type="http://schemas.microsoft.com/office/2007/relationships/hdphoto" Target="media/hdphoto1.wdp"/><Relationship Id="rId15" Type="http://schemas.openxmlformats.org/officeDocument/2006/relationships/hyperlink" Target="https://www.boi.org.il/" TargetMode="External"/><Relationship Id="rId10" Type="http://schemas.openxmlformats.org/officeDocument/2006/relationships/hyperlink" Target="https://www.youtube.com/user/thebankofisrael" TargetMode="External"/><Relationship Id="rId4" Type="http://schemas.openxmlformats.org/officeDocument/2006/relationships/image" Target="media/image3.png"/><Relationship Id="rId9" Type="http://schemas.microsoft.com/office/2007/relationships/hdphoto" Target="media/hdphoto3.wdp"/><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651</Words>
  <Characters>3055</Characters>
  <Application>Microsoft Office Word</Application>
  <DocSecurity>0</DocSecurity>
  <Lines>101</Lines>
  <Paragraphs>78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2026-03-31T08:58:00Z</dcterms:created>
  <dcterms:modified xsi:type="dcterms:W3CDTF">2026-03-31T08:58:00Z</dcterms:modified>
</cp:coreProperties>
</file>