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11"/>
        <w:bidiVisual/>
        <w:tblW w:w="9673" w:type="dxa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393"/>
        <w:gridCol w:w="2635"/>
        <w:gridCol w:w="3645"/>
      </w:tblGrid>
      <w:tr w:rsidR="00C03A93" w:rsidRPr="00C03A93" w14:paraId="5585AA2F" w14:textId="77777777" w:rsidTr="006136D0">
        <w:trPr>
          <w:trHeight w:val="1417"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AFF0C" w14:textId="77777777" w:rsidR="00C03A93" w:rsidRPr="00C03A93" w:rsidRDefault="00C03A93" w:rsidP="006136D0">
            <w:pPr>
              <w:ind w:left="97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C03A9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14:paraId="09373D5D" w14:textId="77777777" w:rsidR="00C03A93" w:rsidRPr="00C03A93" w:rsidRDefault="00C03A93" w:rsidP="006136D0">
            <w:pPr>
              <w:ind w:left="97" w:right="-101"/>
              <w:rPr>
                <w:rFonts w:ascii="David" w:hAnsi="David" w:cs="David"/>
                <w:sz w:val="24"/>
                <w:szCs w:val="24"/>
              </w:rPr>
            </w:pPr>
            <w:r w:rsidRPr="00C03A93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39CFA2" w14:textId="77777777" w:rsidR="00C03A93" w:rsidRPr="00C03A93" w:rsidRDefault="00C03A93" w:rsidP="006136D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03A93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 wp14:anchorId="227BD226" wp14:editId="0339B02F">
                  <wp:extent cx="707390" cy="707390"/>
                  <wp:effectExtent l="0" t="0" r="0" b="0"/>
                  <wp:docPr id="5" name="תמונה 5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F5230" w14:textId="10FC2482" w:rsidR="00C03A93" w:rsidRPr="00C03A93" w:rsidRDefault="00C03A93" w:rsidP="00A435A6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C03A93">
              <w:rPr>
                <w:rFonts w:ascii="David" w:hAnsi="David" w:cs="David"/>
                <w:sz w:val="24"/>
                <w:szCs w:val="24"/>
                <w:rtl/>
              </w:rPr>
              <w:t xml:space="preserve">‏ירושלים, </w:t>
            </w:r>
            <w:r w:rsidR="00A435A6">
              <w:rPr>
                <w:rFonts w:ascii="David" w:hAnsi="David" w:cs="David" w:hint="cs"/>
                <w:sz w:val="24"/>
                <w:szCs w:val="24"/>
                <w:rtl/>
              </w:rPr>
              <w:t>ו'</w:t>
            </w:r>
            <w:r w:rsidRPr="00C03A93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 w:rsidR="00A435A6">
              <w:rPr>
                <w:rFonts w:ascii="David" w:hAnsi="David" w:cs="David" w:hint="cs"/>
                <w:sz w:val="24"/>
                <w:szCs w:val="24"/>
                <w:rtl/>
              </w:rPr>
              <w:t>חשוון</w:t>
            </w:r>
            <w:r w:rsidRPr="00C03A93">
              <w:rPr>
                <w:rFonts w:ascii="David" w:hAnsi="David" w:cs="David"/>
                <w:sz w:val="24"/>
                <w:szCs w:val="24"/>
                <w:rtl/>
              </w:rPr>
              <w:t>, תשפ"</w:t>
            </w:r>
            <w:r w:rsidR="00A435A6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  <w:p w14:paraId="6561018F" w14:textId="13322626" w:rsidR="00C03A93" w:rsidRPr="00C03A93" w:rsidRDefault="00A435A6" w:rsidP="00A435A6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  <w:r w:rsidR="00C03A93" w:rsidRPr="00C03A93">
              <w:rPr>
                <w:rFonts w:ascii="David" w:hAnsi="David" w:cs="David"/>
                <w:sz w:val="24"/>
                <w:szCs w:val="24"/>
                <w:rtl/>
              </w:rPr>
              <w:t xml:space="preserve">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אוקטובר </w:t>
            </w:r>
            <w:r w:rsidR="00C03A93" w:rsidRPr="00C03A93">
              <w:rPr>
                <w:rFonts w:ascii="David" w:hAnsi="David" w:cs="David"/>
                <w:sz w:val="24"/>
                <w:szCs w:val="24"/>
                <w:rtl/>
              </w:rPr>
              <w:t>2021</w:t>
            </w:r>
          </w:p>
        </w:tc>
      </w:tr>
    </w:tbl>
    <w:p w14:paraId="03DEA1BF" w14:textId="77777777" w:rsidR="00C03A93" w:rsidRPr="00C03A93" w:rsidRDefault="00C03A93" w:rsidP="00C03A93">
      <w:pPr>
        <w:spacing w:after="240" w:line="240" w:lineRule="auto"/>
        <w:ind w:left="23"/>
        <w:rPr>
          <w:rFonts w:ascii="David" w:hAnsi="David" w:cs="David"/>
          <w:sz w:val="24"/>
          <w:szCs w:val="24"/>
          <w:rtl/>
        </w:rPr>
      </w:pPr>
    </w:p>
    <w:p w14:paraId="0EEFD99B" w14:textId="77777777" w:rsidR="00C03A93" w:rsidRPr="00C03A93" w:rsidRDefault="00C03A93" w:rsidP="00C03A93">
      <w:pPr>
        <w:spacing w:after="240" w:line="240" w:lineRule="auto"/>
        <w:ind w:left="23"/>
        <w:rPr>
          <w:rFonts w:ascii="David" w:hAnsi="David" w:cs="David"/>
          <w:sz w:val="24"/>
          <w:szCs w:val="24"/>
          <w:rtl/>
        </w:rPr>
      </w:pPr>
      <w:r w:rsidRPr="00C03A93">
        <w:rPr>
          <w:rFonts w:ascii="David" w:hAnsi="David" w:cs="David"/>
          <w:sz w:val="24"/>
          <w:szCs w:val="24"/>
          <w:rtl/>
        </w:rPr>
        <w:t xml:space="preserve">הודעה לעיתונות: </w:t>
      </w:r>
    </w:p>
    <w:p w14:paraId="7093F245" w14:textId="04296001" w:rsidR="00C4466B" w:rsidRPr="00C03A93" w:rsidRDefault="00C4466B" w:rsidP="00C03A93">
      <w:pPr>
        <w:jc w:val="center"/>
        <w:rPr>
          <w:rFonts w:ascii="David" w:hAnsi="David" w:cs="David"/>
          <w:sz w:val="28"/>
          <w:szCs w:val="28"/>
          <w:rtl/>
        </w:rPr>
      </w:pPr>
      <w:r w:rsidRPr="00C03A93">
        <w:rPr>
          <w:rFonts w:ascii="David" w:hAnsi="David" w:cs="David"/>
          <w:b/>
          <w:bCs/>
          <w:sz w:val="28"/>
          <w:szCs w:val="28"/>
          <w:rtl/>
        </w:rPr>
        <w:t>מחקר חדש : מ</w:t>
      </w:r>
      <w:r w:rsidR="005F33A5" w:rsidRPr="00C03A93">
        <w:rPr>
          <w:rFonts w:ascii="David" w:hAnsi="David" w:cs="David"/>
          <w:b/>
          <w:bCs/>
          <w:sz w:val="28"/>
          <w:szCs w:val="28"/>
          <w:rtl/>
        </w:rPr>
        <w:t>י</w:t>
      </w:r>
      <w:r w:rsidRPr="00C03A93">
        <w:rPr>
          <w:rFonts w:ascii="David" w:hAnsi="David" w:cs="David"/>
          <w:b/>
          <w:bCs/>
          <w:sz w:val="28"/>
          <w:szCs w:val="28"/>
          <w:rtl/>
        </w:rPr>
        <w:t xml:space="preserve">לים יוצרות מציאות? התפתחות </w:t>
      </w:r>
      <w:r w:rsidR="00331B4F" w:rsidRPr="00C03A93">
        <w:rPr>
          <w:rFonts w:ascii="David" w:hAnsi="David" w:cs="David"/>
          <w:b/>
          <w:bCs/>
          <w:sz w:val="28"/>
          <w:szCs w:val="28"/>
          <w:rtl/>
        </w:rPr>
        <w:t>דיגיטציה וחדשנות</w:t>
      </w:r>
      <w:r w:rsidR="001667EB" w:rsidRPr="00C03A93">
        <w:rPr>
          <w:rFonts w:ascii="David" w:hAnsi="David" w:cs="David"/>
          <w:b/>
          <w:bCs/>
          <w:sz w:val="28"/>
          <w:szCs w:val="28"/>
          <w:rtl/>
        </w:rPr>
        <w:t xml:space="preserve"> בבנקים</w:t>
      </w:r>
      <w:r w:rsidR="00331B4F" w:rsidRPr="00C03A93">
        <w:rPr>
          <w:rFonts w:ascii="David" w:hAnsi="David" w:cs="David"/>
          <w:b/>
          <w:bCs/>
          <w:sz w:val="28"/>
          <w:szCs w:val="28"/>
          <w:rtl/>
        </w:rPr>
        <w:t xml:space="preserve"> כפי ש</w:t>
      </w:r>
      <w:r w:rsidR="005F33A5" w:rsidRPr="00C03A93">
        <w:rPr>
          <w:rFonts w:ascii="David" w:hAnsi="David" w:cs="David"/>
          <w:b/>
          <w:bCs/>
          <w:sz w:val="28"/>
          <w:szCs w:val="28"/>
          <w:rtl/>
        </w:rPr>
        <w:t xml:space="preserve">מתבטאת בנוסח </w:t>
      </w:r>
      <w:r w:rsidRPr="00C03A93">
        <w:rPr>
          <w:rFonts w:ascii="David" w:hAnsi="David" w:cs="David"/>
          <w:b/>
          <w:bCs/>
          <w:sz w:val="28"/>
          <w:szCs w:val="28"/>
          <w:rtl/>
        </w:rPr>
        <w:t>הדוחות הכספיים</w:t>
      </w:r>
    </w:p>
    <w:p w14:paraId="76C231AE" w14:textId="77777777" w:rsidR="008C28BC" w:rsidRPr="00C03A93" w:rsidRDefault="0051632B" w:rsidP="00A435A6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03A93">
        <w:rPr>
          <w:rFonts w:ascii="David" w:hAnsi="David" w:cs="David"/>
          <w:b/>
          <w:bCs/>
          <w:sz w:val="24"/>
          <w:szCs w:val="24"/>
          <w:rtl/>
        </w:rPr>
        <w:t>עיקרי הדברים:</w:t>
      </w:r>
    </w:p>
    <w:p w14:paraId="12F8E0B7" w14:textId="71BCA538" w:rsidR="008C28BC" w:rsidRPr="00A435A6" w:rsidRDefault="008C28BC" w:rsidP="00A435A6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eastAsiaTheme="minorHAnsi" w:hAnsi="David" w:cs="David"/>
          <w:sz w:val="24"/>
          <w:szCs w:val="24"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העשור הקודם </w:t>
      </w:r>
      <w:r w:rsidR="0065174E" w:rsidRPr="00A435A6">
        <w:rPr>
          <w:rFonts w:ascii="David" w:eastAsiaTheme="minorHAnsi" w:hAnsi="David" w:cs="David"/>
          <w:sz w:val="24"/>
          <w:szCs w:val="24"/>
          <w:rtl/>
        </w:rPr>
        <w:t xml:space="preserve">(2010-2020)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התאפיין בשילוב מואץ בין פיננסים לטכנולוגיה (פינטק). </w:t>
      </w:r>
      <w:r w:rsidR="00E67DA1" w:rsidRPr="00A435A6">
        <w:rPr>
          <w:rFonts w:ascii="David" w:eastAsiaTheme="minorHAnsi" w:hAnsi="David" w:cs="David"/>
          <w:sz w:val="24"/>
          <w:szCs w:val="24"/>
          <w:rtl/>
        </w:rPr>
        <w:t>מחקר חדש של בנק ישראל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E67DA1" w:rsidRPr="00A435A6">
        <w:rPr>
          <w:rFonts w:ascii="David" w:eastAsiaTheme="minorHAnsi" w:hAnsi="David" w:cs="David"/>
          <w:sz w:val="24"/>
          <w:szCs w:val="24"/>
          <w:rtl/>
        </w:rPr>
        <w:t xml:space="preserve">עוקב אחר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התפתחות </w:t>
      </w:r>
      <w:r w:rsidR="001667EB" w:rsidRPr="00A435A6">
        <w:rPr>
          <w:rFonts w:ascii="David" w:eastAsiaTheme="minorHAnsi" w:hAnsi="David" w:cs="David"/>
          <w:sz w:val="24"/>
          <w:szCs w:val="24"/>
          <w:rtl/>
        </w:rPr>
        <w:t>הדיגיטציה והחדשנות בבנקים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בישראל ובעולם </w:t>
      </w:r>
      <w:r w:rsidR="00E67DA1" w:rsidRPr="00A435A6">
        <w:rPr>
          <w:rFonts w:ascii="David" w:eastAsiaTheme="minorHAnsi" w:hAnsi="David" w:cs="David"/>
          <w:sz w:val="24"/>
          <w:szCs w:val="24"/>
          <w:rtl/>
        </w:rPr>
        <w:t xml:space="preserve">ומציע </w:t>
      </w:r>
      <w:r w:rsidRPr="00A435A6">
        <w:rPr>
          <w:rFonts w:ascii="David" w:eastAsiaTheme="minorHAnsi" w:hAnsi="David" w:cs="David"/>
          <w:sz w:val="24"/>
          <w:szCs w:val="24"/>
          <w:rtl/>
        </w:rPr>
        <w:t>מדד</w:t>
      </w:r>
      <w:r w:rsidR="0051632B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לנטייה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 xml:space="preserve">של בנקים </w:t>
      </w:r>
      <w:r w:rsidRPr="00A435A6">
        <w:rPr>
          <w:rFonts w:ascii="David" w:eastAsiaTheme="minorHAnsi" w:hAnsi="David" w:cs="David"/>
          <w:sz w:val="24"/>
          <w:szCs w:val="24"/>
          <w:rtl/>
        </w:rPr>
        <w:t>לחדשנות דיגיטלית.</w:t>
      </w:r>
    </w:p>
    <w:p w14:paraId="70D193BC" w14:textId="73F5DB4C" w:rsidR="0051632B" w:rsidRPr="00A435A6" w:rsidRDefault="0051632B" w:rsidP="00A435A6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eastAsiaTheme="minorHAnsi" w:hAnsi="David" w:cs="David"/>
          <w:sz w:val="24"/>
          <w:szCs w:val="24"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המדד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 מבוסס על ניתוח טקסט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 xml:space="preserve">של דוחות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כספיים, 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 xml:space="preserve">המסתמך על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 xml:space="preserve">מדגם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של למעלה ממאה בנקים מ-18 מדינות לשנים </w:t>
      </w:r>
      <w:r w:rsidR="00B6745D" w:rsidRPr="00A435A6">
        <w:rPr>
          <w:rFonts w:ascii="David" w:eastAsiaTheme="minorHAnsi" w:hAnsi="David" w:cs="David"/>
          <w:sz w:val="24"/>
          <w:szCs w:val="24"/>
          <w:rtl/>
        </w:rPr>
        <w:t>2012-2019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הנחת המחקר היא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>שנטייה לדיגיטציה וחדשנות</w:t>
      </w:r>
      <w:r w:rsidR="00875F71" w:rsidRPr="00A435A6" w:rsidDel="00875F71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 xml:space="preserve">באסטרטגיה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של בנק </w:t>
      </w:r>
      <w:r w:rsidR="00875F71" w:rsidRPr="00A435A6">
        <w:rPr>
          <w:rFonts w:ascii="David" w:eastAsiaTheme="minorHAnsi" w:hAnsi="David" w:cs="David"/>
          <w:sz w:val="24"/>
          <w:szCs w:val="24"/>
          <w:rtl/>
        </w:rPr>
        <w:t>תתבטא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בחלק המילולי </w:t>
      </w:r>
      <w:r w:rsidR="00DE5B25" w:rsidRPr="00A435A6">
        <w:rPr>
          <w:rFonts w:ascii="David" w:eastAsiaTheme="minorHAnsi" w:hAnsi="David" w:cs="David"/>
          <w:sz w:val="24"/>
          <w:szCs w:val="24"/>
          <w:rtl/>
        </w:rPr>
        <w:t xml:space="preserve">של הדוח </w:t>
      </w:r>
      <w:r w:rsidRPr="00A435A6">
        <w:rPr>
          <w:rFonts w:ascii="David" w:eastAsiaTheme="minorHAnsi" w:hAnsi="David" w:cs="David"/>
          <w:sz w:val="24"/>
          <w:szCs w:val="24"/>
          <w:rtl/>
        </w:rPr>
        <w:t>הכספי</w:t>
      </w:r>
      <w:r w:rsidR="00DE5B25" w:rsidRPr="00A435A6">
        <w:rPr>
          <w:rFonts w:ascii="David" w:eastAsiaTheme="minorHAnsi" w:hAnsi="David" w:cs="David"/>
          <w:sz w:val="24"/>
          <w:szCs w:val="24"/>
          <w:rtl/>
        </w:rPr>
        <w:t xml:space="preserve"> שלו. </w:t>
      </w:r>
    </w:p>
    <w:p w14:paraId="331D8989" w14:textId="0586067C" w:rsidR="00E67DA1" w:rsidRPr="00A435A6" w:rsidRDefault="0096693A" w:rsidP="00A435A6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המחקר ב</w:t>
      </w:r>
      <w:r w:rsidR="0051632B" w:rsidRPr="00A435A6">
        <w:rPr>
          <w:rFonts w:ascii="David" w:eastAsiaTheme="minorHAnsi" w:hAnsi="David" w:cs="David"/>
          <w:sz w:val="24"/>
          <w:szCs w:val="24"/>
          <w:rtl/>
        </w:rPr>
        <w:t xml:space="preserve">חן באמצעות המדד </w:t>
      </w:r>
      <w:r w:rsidR="00C06EA1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אם </w:t>
      </w:r>
      <w:r w:rsidR="00A6165B" w:rsidRPr="00A435A6">
        <w:rPr>
          <w:rFonts w:ascii="David" w:eastAsiaTheme="minorHAnsi" w:hAnsi="David" w:cs="David"/>
          <w:sz w:val="24"/>
          <w:szCs w:val="24"/>
          <w:rtl/>
        </w:rPr>
        <w:t xml:space="preserve">המודל העסקי של בנקים הושפע כמצופה </w:t>
      </w:r>
      <w:r w:rsidR="001E1BE8" w:rsidRPr="00A435A6">
        <w:rPr>
          <w:rFonts w:ascii="David" w:eastAsiaTheme="minorHAnsi" w:hAnsi="David" w:cs="David"/>
          <w:sz w:val="24"/>
          <w:szCs w:val="24"/>
          <w:rtl/>
        </w:rPr>
        <w:t>מפירמות הפועלות ב</w:t>
      </w:r>
      <w:r w:rsidR="00A6165B" w:rsidRPr="00A435A6">
        <w:rPr>
          <w:rFonts w:ascii="David" w:eastAsiaTheme="minorHAnsi" w:hAnsi="David" w:cs="David"/>
          <w:sz w:val="24"/>
          <w:szCs w:val="24"/>
          <w:rtl/>
        </w:rPr>
        <w:t xml:space="preserve">שוק </w:t>
      </w:r>
      <w:r w:rsidR="00FB0EE2" w:rsidRPr="00A435A6">
        <w:rPr>
          <w:rFonts w:ascii="David" w:eastAsiaTheme="minorHAnsi" w:hAnsi="David" w:cs="David"/>
          <w:sz w:val="24"/>
          <w:szCs w:val="24"/>
          <w:rtl/>
        </w:rPr>
        <w:t xml:space="preserve">המושפע </w:t>
      </w:r>
      <w:r w:rsidR="00C06EA1" w:rsidRPr="00A435A6">
        <w:rPr>
          <w:rFonts w:ascii="David" w:eastAsiaTheme="minorHAnsi" w:hAnsi="David" w:cs="David"/>
          <w:sz w:val="24"/>
          <w:szCs w:val="24"/>
          <w:rtl/>
        </w:rPr>
        <w:t xml:space="preserve">מחדשנות </w:t>
      </w:r>
      <w:r w:rsidR="00A6165B" w:rsidRPr="00A435A6">
        <w:rPr>
          <w:rFonts w:ascii="David" w:eastAsiaTheme="minorHAnsi" w:hAnsi="David" w:cs="David"/>
          <w:sz w:val="24"/>
          <w:szCs w:val="24"/>
          <w:rtl/>
        </w:rPr>
        <w:t>טכנולוגיות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="00D83D61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060AFA" w:rsidRPr="00A435A6">
        <w:rPr>
          <w:rFonts w:ascii="David" w:eastAsiaTheme="minorHAnsi" w:hAnsi="David" w:cs="David"/>
          <w:sz w:val="24"/>
          <w:szCs w:val="24"/>
          <w:rtl/>
        </w:rPr>
        <w:t xml:space="preserve">המדד </w:t>
      </w:r>
      <w:r w:rsidR="00DE5B25" w:rsidRPr="00A435A6">
        <w:rPr>
          <w:rFonts w:ascii="David" w:eastAsiaTheme="minorHAnsi" w:hAnsi="David" w:cs="David"/>
          <w:sz w:val="24"/>
          <w:szCs w:val="24"/>
          <w:rtl/>
        </w:rPr>
        <w:t xml:space="preserve">הראה </w:t>
      </w:r>
      <w:r w:rsidR="00060AFA" w:rsidRPr="00A435A6">
        <w:rPr>
          <w:rFonts w:ascii="David" w:eastAsiaTheme="minorHAnsi" w:hAnsi="David" w:cs="David"/>
          <w:sz w:val="24"/>
          <w:szCs w:val="24"/>
          <w:rtl/>
        </w:rPr>
        <w:t>מגמת עלי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060AFA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1E1BE8" w:rsidRPr="00A435A6">
        <w:rPr>
          <w:rFonts w:ascii="David" w:eastAsiaTheme="minorHAnsi" w:hAnsi="David" w:cs="David"/>
          <w:sz w:val="24"/>
          <w:szCs w:val="24"/>
          <w:rtl/>
        </w:rPr>
        <w:t xml:space="preserve"> בנטייה לדיגיטציה וחדשנות באסטרטגיה</w:t>
      </w:r>
      <w:r w:rsidR="00060AFA" w:rsidRPr="00A435A6">
        <w:rPr>
          <w:rFonts w:ascii="David" w:eastAsiaTheme="minorHAnsi" w:hAnsi="David" w:cs="David"/>
          <w:sz w:val="24"/>
          <w:szCs w:val="24"/>
          <w:rtl/>
        </w:rPr>
        <w:t xml:space="preserve"> בעשור האחרון. </w:t>
      </w:r>
    </w:p>
    <w:p w14:paraId="0F321886" w14:textId="383C3E03" w:rsidR="00BC2677" w:rsidRPr="00A435A6" w:rsidRDefault="0051632B" w:rsidP="00A435A6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eastAsiaTheme="minorHAnsi" w:hAnsi="David" w:cs="David"/>
          <w:sz w:val="24"/>
          <w:szCs w:val="24"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המחקר</w:t>
      </w:r>
      <w:r w:rsidR="00D83D61" w:rsidRPr="00A435A6">
        <w:rPr>
          <w:rFonts w:ascii="David" w:eastAsiaTheme="minorHAnsi" w:hAnsi="David" w:cs="David"/>
          <w:sz w:val="24"/>
          <w:szCs w:val="24"/>
          <w:rtl/>
        </w:rPr>
        <w:t xml:space="preserve"> מצביע על</w:t>
      </w:r>
      <w:r w:rsidR="00E67DA1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הבדלים ברמת המדד בין מדינות ובין בנקים. </w:t>
      </w:r>
      <w:r w:rsidR="00BC2677" w:rsidRPr="00A435A6">
        <w:rPr>
          <w:rFonts w:ascii="David" w:eastAsiaTheme="minorHAnsi" w:hAnsi="David" w:cs="David"/>
          <w:sz w:val="24"/>
          <w:szCs w:val="24"/>
          <w:rtl/>
        </w:rPr>
        <w:t xml:space="preserve">נמצא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מתאם חיובי מובהק בין המדד 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>ל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נטייה 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>של בנק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>ים</w:t>
      </w:r>
      <w:r w:rsidR="00CB5C4E" w:rsidRPr="00A435A6">
        <w:rPr>
          <w:rFonts w:ascii="David" w:eastAsiaTheme="minorHAnsi" w:hAnsi="David" w:cs="David"/>
          <w:sz w:val="24"/>
          <w:szCs w:val="24"/>
          <w:rtl/>
        </w:rPr>
        <w:t xml:space="preserve"> מסחריים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לחדשנות ל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>בין ה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השקעות </w:t>
      </w:r>
      <w:r w:rsidR="00BC2677" w:rsidRPr="00A435A6">
        <w:rPr>
          <w:rFonts w:ascii="David" w:eastAsiaTheme="minorHAnsi" w:hAnsi="David" w:cs="David"/>
          <w:sz w:val="24"/>
          <w:szCs w:val="24"/>
          <w:rtl/>
        </w:rPr>
        <w:t xml:space="preserve">של </w:t>
      </w:r>
      <w:r w:rsidR="00810A07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מדינה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 שה</w:t>
      </w:r>
      <w:r w:rsidR="00B05E6F" w:rsidRPr="00A435A6">
        <w:rPr>
          <w:rFonts w:ascii="David" w:eastAsiaTheme="minorHAnsi" w:hAnsi="David" w:cs="David"/>
          <w:sz w:val="24"/>
          <w:szCs w:val="24"/>
          <w:rtl/>
        </w:rPr>
        <w:t>ם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 פועלים בה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 במחקר ובפיתוח, ומתאם חיובי מובהק בין המדד ל</w:t>
      </w:r>
      <w:r w:rsidR="00FF597A" w:rsidRPr="00A435A6">
        <w:rPr>
          <w:rFonts w:ascii="David" w:eastAsiaTheme="minorHAnsi" w:hAnsi="David" w:cs="David"/>
          <w:sz w:val="24"/>
          <w:szCs w:val="24"/>
          <w:rtl/>
        </w:rPr>
        <w:t xml:space="preserve">בין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מתן רישיון רגולטורי לבנק דיגיטלי ללא סניפים</w:t>
      </w:r>
      <w:r w:rsidR="00BC2677" w:rsidRPr="00A435A6">
        <w:rPr>
          <w:rFonts w:ascii="David" w:eastAsiaTheme="minorHAnsi" w:hAnsi="David" w:cs="David"/>
          <w:sz w:val="24"/>
          <w:szCs w:val="24"/>
          <w:rtl/>
        </w:rPr>
        <w:t xml:space="preserve"> במדינה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. 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במילים אחרות: </w:t>
      </w:r>
      <w:r w:rsidR="00F438A3" w:rsidRPr="00A435A6">
        <w:rPr>
          <w:rFonts w:ascii="David" w:eastAsiaTheme="minorHAnsi" w:hAnsi="David" w:cs="David"/>
          <w:sz w:val="24"/>
          <w:szCs w:val="24"/>
          <w:rtl/>
        </w:rPr>
        <w:t xml:space="preserve">ביטויים </w:t>
      </w:r>
      <w:r w:rsidR="00FF597A" w:rsidRPr="00A435A6">
        <w:rPr>
          <w:rFonts w:ascii="David" w:eastAsiaTheme="minorHAnsi" w:hAnsi="David" w:cs="David"/>
          <w:sz w:val="24"/>
          <w:szCs w:val="24"/>
          <w:rtl/>
        </w:rPr>
        <w:t xml:space="preserve">של מדיניות </w:t>
      </w:r>
      <w:r w:rsidRPr="00A435A6">
        <w:rPr>
          <w:rFonts w:ascii="David" w:eastAsiaTheme="minorHAnsi" w:hAnsi="David" w:cs="David"/>
          <w:sz w:val="24"/>
          <w:szCs w:val="24"/>
          <w:rtl/>
        </w:rPr>
        <w:t>מעודדת חדשנות ו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הקלות רגולטוריות בתחום הפינטק </w:t>
      </w:r>
      <w:r w:rsidR="00F438A3" w:rsidRPr="00A435A6">
        <w:rPr>
          <w:rFonts w:ascii="David" w:eastAsiaTheme="minorHAnsi" w:hAnsi="David" w:cs="David"/>
          <w:sz w:val="24"/>
          <w:szCs w:val="24"/>
          <w:rtl/>
        </w:rPr>
        <w:t>נצפו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כ</w:t>
      </w:r>
      <w:r w:rsidR="00F438A3" w:rsidRPr="00A435A6">
        <w:rPr>
          <w:rFonts w:ascii="David" w:eastAsiaTheme="minorHAnsi" w:hAnsi="David" w:cs="David"/>
          <w:sz w:val="24"/>
          <w:szCs w:val="24"/>
          <w:rtl/>
        </w:rPr>
        <w:t xml:space="preserve">מתואמים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>חיובי</w:t>
      </w:r>
      <w:r w:rsidR="00FF597A" w:rsidRPr="00A435A6">
        <w:rPr>
          <w:rFonts w:ascii="David" w:eastAsiaTheme="minorHAnsi" w:hAnsi="David" w:cs="David"/>
          <w:sz w:val="24"/>
          <w:szCs w:val="24"/>
          <w:rtl/>
        </w:rPr>
        <w:t>ת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 עם נטייה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>-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לחדשנות </w:t>
      </w:r>
      <w:r w:rsidR="00D83D61" w:rsidRPr="00A435A6">
        <w:rPr>
          <w:rFonts w:ascii="David" w:eastAsiaTheme="minorHAnsi" w:hAnsi="David" w:cs="David"/>
          <w:sz w:val="24"/>
          <w:szCs w:val="24"/>
          <w:rtl/>
        </w:rPr>
        <w:t xml:space="preserve">באסטרטגיה </w:t>
      </w:r>
      <w:r w:rsidR="008C28BC" w:rsidRPr="00A435A6">
        <w:rPr>
          <w:rFonts w:ascii="David" w:eastAsiaTheme="minorHAnsi" w:hAnsi="David" w:cs="David"/>
          <w:sz w:val="24"/>
          <w:szCs w:val="24"/>
          <w:rtl/>
        </w:rPr>
        <w:t xml:space="preserve">של בנקים. </w:t>
      </w:r>
    </w:p>
    <w:p w14:paraId="0FE398A9" w14:textId="10EDFDC1" w:rsidR="00BC2677" w:rsidRPr="00A435A6" w:rsidRDefault="00BC2677" w:rsidP="00A435A6">
      <w:pPr>
        <w:pStyle w:val="a7"/>
        <w:numPr>
          <w:ilvl w:val="0"/>
          <w:numId w:val="1"/>
        </w:num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הנטייה </w:t>
      </w:r>
      <w:r w:rsidR="00FF597A" w:rsidRPr="00A435A6">
        <w:rPr>
          <w:rFonts w:ascii="David" w:eastAsiaTheme="minorHAnsi" w:hAnsi="David" w:cs="David"/>
          <w:sz w:val="24"/>
          <w:szCs w:val="24"/>
          <w:rtl/>
        </w:rPr>
        <w:t xml:space="preserve">של בנקים </w:t>
      </w:r>
      <w:r w:rsidR="00CB5C4E" w:rsidRPr="00A435A6">
        <w:rPr>
          <w:rFonts w:ascii="David" w:eastAsiaTheme="minorHAnsi" w:hAnsi="David" w:cs="David"/>
          <w:sz w:val="24"/>
          <w:szCs w:val="24"/>
          <w:rtl/>
        </w:rPr>
        <w:t xml:space="preserve">מסחריים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לחדשנות עולה ככל </w:t>
      </w:r>
      <w:r w:rsidR="00635EF6" w:rsidRPr="00A435A6">
        <w:rPr>
          <w:rFonts w:ascii="David" w:eastAsiaTheme="minorHAnsi" w:hAnsi="David" w:cs="David"/>
          <w:sz w:val="24"/>
          <w:szCs w:val="24"/>
          <w:rtl/>
        </w:rPr>
        <w:t>ששירותי</w:t>
      </w:r>
      <w:r w:rsidR="00CB5C4E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Pr="00A435A6">
        <w:rPr>
          <w:rFonts w:ascii="David" w:eastAsiaTheme="minorHAnsi" w:hAnsi="David" w:cs="David"/>
          <w:sz w:val="24"/>
          <w:szCs w:val="24"/>
          <w:rtl/>
        </w:rPr>
        <w:t>פינטק מתבסס</w:t>
      </w:r>
      <w:r w:rsidR="00C06EA1" w:rsidRPr="00A435A6">
        <w:rPr>
          <w:rFonts w:ascii="David" w:eastAsiaTheme="minorHAnsi" w:hAnsi="David" w:cs="David"/>
          <w:sz w:val="24"/>
          <w:szCs w:val="24"/>
          <w:rtl/>
        </w:rPr>
        <w:t>ים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במדינה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. </w:t>
      </w:r>
      <w:r w:rsidR="003A1ECF" w:rsidRPr="00A435A6">
        <w:rPr>
          <w:rFonts w:ascii="David" w:eastAsiaTheme="minorHAnsi" w:hAnsi="David" w:cs="David"/>
          <w:sz w:val="24"/>
          <w:szCs w:val="24"/>
          <w:rtl/>
        </w:rPr>
        <w:t>ממצא זה תומך במדיניות הגורסת כי</w:t>
      </w:r>
      <w:r w:rsidR="00060AFA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רגולציה תומכת חדשנות </w:t>
      </w:r>
      <w:r w:rsidR="000F631A" w:rsidRPr="00A435A6">
        <w:rPr>
          <w:rFonts w:ascii="David" w:eastAsiaTheme="minorHAnsi" w:hAnsi="David" w:cs="David"/>
          <w:sz w:val="24"/>
          <w:szCs w:val="24"/>
          <w:rtl/>
        </w:rPr>
        <w:t>היא גורם חשוב</w:t>
      </w:r>
      <w:r w:rsidR="00483FB7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לשימור התחרות בשירותים הבנקאיים לקראת כניסתן </w:t>
      </w:r>
      <w:r w:rsidR="00D819DB" w:rsidRPr="00A435A6">
        <w:rPr>
          <w:rFonts w:ascii="David" w:eastAsiaTheme="minorHAnsi" w:hAnsi="David" w:cs="David"/>
          <w:sz w:val="24"/>
          <w:szCs w:val="24"/>
          <w:rtl/>
        </w:rPr>
        <w:t>לישראל</w:t>
      </w:r>
      <w:r w:rsidR="00A6165B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של חברות טכנולוגיה גדולות. </w:t>
      </w:r>
    </w:p>
    <w:p w14:paraId="296445EA" w14:textId="77777777" w:rsidR="008C28BC" w:rsidRPr="00A435A6" w:rsidRDefault="008C28BC" w:rsidP="00A435A6">
      <w:pPr>
        <w:spacing w:line="360" w:lineRule="auto"/>
        <w:jc w:val="center"/>
        <w:rPr>
          <w:rFonts w:ascii="David" w:eastAsiaTheme="minorHAnsi" w:hAnsi="David" w:cs="David"/>
          <w:sz w:val="24"/>
          <w:szCs w:val="24"/>
          <w:rtl/>
        </w:rPr>
      </w:pPr>
    </w:p>
    <w:p w14:paraId="06DAF688" w14:textId="77777777" w:rsidR="0051632B" w:rsidRPr="00A435A6" w:rsidRDefault="0051632B" w:rsidP="00A435A6">
      <w:pPr>
        <w:spacing w:line="360" w:lineRule="auto"/>
        <w:rPr>
          <w:rFonts w:ascii="David" w:eastAsiaTheme="minorHAnsi" w:hAnsi="David" w:cs="David"/>
          <w:b/>
          <w:bCs/>
          <w:sz w:val="24"/>
          <w:szCs w:val="24"/>
          <w:rtl/>
        </w:rPr>
      </w:pPr>
      <w:r w:rsidRPr="00A435A6">
        <w:rPr>
          <w:rFonts w:ascii="David" w:eastAsiaTheme="minorHAnsi" w:hAnsi="David" w:cs="David"/>
          <w:b/>
          <w:bCs/>
          <w:sz w:val="24"/>
          <w:szCs w:val="24"/>
          <w:rtl/>
        </w:rPr>
        <w:t xml:space="preserve">תמצית המחקר: </w:t>
      </w:r>
    </w:p>
    <w:p w14:paraId="19306EB0" w14:textId="6F910D71" w:rsidR="00C4466B" w:rsidRPr="00A435A6" w:rsidRDefault="00C4466B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העשור </w:t>
      </w:r>
      <w:r w:rsidR="005463F7" w:rsidRPr="00A435A6">
        <w:rPr>
          <w:rFonts w:ascii="David" w:eastAsiaTheme="minorHAnsi" w:hAnsi="David" w:cs="David"/>
          <w:sz w:val="24"/>
          <w:szCs w:val="24"/>
          <w:rtl/>
        </w:rPr>
        <w:t>הקודם</w:t>
      </w:r>
      <w:r w:rsidR="00C06EA1" w:rsidRPr="00A435A6">
        <w:rPr>
          <w:rFonts w:ascii="David" w:eastAsiaTheme="minorHAnsi" w:hAnsi="David" w:cs="David"/>
          <w:sz w:val="24"/>
          <w:szCs w:val="24"/>
          <w:rtl/>
        </w:rPr>
        <w:t xml:space="preserve"> (2010-2020)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התאפיין בשילוב מואץ בין פיננסים לטכנולוגיה (פינטק). התפתחויות</w:t>
      </w:r>
      <w:r w:rsidR="00851209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0F631A" w:rsidRPr="00A435A6">
        <w:rPr>
          <w:rFonts w:ascii="David" w:eastAsiaTheme="minorHAnsi" w:hAnsi="David" w:cs="David"/>
          <w:sz w:val="24"/>
          <w:szCs w:val="24"/>
          <w:rtl/>
        </w:rPr>
        <w:t>אלה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עוררו את השאלה </w:t>
      </w:r>
      <w:r w:rsidR="00C06EA1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אם 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Pr="00A435A6">
        <w:rPr>
          <w:rFonts w:ascii="David" w:eastAsiaTheme="minorHAnsi" w:hAnsi="David" w:cs="David"/>
          <w:sz w:val="24"/>
          <w:szCs w:val="24"/>
          <w:rtl/>
        </w:rPr>
        <w:t>בנקים ימשיכו להתקיים במתכונת המסורתית.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לקראת 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 xml:space="preserve">אמצע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העשור</w:t>
      </w:r>
      <w:r w:rsidR="0065174E" w:rsidRPr="00A435A6">
        <w:rPr>
          <w:rFonts w:ascii="David" w:eastAsiaTheme="minorHAnsi" w:hAnsi="David" w:cs="David"/>
          <w:sz w:val="24"/>
          <w:szCs w:val="24"/>
          <w:rtl/>
        </w:rPr>
        <w:t xml:space="preserve"> (2015)</w:t>
      </w:r>
      <w:r w:rsidR="00161AE8" w:rsidRPr="00A435A6">
        <w:rPr>
          <w:rFonts w:ascii="David" w:eastAsiaTheme="minorHAnsi" w:hAnsi="David" w:cs="David"/>
          <w:sz w:val="24"/>
          <w:szCs w:val="24"/>
          <w:rtl/>
        </w:rPr>
        <w:t xml:space="preserve">, 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>במקביל להקמתם של בנקים דיגיטל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>ים</w:t>
      </w:r>
      <w:r w:rsidR="0065174E" w:rsidRPr="00A435A6">
        <w:rPr>
          <w:rFonts w:ascii="David" w:eastAsiaTheme="minorHAnsi" w:hAnsi="David" w:cs="David"/>
          <w:sz w:val="24"/>
          <w:szCs w:val="24"/>
          <w:rtl/>
        </w:rPr>
        <w:t xml:space="preserve"> בחלק ממדינות העולם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 xml:space="preserve">, </w:t>
      </w:r>
      <w:r w:rsidR="005463F7" w:rsidRPr="00A435A6">
        <w:rPr>
          <w:rFonts w:ascii="David" w:eastAsiaTheme="minorHAnsi" w:hAnsi="David" w:cs="David"/>
          <w:sz w:val="24"/>
          <w:szCs w:val="24"/>
          <w:rtl/>
        </w:rPr>
        <w:t xml:space="preserve">הסתמן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בספרות 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>כ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 xml:space="preserve">י הפינטק </w:t>
      </w:r>
      <w:r w:rsidR="0065174E" w:rsidRPr="00A435A6">
        <w:rPr>
          <w:rFonts w:ascii="David" w:eastAsiaTheme="minorHAnsi" w:hAnsi="David" w:cs="David"/>
          <w:sz w:val="24"/>
          <w:szCs w:val="24"/>
          <w:rtl/>
        </w:rPr>
        <w:t>עשוי</w:t>
      </w:r>
      <w:r w:rsidR="005463F7" w:rsidRPr="00A435A6">
        <w:rPr>
          <w:rFonts w:ascii="David" w:eastAsiaTheme="minorHAnsi" w:hAnsi="David" w:cs="David"/>
          <w:sz w:val="24"/>
          <w:szCs w:val="24"/>
          <w:rtl/>
        </w:rPr>
        <w:t xml:space="preserve"> להוות </w:t>
      </w:r>
      <w:r w:rsidR="0065174E" w:rsidRPr="00A435A6">
        <w:rPr>
          <w:rFonts w:ascii="David" w:eastAsiaTheme="minorHAnsi" w:hAnsi="David" w:cs="David"/>
          <w:sz w:val="24"/>
          <w:szCs w:val="24"/>
          <w:rtl/>
        </w:rPr>
        <w:t>גורם מעורר תחרות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 xml:space="preserve">בשוק </w:t>
      </w:r>
      <w:r w:rsidRPr="00A435A6">
        <w:rPr>
          <w:rFonts w:ascii="David" w:eastAsiaTheme="minorHAnsi" w:hAnsi="David" w:cs="David"/>
          <w:sz w:val="24"/>
          <w:szCs w:val="24"/>
          <w:rtl/>
        </w:rPr>
        <w:t>הבנקאי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 xml:space="preserve">: 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>בנק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שלא </w:t>
      </w:r>
      <w:r w:rsidR="0024131C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ערך 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>להשפעת הפינטק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 ו</w:t>
      </w:r>
      <w:r w:rsidR="00141DB0" w:rsidRPr="00A435A6">
        <w:rPr>
          <w:rFonts w:ascii="David" w:eastAsiaTheme="minorHAnsi" w:hAnsi="David" w:cs="David"/>
          <w:sz w:val="24"/>
          <w:szCs w:val="24"/>
          <w:rtl/>
        </w:rPr>
        <w:t xml:space="preserve">לא 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>יתאים את עצמו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 אליו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 xml:space="preserve">עלול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>ל</w:t>
      </w:r>
      <w:r w:rsidR="0024131C" w:rsidRPr="00A435A6">
        <w:rPr>
          <w:rFonts w:ascii="David" w:eastAsiaTheme="minorHAnsi" w:hAnsi="David" w:cs="David"/>
          <w:sz w:val="24"/>
          <w:szCs w:val="24"/>
          <w:rtl/>
        </w:rPr>
        <w:t>התקשות</w:t>
      </w:r>
      <w:r w:rsidR="00FB0727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C63A6" w:rsidRPr="00A435A6">
        <w:rPr>
          <w:rFonts w:ascii="David" w:eastAsiaTheme="minorHAnsi" w:hAnsi="David" w:cs="David"/>
          <w:sz w:val="24"/>
          <w:szCs w:val="24"/>
          <w:rtl/>
        </w:rPr>
        <w:t xml:space="preserve">להתחרות </w:t>
      </w:r>
      <w:r w:rsidR="0024131C" w:rsidRPr="00A435A6">
        <w:rPr>
          <w:rFonts w:ascii="David" w:eastAsiaTheme="minorHAnsi" w:hAnsi="David" w:cs="David"/>
          <w:sz w:val="24"/>
          <w:szCs w:val="24"/>
          <w:rtl/>
        </w:rPr>
        <w:t>בשוק לאורך זמן.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</w:p>
    <w:p w14:paraId="72132103" w14:textId="77777777" w:rsidR="00A24E7B" w:rsidRPr="00A435A6" w:rsidRDefault="005463F7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מחקר 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>שערכה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לילך שמע זלטוקרילוב מחטיבת המחקר 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>של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 xml:space="preserve">בנק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ישראל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מציע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 דרך חדשה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לבחון את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התפתחות הבנקאות הפינטקית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 בישראל ובעולם</w:t>
      </w:r>
      <w:r w:rsidR="006B3AD9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24131C" w:rsidRPr="00A435A6">
        <w:rPr>
          <w:rFonts w:ascii="David" w:eastAsiaTheme="minorHAnsi" w:hAnsi="David" w:cs="David"/>
          <w:sz w:val="24"/>
          <w:szCs w:val="24"/>
          <w:rtl/>
        </w:rPr>
        <w:t>באמצעות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מדד 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 xml:space="preserve">לנטייתם של בנקים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לחדשנות </w:t>
      </w:r>
      <w:r w:rsidRPr="00A435A6">
        <w:rPr>
          <w:rFonts w:ascii="David" w:eastAsiaTheme="minorHAnsi" w:hAnsi="David" w:cs="David"/>
          <w:sz w:val="24"/>
          <w:szCs w:val="24"/>
          <w:rtl/>
        </w:rPr>
        <w:lastRenderedPageBreak/>
        <w:t>דיגיטלית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המדד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החדש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מבוסס על ניתוח טקסט 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של הדוחות ה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כספיים, והוא חושב למדגם של למעלה מ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מאה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בנקים מ-18 מדינות לשנים 2012</w:t>
      </w:r>
      <w:r w:rsidR="00DD2AB9" w:rsidRPr="00A435A6">
        <w:rPr>
          <w:rFonts w:ascii="David" w:eastAsiaTheme="minorHAnsi" w:hAnsi="David" w:cs="David"/>
          <w:sz w:val="24"/>
          <w:szCs w:val="24"/>
          <w:rtl/>
        </w:rPr>
        <w:t>–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2019. </w:t>
      </w:r>
    </w:p>
    <w:p w14:paraId="62E67071" w14:textId="77777777" w:rsidR="00A24E7B" w:rsidRPr="00A435A6" w:rsidRDefault="00A24E7B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המחקר נסמך על ספרות 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המגלה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קשר בין נוסח הדוח הכספי לתוצאות העסקיות של הפירמה, בפרט במגזר שהוא מבוקר ומפוקח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, 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 xml:space="preserve">ולכן על 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>מחברי הדוח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ות בו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מוטלת אחריות משפטית 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לאמינותם</w:t>
      </w:r>
      <w:r w:rsidRPr="00A435A6">
        <w:rPr>
          <w:rFonts w:ascii="David" w:eastAsiaTheme="minorHAnsi" w:hAnsi="David" w:cs="David"/>
          <w:sz w:val="24"/>
          <w:szCs w:val="24"/>
          <w:rtl/>
        </w:rPr>
        <w:t>. הנחת המחקר הייתה שככל שהאסטרטגיה של הבנק נוטה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>לדיגיטציה וחדשנות, השיח בנושא יבוא לידי ביטוי בדוחות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>יו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השנתיים, ובפרט בחלק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של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סקירות ההנהלה והדירקטוריון. כדי לבחון את מידת הנטייה של בנק לחדשנות 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נבדקת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>שכיחות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>מ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 xml:space="preserve">לים </w:t>
      </w:r>
      <w:r w:rsidRPr="00A435A6">
        <w:rPr>
          <w:rFonts w:ascii="David" w:eastAsiaTheme="minorHAnsi" w:hAnsi="David" w:cs="David"/>
          <w:sz w:val="24"/>
          <w:szCs w:val="24"/>
          <w:rtl/>
        </w:rPr>
        <w:t>המזוהות עם פינטק</w:t>
      </w:r>
      <w:r w:rsidR="002434E6" w:rsidRPr="00A435A6">
        <w:rPr>
          <w:rFonts w:ascii="David" w:eastAsiaTheme="minorHAnsi" w:hAnsi="David" w:cs="David"/>
          <w:sz w:val="24"/>
          <w:szCs w:val="24"/>
          <w:rtl/>
        </w:rPr>
        <w:t xml:space="preserve"> וחדשנות טכנולוגית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 xml:space="preserve"> בכלל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>(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>כדוגמת המונח "דיגיטל"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>)</w:t>
      </w:r>
      <w:r w:rsidR="00454386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>בדוחות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יו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הכס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>פיים</w:t>
      </w:r>
      <w:r w:rsidR="000467C9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</w:p>
    <w:p w14:paraId="3D747EBC" w14:textId="77777777" w:rsidR="00F2542F" w:rsidRPr="00A435A6" w:rsidRDefault="00483FB7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</w:rPr>
        <w:drawing>
          <wp:inline distT="0" distB="0" distL="0" distR="0" wp14:anchorId="7F2CC1E1" wp14:editId="5611586D">
            <wp:extent cx="5000625" cy="2601074"/>
            <wp:effectExtent l="0" t="0" r="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47" cy="260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21833" w14:textId="2D636D76" w:rsidR="003A1ECF" w:rsidRPr="00A435A6" w:rsidRDefault="003A1ECF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מקור: דוחות כספיים שנתיים</w:t>
      </w:r>
      <w:r w:rsidR="003F337F" w:rsidRPr="00A435A6">
        <w:rPr>
          <w:rFonts w:ascii="David" w:eastAsiaTheme="minorHAnsi" w:hAnsi="David" w:cs="David"/>
          <w:sz w:val="24"/>
          <w:szCs w:val="24"/>
          <w:rtl/>
        </w:rPr>
        <w:t xml:space="preserve"> של מדגם הבנקים </w:t>
      </w:r>
      <w:r w:rsidR="00361D39" w:rsidRPr="00A435A6">
        <w:rPr>
          <w:rFonts w:ascii="David" w:eastAsiaTheme="minorHAnsi" w:hAnsi="David" w:cs="David"/>
          <w:sz w:val="24"/>
          <w:szCs w:val="24"/>
          <w:rtl/>
        </w:rPr>
        <w:t>במחקר (</w:t>
      </w:r>
      <w:r w:rsidR="00B6745D" w:rsidRPr="00A435A6">
        <w:rPr>
          <w:rFonts w:ascii="David" w:eastAsiaTheme="minorHAnsi" w:hAnsi="David" w:cs="David"/>
          <w:sz w:val="24"/>
          <w:szCs w:val="24"/>
          <w:rtl/>
        </w:rPr>
        <w:t xml:space="preserve">פורסמו לציבור </w:t>
      </w:r>
      <w:r w:rsidR="003F337F" w:rsidRPr="00A435A6">
        <w:rPr>
          <w:rFonts w:ascii="David" w:eastAsiaTheme="minorHAnsi" w:hAnsi="David" w:cs="David"/>
          <w:sz w:val="24"/>
          <w:szCs w:val="24"/>
          <w:rtl/>
        </w:rPr>
        <w:t>בשפה האנגלית</w:t>
      </w:r>
      <w:r w:rsidR="00361D39" w:rsidRPr="00A435A6">
        <w:rPr>
          <w:rFonts w:ascii="David" w:eastAsiaTheme="minorHAnsi" w:hAnsi="David" w:cs="David"/>
          <w:sz w:val="24"/>
          <w:szCs w:val="24"/>
          <w:rtl/>
        </w:rPr>
        <w:t>)</w:t>
      </w:r>
      <w:r w:rsidR="003F337F" w:rsidRPr="00A435A6">
        <w:rPr>
          <w:rFonts w:ascii="David" w:eastAsiaTheme="minorHAnsi" w:hAnsi="David" w:cs="David"/>
          <w:sz w:val="24"/>
          <w:szCs w:val="24"/>
          <w:rtl/>
        </w:rPr>
        <w:t xml:space="preserve">. </w:t>
      </w:r>
    </w:p>
    <w:p w14:paraId="3D510389" w14:textId="77777777" w:rsidR="00F767C9" w:rsidRPr="00A435A6" w:rsidRDefault="00F767C9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392ECA6A" w14:textId="4A9B27C1" w:rsidR="00A24E7B" w:rsidRPr="00A435A6" w:rsidRDefault="001F362C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לצורך המחקר נדגמו בנקים מקבוצה של </w:t>
      </w:r>
      <w:r w:rsidR="00CB5C4E" w:rsidRPr="00A435A6">
        <w:rPr>
          <w:rFonts w:ascii="David" w:eastAsiaTheme="minorHAnsi" w:hAnsi="David" w:cs="David"/>
          <w:sz w:val="24"/>
          <w:szCs w:val="24"/>
          <w:rtl/>
        </w:rPr>
        <w:t>18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 מדינות בעלות מער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כ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ת 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 xml:space="preserve">בנקאות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מפותח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ת וריכוזי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ת יחסית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כוללת את ישראל, קוריאה הדרומית, אנגליה, ספרד, אוסטרליה, איטליה,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קנדה,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אוסטריה, שוויץ ודרום אפריקה</w:t>
      </w:r>
      <w:r w:rsidR="0024131C" w:rsidRPr="00A435A6">
        <w:rPr>
          <w:rFonts w:eastAsiaTheme="minorHAnsi"/>
          <w:rtl/>
        </w:rPr>
        <w:footnoteReference w:id="1"/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המחקר </w:t>
      </w:r>
      <w:r w:rsidRPr="00A435A6">
        <w:rPr>
          <w:rFonts w:ascii="David" w:eastAsiaTheme="minorHAnsi" w:hAnsi="David" w:cs="David"/>
          <w:sz w:val="24"/>
          <w:szCs w:val="24"/>
          <w:rtl/>
        </w:rPr>
        <w:t>מתמקד בתקופה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 ש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בין שני משברים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 xml:space="preserve"> – 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 xml:space="preserve">המשבר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הפיננסי ב-2008 ו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 xml:space="preserve">משבר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ה-</w:t>
      </w:r>
      <w:r w:rsidR="00A24E7B" w:rsidRPr="00A435A6">
        <w:rPr>
          <w:rFonts w:ascii="David" w:eastAsiaTheme="minorHAnsi" w:hAnsi="David" w:cs="David"/>
          <w:sz w:val="24"/>
          <w:szCs w:val="24"/>
        </w:rPr>
        <w:t>COVID19</w:t>
      </w:r>
      <w:r w:rsidR="001421FE" w:rsidRPr="00A435A6">
        <w:rPr>
          <w:rFonts w:ascii="David" w:eastAsiaTheme="minorHAnsi" w:hAnsi="David" w:cs="David"/>
          <w:sz w:val="24"/>
          <w:szCs w:val="24"/>
          <w:rtl/>
        </w:rPr>
        <w:t xml:space="preserve"> –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שכן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בתקופה זו בנקים התייעלו והטמיעו טכנולוגיות חדשניות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במקביל להתפתחות הפינטק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. לנתונים הפיננסי</w:t>
      </w:r>
      <w:r w:rsidR="009A5684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ם של הבנקים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ול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מדד</w:t>
      </w:r>
      <w:r w:rsidR="009B26A6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 שחושב כמשתנה רציף </w:t>
      </w:r>
      <w:r w:rsidR="00E626A5" w:rsidRPr="00A435A6">
        <w:rPr>
          <w:rFonts w:ascii="David" w:eastAsiaTheme="minorHAnsi" w:hAnsi="David" w:cs="David"/>
          <w:sz w:val="24"/>
          <w:szCs w:val="24"/>
          <w:rtl/>
        </w:rPr>
        <w:t>ל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בנקים </w:t>
      </w:r>
      <w:r w:rsidR="00E626A5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>שנים</w:t>
      </w:r>
      <w:r w:rsidR="009B26A6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="00483FB7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התווספו נתוני פיתוח פיננסי וטכנולוגי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של המדינה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, נתונים כלכליים ונתונים הנוגעים למאפייני המערכת הבנקאית במדינה. </w:t>
      </w:r>
    </w:p>
    <w:p w14:paraId="53180F5C" w14:textId="31C5D26F" w:rsidR="00B9786F" w:rsidRPr="00A435A6" w:rsidRDefault="001421FE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על סמך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הנתונים שנאספו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 xml:space="preserve">בדק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המחקר אם </w:t>
      </w:r>
      <w:r w:rsidR="00A24E7B" w:rsidRPr="00A435A6">
        <w:rPr>
          <w:rFonts w:ascii="David" w:eastAsiaTheme="minorHAnsi" w:hAnsi="David" w:cs="David"/>
          <w:sz w:val="24"/>
          <w:szCs w:val="24"/>
          <w:rtl/>
        </w:rPr>
        <w:t xml:space="preserve">בשוק </w:t>
      </w:r>
      <w:r w:rsidR="00DF501A" w:rsidRPr="00A435A6">
        <w:rPr>
          <w:rFonts w:ascii="David" w:eastAsiaTheme="minorHAnsi" w:hAnsi="David" w:cs="David"/>
          <w:sz w:val="24"/>
          <w:szCs w:val="24"/>
          <w:rtl/>
        </w:rPr>
        <w:t>המושפע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DF501A" w:rsidRPr="00A435A6">
        <w:rPr>
          <w:rFonts w:ascii="David" w:eastAsiaTheme="minorHAnsi" w:hAnsi="David" w:cs="David"/>
          <w:sz w:val="24"/>
          <w:szCs w:val="24"/>
          <w:rtl/>
        </w:rPr>
        <w:t>מ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התפתחויות טכנולוגיות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התקיימו המגמות המצופות</w:t>
      </w:r>
      <w:r w:rsidR="003E6B6A" w:rsidRPr="00A435A6">
        <w:rPr>
          <w:rFonts w:ascii="David" w:eastAsiaTheme="minorHAnsi" w:hAnsi="David" w:cs="David"/>
          <w:sz w:val="24"/>
          <w:szCs w:val="24"/>
          <w:rtl/>
        </w:rPr>
        <w:t xml:space="preserve">,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שעשויות להשפיע על המודל העסקי שלו</w:t>
      </w:r>
      <w:r w:rsidR="003E6B6A" w:rsidRPr="00A435A6">
        <w:rPr>
          <w:rFonts w:ascii="David" w:eastAsiaTheme="minorHAnsi" w:hAnsi="David" w:cs="David"/>
          <w:sz w:val="24"/>
          <w:szCs w:val="24"/>
          <w:rtl/>
        </w:rPr>
        <w:t xml:space="preserve">: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ככל שמתבהר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ים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 טיב </w:t>
      </w:r>
      <w:r w:rsidR="00DF501A" w:rsidRPr="00A435A6">
        <w:rPr>
          <w:rFonts w:ascii="David" w:eastAsiaTheme="minorHAnsi" w:hAnsi="David" w:cs="David"/>
          <w:sz w:val="24"/>
          <w:szCs w:val="24"/>
          <w:rtl/>
        </w:rPr>
        <w:t>ההשפעה התחרותית</w:t>
      </w:r>
      <w:r w:rsidR="003A1ECF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והיקפה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, ומתבססת האפשרות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 xml:space="preserve">של כניסת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חברות טכנולוגיה גדולות לתחום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הבנקאות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, מצופה שבנקים יתאימו את הת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כני</w:t>
      </w:r>
      <w:r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ת העסקי</w:t>
      </w:r>
      <w:r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ת שלהם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ויציעו יותר שירותים דיגיטליים.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המחקר מצא מתאם חיובי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 בין המדד ל</w:t>
      </w:r>
      <w:r w:rsidRPr="00A435A6">
        <w:rPr>
          <w:rFonts w:ascii="David" w:eastAsiaTheme="minorHAnsi" w:hAnsi="David" w:cs="David"/>
          <w:sz w:val="24"/>
          <w:szCs w:val="24"/>
          <w:rtl/>
        </w:rPr>
        <w:t>בין המגמות המצופות</w:t>
      </w:r>
      <w:r w:rsidR="003E6B6A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4351B0" w:rsidRPr="00A435A6">
        <w:rPr>
          <w:rFonts w:ascii="David" w:eastAsiaTheme="minorHAnsi" w:hAnsi="David" w:cs="David"/>
          <w:sz w:val="24"/>
          <w:szCs w:val="24"/>
          <w:rtl/>
        </w:rPr>
        <w:t>לאורך העשור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, וב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כך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 xml:space="preserve">הוא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משקף את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lastRenderedPageBreak/>
        <w:t>ה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אסטרטגיה </w:t>
      </w:r>
      <w:r w:rsidR="003E6B6A" w:rsidRPr="00A435A6">
        <w:rPr>
          <w:rFonts w:ascii="David" w:eastAsiaTheme="minorHAnsi" w:hAnsi="David" w:cs="David"/>
          <w:sz w:val="24"/>
          <w:szCs w:val="24"/>
          <w:rtl/>
        </w:rPr>
        <w:t xml:space="preserve">הראויה בשוק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המעוניין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 xml:space="preserve">להתאים עצמו </w:t>
      </w:r>
      <w:r w:rsidR="00DF501A" w:rsidRPr="00A435A6">
        <w:rPr>
          <w:rFonts w:ascii="David" w:eastAsiaTheme="minorHAnsi" w:hAnsi="David" w:cs="David"/>
          <w:sz w:val="24"/>
          <w:szCs w:val="24"/>
          <w:rtl/>
        </w:rPr>
        <w:t xml:space="preserve">להתגברות </w:t>
      </w:r>
      <w:r w:rsidR="003A1ECF" w:rsidRPr="00A435A6">
        <w:rPr>
          <w:rFonts w:ascii="David" w:eastAsiaTheme="minorHAnsi" w:hAnsi="David" w:cs="David"/>
          <w:sz w:val="24"/>
          <w:szCs w:val="24"/>
          <w:rtl/>
        </w:rPr>
        <w:t xml:space="preserve"> התחרות בעקבות ההשפעה הטכנולוגית </w:t>
      </w:r>
      <w:r w:rsidR="00B9786F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</w:p>
    <w:p w14:paraId="5D1227DE" w14:textId="77777777" w:rsidR="002434E6" w:rsidRPr="00A435A6" w:rsidRDefault="001000F5" w:rsidP="00A435A6">
      <w:pPr>
        <w:spacing w:line="360" w:lineRule="auto"/>
        <w:jc w:val="center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</w:rPr>
        <w:drawing>
          <wp:inline distT="0" distB="0" distL="0" distR="0" wp14:anchorId="4A9879E4" wp14:editId="3FD0BABB">
            <wp:extent cx="4724400" cy="312602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269" cy="313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B8F83" w14:textId="77777777" w:rsidR="00361D39" w:rsidRPr="00A435A6" w:rsidRDefault="00361D39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מקור: דוחות כספיים שנתיים של מדגם הבנקים במחקר (פורסמו לציבור בשפה האנגלית). </w:t>
      </w:r>
    </w:p>
    <w:p w14:paraId="3095F35C" w14:textId="77777777" w:rsidR="00F767C9" w:rsidRPr="00A435A6" w:rsidRDefault="00F767C9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22FE1E14" w14:textId="57CB152C" w:rsidR="00361D39" w:rsidRPr="00A435A6" w:rsidRDefault="00B9786F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המחקר מצא הבדלים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ברמת המדד בין מדינות ובין בנקים</w:t>
      </w:r>
      <w:r w:rsidRPr="00A435A6">
        <w:rPr>
          <w:rFonts w:ascii="David" w:eastAsiaTheme="minorHAnsi" w:hAnsi="David" w:cs="David"/>
          <w:sz w:val="24"/>
          <w:szCs w:val="24"/>
          <w:rtl/>
        </w:rPr>
        <w:t>. ה</w:t>
      </w:r>
      <w:r w:rsidR="004350C1" w:rsidRPr="00A435A6">
        <w:rPr>
          <w:rFonts w:ascii="David" w:eastAsiaTheme="minorHAnsi" w:hAnsi="David" w:cs="David"/>
          <w:sz w:val="24"/>
          <w:szCs w:val="24"/>
          <w:rtl/>
        </w:rPr>
        <w:t>פינטק הוא בין היתר תוצר של שיתופי פעולה בשוק בין גופים פ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יננסיים לחברות הזנק טכנולוגיות</w:t>
      </w:r>
      <w:r w:rsidR="008700EF" w:rsidRPr="00A435A6">
        <w:rPr>
          <w:rFonts w:ascii="David" w:eastAsiaTheme="minorHAnsi" w:hAnsi="David" w:cs="David"/>
          <w:sz w:val="24"/>
          <w:szCs w:val="24"/>
          <w:rtl/>
        </w:rPr>
        <w:t xml:space="preserve">. לפיכך קידום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הליכי חדשנות </w:t>
      </w:r>
      <w:r w:rsidR="007344B8" w:rsidRPr="00A435A6">
        <w:rPr>
          <w:rFonts w:ascii="David" w:eastAsiaTheme="minorHAnsi" w:hAnsi="David" w:cs="David"/>
          <w:sz w:val="24"/>
          <w:szCs w:val="24"/>
          <w:rtl/>
        </w:rPr>
        <w:t xml:space="preserve">במדינה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אמור להשפיע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גם על המגזר הבנקאי</w:t>
      </w:r>
      <w:r w:rsidR="00DD52D9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המחקר מצא מתאם חיובי </w:t>
      </w:r>
      <w:r w:rsidR="00005E32" w:rsidRPr="00A435A6">
        <w:rPr>
          <w:rFonts w:ascii="David" w:eastAsiaTheme="minorHAnsi" w:hAnsi="David" w:cs="David"/>
          <w:sz w:val="24"/>
          <w:szCs w:val="24"/>
          <w:rtl/>
        </w:rPr>
        <w:t xml:space="preserve">מובהק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בין המדד לנטייה </w:t>
      </w:r>
      <w:r w:rsidR="008700EF" w:rsidRPr="00A435A6">
        <w:rPr>
          <w:rFonts w:ascii="David" w:eastAsiaTheme="minorHAnsi" w:hAnsi="David" w:cs="David"/>
          <w:sz w:val="24"/>
          <w:szCs w:val="24"/>
          <w:rtl/>
        </w:rPr>
        <w:t xml:space="preserve">של בנק לחדשנות </w:t>
      </w:r>
      <w:r w:rsidR="00CF681E" w:rsidRPr="00A435A6">
        <w:rPr>
          <w:rFonts w:ascii="David" w:eastAsiaTheme="minorHAnsi" w:hAnsi="David" w:cs="David"/>
          <w:sz w:val="24"/>
          <w:szCs w:val="24"/>
          <w:rtl/>
        </w:rPr>
        <w:t>ל</w:t>
      </w:r>
      <w:r w:rsidR="008700EF" w:rsidRPr="00A435A6">
        <w:rPr>
          <w:rFonts w:ascii="David" w:eastAsiaTheme="minorHAnsi" w:hAnsi="David" w:cs="David"/>
          <w:sz w:val="24"/>
          <w:szCs w:val="24"/>
          <w:rtl/>
        </w:rPr>
        <w:t xml:space="preserve">בין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השקעות המדינה במחקר ובפיתוח.</w:t>
      </w:r>
    </w:p>
    <w:p w14:paraId="4D32A28F" w14:textId="4A16DD5E" w:rsidR="000E7D12" w:rsidRPr="00A435A6" w:rsidRDefault="00CF681E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DD52D9" w:rsidRPr="00A435A6">
        <w:rPr>
          <w:rFonts w:ascii="David" w:eastAsiaTheme="minorHAnsi" w:hAnsi="David" w:cs="David"/>
          <w:sz w:val="24"/>
          <w:szCs w:val="24"/>
          <w:rtl/>
        </w:rPr>
        <w:t>שירות הבנקאי פועל בשוק מפוקח</w:t>
      </w:r>
      <w:r w:rsidR="001F362C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DD52D9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לרגולטור אמורה להיות השפעה על מידת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התבססות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 xml:space="preserve">של </w:t>
      </w:r>
      <w:r w:rsidR="00361D39" w:rsidRPr="00A435A6">
        <w:rPr>
          <w:rFonts w:ascii="David" w:eastAsiaTheme="minorHAnsi" w:hAnsi="David" w:cs="David"/>
          <w:sz w:val="24"/>
          <w:szCs w:val="24"/>
          <w:rtl/>
        </w:rPr>
        <w:t>ההתפתחות הטכנולוגית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. המחקר בחר </w:t>
      </w:r>
      <w:r w:rsidRPr="00A435A6">
        <w:rPr>
          <w:rFonts w:ascii="David" w:eastAsiaTheme="minorHAnsi" w:hAnsi="David" w:cs="David"/>
          <w:sz w:val="24"/>
          <w:szCs w:val="24"/>
          <w:rtl/>
        </w:rPr>
        <w:t>באינדיקטור של קיום רישיון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 לבנק דיגיטלי ללא סניפים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במדינה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כביטוי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>לעליית מדרגה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בכניסת הפינטק למגזר. זאת</w:t>
      </w:r>
      <w:r w:rsidR="00B6745D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כ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מודל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עסקי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 בנקאי חדש, המבוסס על טכנולוג</w:t>
      </w:r>
      <w:r w:rsidR="007344B8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ית ענן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 xml:space="preserve">תשתיות מתקדמות,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 xml:space="preserve">ונשען </w:t>
      </w:r>
      <w:r w:rsidR="00737B1C" w:rsidRPr="00A435A6">
        <w:rPr>
          <w:rFonts w:ascii="David" w:eastAsiaTheme="minorHAnsi" w:hAnsi="David" w:cs="David"/>
          <w:sz w:val="24"/>
          <w:szCs w:val="24"/>
          <w:rtl/>
        </w:rPr>
        <w:t>על אוריינות טכנולוגית של הלקוחות.</w:t>
      </w:r>
      <w:r w:rsidR="004350C1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המחקר מצא </w:t>
      </w:r>
      <w:r w:rsidR="00005E32" w:rsidRPr="00A435A6">
        <w:rPr>
          <w:rFonts w:ascii="David" w:eastAsiaTheme="minorHAnsi" w:hAnsi="David" w:cs="David"/>
          <w:sz w:val="24"/>
          <w:szCs w:val="24"/>
          <w:rtl/>
        </w:rPr>
        <w:t>מתאם חיובי מובהק בין המדד</w:t>
      </w:r>
      <w:r w:rsidR="004350C1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005E32" w:rsidRPr="00A435A6">
        <w:rPr>
          <w:rFonts w:ascii="David" w:eastAsiaTheme="minorHAnsi" w:hAnsi="David" w:cs="David"/>
          <w:sz w:val="24"/>
          <w:szCs w:val="24"/>
          <w:rtl/>
        </w:rPr>
        <w:t>ל</w:t>
      </w:r>
      <w:r w:rsidR="007344B8" w:rsidRPr="00A435A6">
        <w:rPr>
          <w:rFonts w:ascii="David" w:eastAsiaTheme="minorHAnsi" w:hAnsi="David" w:cs="David"/>
          <w:sz w:val="24"/>
          <w:szCs w:val="24"/>
          <w:rtl/>
        </w:rPr>
        <w:t xml:space="preserve">בין </w:t>
      </w:r>
      <w:r w:rsidR="00005E32" w:rsidRPr="00A435A6">
        <w:rPr>
          <w:rFonts w:ascii="David" w:eastAsiaTheme="minorHAnsi" w:hAnsi="David" w:cs="David"/>
          <w:sz w:val="24"/>
          <w:szCs w:val="24"/>
          <w:rtl/>
        </w:rPr>
        <w:t>מתן</w:t>
      </w:r>
      <w:r w:rsidR="004350C1" w:rsidRPr="00A435A6">
        <w:rPr>
          <w:rFonts w:ascii="David" w:eastAsiaTheme="minorHAnsi" w:hAnsi="David" w:cs="David"/>
          <w:sz w:val="24"/>
          <w:szCs w:val="24"/>
          <w:rtl/>
        </w:rPr>
        <w:t xml:space="preserve"> רישיון רגולטורי לבנק דיגיטלי ללא סניפים</w:t>
      </w:r>
      <w:r w:rsidR="007344B8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="007344B8" w:rsidRPr="00A435A6" w:rsidDel="007344B8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 xml:space="preserve">ניתן אפוא </w:t>
      </w:r>
      <w:r w:rsidRPr="00A435A6">
        <w:rPr>
          <w:rFonts w:ascii="David" w:eastAsiaTheme="minorHAnsi" w:hAnsi="David" w:cs="David"/>
          <w:sz w:val="24"/>
          <w:szCs w:val="24"/>
          <w:rtl/>
        </w:rPr>
        <w:t>להסיק ש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הקלות רגולטוריות בתחום הפינטק מתואמות באופן חיובי עם </w:t>
      </w:r>
      <w:r w:rsidRPr="00A435A6">
        <w:rPr>
          <w:rFonts w:ascii="David" w:eastAsiaTheme="minorHAnsi" w:hAnsi="David" w:cs="David"/>
          <w:sz w:val="24"/>
          <w:szCs w:val="24"/>
          <w:rtl/>
        </w:rPr>
        <w:t>נטייה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 xml:space="preserve"> של בנקים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CB5C4E" w:rsidRPr="00A435A6">
        <w:rPr>
          <w:rFonts w:ascii="David" w:eastAsiaTheme="minorHAnsi" w:hAnsi="David" w:cs="David"/>
          <w:sz w:val="24"/>
          <w:szCs w:val="24"/>
          <w:rtl/>
        </w:rPr>
        <w:t xml:space="preserve">מסחריים </w:t>
      </w:r>
      <w:r w:rsidRPr="00A435A6">
        <w:rPr>
          <w:rFonts w:ascii="David" w:eastAsiaTheme="minorHAnsi" w:hAnsi="David" w:cs="David"/>
          <w:sz w:val="24"/>
          <w:szCs w:val="24"/>
          <w:rtl/>
        </w:rPr>
        <w:t>לחדשנות</w:t>
      </w:r>
      <w:r w:rsidR="00886339" w:rsidRPr="00A435A6">
        <w:rPr>
          <w:rFonts w:ascii="David" w:eastAsiaTheme="minorHAnsi" w:hAnsi="David" w:cs="David"/>
          <w:sz w:val="24"/>
          <w:szCs w:val="24"/>
          <w:rtl/>
        </w:rPr>
        <w:t>.</w:t>
      </w:r>
    </w:p>
    <w:p w14:paraId="2A93241D" w14:textId="77777777" w:rsidR="001F362C" w:rsidRPr="00A435A6" w:rsidRDefault="001F362C" w:rsidP="00005E32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69DD300B" w14:textId="77777777" w:rsidR="001F362C" w:rsidRPr="00A435A6" w:rsidRDefault="00B04862" w:rsidP="00005E32">
      <w:pPr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</w:rPr>
        <w:lastRenderedPageBreak/>
        <w:drawing>
          <wp:inline distT="0" distB="0" distL="0" distR="0" wp14:anchorId="0E8A3F4C" wp14:editId="68AB0CF7">
            <wp:extent cx="5353050" cy="2847340"/>
            <wp:effectExtent l="0" t="0" r="0" b="1016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35C26A" w14:textId="77777777" w:rsidR="00361D39" w:rsidRPr="00A435A6" w:rsidRDefault="00361D39" w:rsidP="00361D39">
      <w:pPr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 xml:space="preserve">מקור: דוחות כספיים שנתיים של מדגם הבנקים במחקר (פורסמו לציבור בשפה האנגלית). </w:t>
      </w:r>
    </w:p>
    <w:p w14:paraId="65890915" w14:textId="1BE73037" w:rsidR="001F362C" w:rsidRPr="00A435A6" w:rsidRDefault="001F362C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העמדת רישיון לבנק דיגיטלי מסומנת כמשתנה "1".</w:t>
      </w:r>
      <w:r w:rsidR="0053650B" w:rsidRPr="00A435A6">
        <w:rPr>
          <w:rFonts w:ascii="David" w:eastAsiaTheme="minorHAnsi" w:hAnsi="David" w:cs="David"/>
          <w:sz w:val="24"/>
          <w:szCs w:val="24"/>
          <w:rtl/>
        </w:rPr>
        <w:t xml:space="preserve"> ה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איור</w:t>
      </w:r>
      <w:r w:rsidR="0053650B" w:rsidRPr="00A435A6">
        <w:rPr>
          <w:rFonts w:ascii="David" w:eastAsiaTheme="minorHAnsi" w:hAnsi="David" w:cs="David"/>
          <w:sz w:val="24"/>
          <w:szCs w:val="24"/>
          <w:rtl/>
        </w:rPr>
        <w:t xml:space="preserve"> מבטא את ההבדלים בין תוחלת המדד לנטייה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-</w:t>
      </w:r>
      <w:r w:rsidR="0053650B" w:rsidRPr="00A435A6">
        <w:rPr>
          <w:rFonts w:ascii="David" w:eastAsiaTheme="minorHAnsi" w:hAnsi="David" w:cs="David"/>
          <w:sz w:val="24"/>
          <w:szCs w:val="24"/>
          <w:rtl/>
        </w:rPr>
        <w:t xml:space="preserve">לחדשנות של בנקים הפועלים במדינות 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ש</w:t>
      </w:r>
      <w:r w:rsidR="0053650B" w:rsidRPr="00A435A6">
        <w:rPr>
          <w:rFonts w:ascii="David" w:eastAsiaTheme="minorHAnsi" w:hAnsi="David" w:cs="David"/>
          <w:sz w:val="24"/>
          <w:szCs w:val="24"/>
          <w:rtl/>
        </w:rPr>
        <w:t xml:space="preserve">בהן ניתן רישיון לבנק דיגיטלי (בכתום) לעומת תוחלת המדד הנמוכה יותר לבנקים הפועלים במדינות 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ש</w:t>
      </w:r>
      <w:r w:rsidR="0053650B" w:rsidRPr="00A435A6">
        <w:rPr>
          <w:rFonts w:ascii="David" w:eastAsiaTheme="minorHAnsi" w:hAnsi="David" w:cs="David"/>
          <w:sz w:val="24"/>
          <w:szCs w:val="24"/>
          <w:rtl/>
        </w:rPr>
        <w:t xml:space="preserve">בהן לא ניתן רישיון לבנק דיגיטלי (בכחול).  </w:t>
      </w:r>
    </w:p>
    <w:p w14:paraId="22AF0FC3" w14:textId="77777777" w:rsidR="00EE1FEC" w:rsidRPr="00A435A6" w:rsidRDefault="00DD52D9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המחקר מאפשר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 להציג את ההתפתחויות שהיו בבנקים בעולם ובישראל בגישה חדשה. ברמה המקומית, הבנקים הישראלי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י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>ם</w:t>
      </w:r>
      <w:r w:rsidR="00AD35B8" w:rsidRPr="00A435A6">
        <w:rPr>
          <w:rFonts w:ascii="David" w:eastAsiaTheme="minorHAnsi" w:hAnsi="David" w:cs="David"/>
          <w:sz w:val="24"/>
          <w:szCs w:val="24"/>
          <w:rtl/>
        </w:rPr>
        <w:t xml:space="preserve"> לא בלטו בגובה המדד בעשור הקודם.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 xml:space="preserve">על פי הספרות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הנטייה של בנקים 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 xml:space="preserve">לחדשנות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>עולה ככל ש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>פינטק מתבסס במדינה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 xml:space="preserve">; אם כך,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רגולציה תומכת חדשנות </w:t>
      </w:r>
      <w:r w:rsidR="002B7EFD" w:rsidRPr="00A435A6">
        <w:rPr>
          <w:rFonts w:ascii="David" w:eastAsiaTheme="minorHAnsi" w:hAnsi="David" w:cs="David"/>
          <w:sz w:val="24"/>
          <w:szCs w:val="24"/>
          <w:rtl/>
        </w:rPr>
        <w:t xml:space="preserve">בבנקאות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 xml:space="preserve">היא 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 xml:space="preserve">גורם מהותי </w:t>
      </w:r>
      <w:r w:rsidR="00F26103" w:rsidRPr="00A435A6">
        <w:rPr>
          <w:rFonts w:ascii="David" w:eastAsiaTheme="minorHAnsi" w:hAnsi="David" w:cs="David"/>
          <w:sz w:val="24"/>
          <w:szCs w:val="24"/>
          <w:rtl/>
        </w:rPr>
        <w:t>לשימור התחרות בשירותים הבנקאיים לקראת כנ</w:t>
      </w:r>
      <w:r w:rsidR="00AD35B8" w:rsidRPr="00A435A6">
        <w:rPr>
          <w:rFonts w:ascii="David" w:eastAsiaTheme="minorHAnsi" w:hAnsi="David" w:cs="David"/>
          <w:sz w:val="24"/>
          <w:szCs w:val="24"/>
          <w:rtl/>
        </w:rPr>
        <w:t xml:space="preserve">יסתן של חברות טכנולוגיה גדולות. </w:t>
      </w:r>
    </w:p>
    <w:p w14:paraId="15A0AB39" w14:textId="7701D232" w:rsidR="00EE1FEC" w:rsidRPr="00A435A6" w:rsidRDefault="004D7A3E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בתקופה שבחן המחקר המהפכה הדיגיטלית בענף הבנקאות</w:t>
      </w:r>
      <w:r w:rsidR="00EE1FEC" w:rsidRPr="00A435A6">
        <w:rPr>
          <w:rFonts w:ascii="David" w:eastAsiaTheme="minorHAnsi" w:hAnsi="David" w:cs="David"/>
          <w:sz w:val="24"/>
          <w:szCs w:val="24"/>
          <w:rtl/>
        </w:rPr>
        <w:t xml:space="preserve"> בישראל ובעולם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טרם הושלמה. </w:t>
      </w:r>
      <w:r w:rsidR="00EE1FEC" w:rsidRPr="00A435A6">
        <w:rPr>
          <w:rFonts w:ascii="David" w:eastAsiaTheme="minorHAnsi" w:hAnsi="David" w:cs="David"/>
          <w:sz w:val="24"/>
          <w:szCs w:val="24"/>
          <w:rtl/>
        </w:rPr>
        <w:t xml:space="preserve">בסוף תקופת המדגם הועמד רישיון לבנק דיגיטלי בישראל, ובעשור העוקב עלה השימוש בדיגיטציה בתקופת הקורונה, השפעות אלה טרם נבחנו במחקר זה. </w:t>
      </w:r>
    </w:p>
    <w:p w14:paraId="70C53F0C" w14:textId="1A0E8A9B" w:rsidR="004D7A3E" w:rsidRPr="00A435A6" w:rsidRDefault="004D7A3E" w:rsidP="00A435A6">
      <w:pPr>
        <w:spacing w:line="360" w:lineRule="auto"/>
        <w:jc w:val="both"/>
        <w:rPr>
          <w:rFonts w:ascii="David" w:eastAsiaTheme="minorHAnsi" w:hAnsi="David" w:cs="David"/>
          <w:sz w:val="24"/>
          <w:szCs w:val="24"/>
          <w:rtl/>
        </w:rPr>
      </w:pPr>
      <w:r w:rsidRPr="00A435A6">
        <w:rPr>
          <w:rFonts w:ascii="David" w:eastAsiaTheme="minorHAnsi" w:hAnsi="David" w:cs="David"/>
          <w:sz w:val="24"/>
          <w:szCs w:val="24"/>
          <w:rtl/>
        </w:rPr>
        <w:t>עם זאת</w:t>
      </w:r>
      <w:r w:rsidR="00EE1FEC" w:rsidRPr="00A435A6">
        <w:rPr>
          <w:rFonts w:ascii="David" w:eastAsiaTheme="minorHAnsi" w:hAnsi="David" w:cs="David"/>
          <w:sz w:val="24"/>
          <w:szCs w:val="24"/>
          <w:rtl/>
        </w:rPr>
        <w:t>,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 נמצא </w:t>
      </w:r>
      <w:r w:rsidR="00206B81" w:rsidRPr="00A435A6">
        <w:rPr>
          <w:rFonts w:ascii="David" w:eastAsiaTheme="minorHAnsi" w:hAnsi="David" w:cs="David"/>
          <w:sz w:val="24"/>
          <w:szCs w:val="24"/>
          <w:rtl/>
        </w:rPr>
        <w:t>ביטוי ראשוני ל</w:t>
      </w:r>
      <w:r w:rsidRPr="00A435A6">
        <w:rPr>
          <w:rFonts w:ascii="David" w:eastAsiaTheme="minorHAnsi" w:hAnsi="David" w:cs="David"/>
          <w:sz w:val="24"/>
          <w:szCs w:val="24"/>
          <w:rtl/>
        </w:rPr>
        <w:t>מתאם חיובי בין המדד ל</w:t>
      </w:r>
      <w:r w:rsidR="009B26A6" w:rsidRPr="00A435A6">
        <w:rPr>
          <w:rFonts w:ascii="David" w:eastAsiaTheme="minorHAnsi" w:hAnsi="David" w:cs="David"/>
          <w:sz w:val="24"/>
          <w:szCs w:val="24"/>
          <w:rtl/>
        </w:rPr>
        <w:t>ב</w:t>
      </w:r>
      <w:r w:rsidR="008C72C9" w:rsidRPr="00A435A6">
        <w:rPr>
          <w:rFonts w:ascii="David" w:eastAsiaTheme="minorHAnsi" w:hAnsi="David" w:cs="David"/>
          <w:sz w:val="24"/>
          <w:szCs w:val="24"/>
          <w:rtl/>
        </w:rPr>
        <w:t>ין 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רווחיות של בנק (יחס </w:t>
      </w:r>
      <w:r w:rsidR="008C72C9" w:rsidRPr="00A435A6">
        <w:rPr>
          <w:rFonts w:ascii="David" w:eastAsiaTheme="minorHAnsi" w:hAnsi="David" w:cs="David"/>
          <w:sz w:val="24"/>
          <w:szCs w:val="24"/>
          <w:rtl/>
        </w:rPr>
        <w:t>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הכנסות מעמלות 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>להוצאות ה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תפעוליות). 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>הסבר אפשרי לכך הוא</w:t>
      </w:r>
      <w:r w:rsidR="008C72C9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Pr="00A435A6">
        <w:rPr>
          <w:rFonts w:ascii="David" w:eastAsiaTheme="minorHAnsi" w:hAnsi="David" w:cs="David"/>
          <w:sz w:val="24"/>
          <w:szCs w:val="24"/>
          <w:rtl/>
        </w:rPr>
        <w:t xml:space="preserve">שעם העלייה בדיגיטציה עולה מספר הפעולות 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>שה</w:t>
      </w:r>
      <w:r w:rsidRPr="00A435A6">
        <w:rPr>
          <w:rFonts w:ascii="David" w:eastAsiaTheme="minorHAnsi" w:hAnsi="David" w:cs="David"/>
          <w:sz w:val="24"/>
          <w:szCs w:val="24"/>
          <w:rtl/>
        </w:rPr>
        <w:t>לקוחות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 xml:space="preserve"> מבצעים</w:t>
      </w:r>
      <w:r w:rsidR="002744A4" w:rsidRPr="00A435A6">
        <w:rPr>
          <w:rFonts w:ascii="David" w:eastAsiaTheme="minorHAnsi" w:hAnsi="David" w:cs="David"/>
          <w:sz w:val="24"/>
          <w:szCs w:val="24"/>
          <w:rtl/>
        </w:rPr>
        <w:t xml:space="preserve"> (מפני הקלוּת</w:t>
      </w:r>
      <w:r w:rsidR="00796017" w:rsidRPr="00A435A6">
        <w:rPr>
          <w:rFonts w:ascii="David" w:eastAsiaTheme="minorHAnsi" w:hAnsi="David" w:cs="David"/>
          <w:sz w:val="24"/>
          <w:szCs w:val="24"/>
          <w:rtl/>
        </w:rPr>
        <w:t xml:space="preserve"> והמיידיות</w:t>
      </w:r>
      <w:r w:rsidR="002744A4" w:rsidRPr="00A435A6">
        <w:rPr>
          <w:rFonts w:ascii="David" w:eastAsiaTheme="minorHAnsi" w:hAnsi="David" w:cs="David"/>
          <w:sz w:val="24"/>
          <w:szCs w:val="24"/>
          <w:rtl/>
        </w:rPr>
        <w:t xml:space="preserve"> שבדבר</w:t>
      </w:r>
      <w:r w:rsidR="00796017" w:rsidRPr="00A435A6">
        <w:rPr>
          <w:rFonts w:ascii="David" w:eastAsiaTheme="minorHAnsi" w:hAnsi="David" w:cs="David"/>
          <w:sz w:val="24"/>
          <w:szCs w:val="24"/>
          <w:rtl/>
        </w:rPr>
        <w:t>),</w:t>
      </w:r>
      <w:r w:rsidR="00206B81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>ו</w:t>
      </w:r>
      <w:r w:rsidR="002744A4" w:rsidRPr="00A435A6">
        <w:rPr>
          <w:rFonts w:ascii="David" w:eastAsiaTheme="minorHAnsi" w:hAnsi="David" w:cs="David"/>
          <w:sz w:val="24"/>
          <w:szCs w:val="24"/>
          <w:rtl/>
        </w:rPr>
        <w:t xml:space="preserve">במקביל </w:t>
      </w:r>
      <w:r w:rsidRPr="00A435A6">
        <w:rPr>
          <w:rFonts w:ascii="David" w:eastAsiaTheme="minorHAnsi" w:hAnsi="David" w:cs="David"/>
          <w:sz w:val="24"/>
          <w:szCs w:val="24"/>
          <w:rtl/>
        </w:rPr>
        <w:t>פעילות הבנק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 xml:space="preserve"> מתייעלת</w:t>
      </w:r>
      <w:r w:rsidR="002744A4" w:rsidRPr="00A435A6">
        <w:rPr>
          <w:rFonts w:ascii="David" w:eastAsiaTheme="minorHAnsi" w:hAnsi="David" w:cs="David"/>
          <w:sz w:val="24"/>
          <w:szCs w:val="24"/>
        </w:rPr>
        <w:t xml:space="preserve"> </w:t>
      </w:r>
      <w:r w:rsidR="00796017" w:rsidRPr="00A435A6">
        <w:rPr>
          <w:rFonts w:ascii="David" w:eastAsiaTheme="minorHAnsi" w:hAnsi="David" w:cs="David"/>
          <w:sz w:val="24"/>
          <w:szCs w:val="24"/>
          <w:rtl/>
        </w:rPr>
        <w:t>(</w:t>
      </w:r>
      <w:r w:rsidR="00206B81" w:rsidRPr="00A435A6">
        <w:rPr>
          <w:rFonts w:ascii="David" w:eastAsiaTheme="minorHAnsi" w:hAnsi="David" w:cs="David"/>
          <w:sz w:val="24"/>
          <w:szCs w:val="24"/>
          <w:rtl/>
        </w:rPr>
        <w:t>משום ש</w:t>
      </w:r>
      <w:r w:rsidR="002744A4" w:rsidRPr="00A435A6">
        <w:rPr>
          <w:rFonts w:ascii="David" w:eastAsiaTheme="minorHAnsi" w:hAnsi="David" w:cs="David"/>
          <w:sz w:val="24"/>
          <w:szCs w:val="24"/>
          <w:rtl/>
        </w:rPr>
        <w:t>דרושים פחות פקידים)</w:t>
      </w:r>
      <w:r w:rsidR="00796017" w:rsidRPr="00A435A6">
        <w:rPr>
          <w:rFonts w:ascii="David" w:eastAsiaTheme="minorHAnsi" w:hAnsi="David" w:cs="David"/>
          <w:sz w:val="24"/>
          <w:szCs w:val="24"/>
          <w:rtl/>
        </w:rPr>
        <w:t>.</w:t>
      </w:r>
      <w:r w:rsidR="003065F9" w:rsidRPr="00A435A6">
        <w:rPr>
          <w:rFonts w:ascii="David" w:eastAsiaTheme="minorHAnsi" w:hAnsi="David" w:cs="David"/>
          <w:sz w:val="24"/>
          <w:szCs w:val="24"/>
          <w:rtl/>
        </w:rPr>
        <w:t xml:space="preserve"> </w:t>
      </w:r>
    </w:p>
    <w:p w14:paraId="5A10AF1C" w14:textId="77777777" w:rsidR="00730D78" w:rsidRPr="00A435A6" w:rsidRDefault="00730D78" w:rsidP="00730D7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4D1AB9D6" w14:textId="77777777" w:rsidR="005463F7" w:rsidRPr="00A435A6" w:rsidRDefault="005463F7" w:rsidP="005463F7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15581977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6FD5B216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741DD73F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2975A7E0" w14:textId="794474A3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  <w:bookmarkStart w:id="0" w:name="_GoBack"/>
      <w:bookmarkEnd w:id="0"/>
    </w:p>
    <w:p w14:paraId="21B61086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60A4977B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2554295E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28C3D344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7B8CA28E" w14:textId="77777777" w:rsidR="00C4466B" w:rsidRPr="00A435A6" w:rsidRDefault="00C4466B" w:rsidP="00A51DB8">
      <w:pPr>
        <w:jc w:val="both"/>
        <w:rPr>
          <w:rFonts w:ascii="David" w:eastAsiaTheme="minorHAnsi" w:hAnsi="David" w:cs="David"/>
          <w:sz w:val="24"/>
          <w:szCs w:val="24"/>
          <w:rtl/>
        </w:rPr>
      </w:pPr>
    </w:p>
    <w:p w14:paraId="5D450D08" w14:textId="77777777" w:rsidR="00A51DB8" w:rsidRPr="00A435A6" w:rsidRDefault="00A51DB8" w:rsidP="00A51DB8">
      <w:pPr>
        <w:pStyle w:val="a6"/>
        <w:jc w:val="center"/>
        <w:rPr>
          <w:rFonts w:ascii="David" w:eastAsiaTheme="minorHAnsi" w:hAnsi="David" w:cs="David"/>
          <w:sz w:val="24"/>
          <w:szCs w:val="24"/>
          <w:rtl/>
        </w:rPr>
      </w:pPr>
    </w:p>
    <w:p w14:paraId="3D11D807" w14:textId="77777777" w:rsidR="00A51DB8" w:rsidRPr="00A435A6" w:rsidRDefault="00A51DB8" w:rsidP="00A51DB8">
      <w:pPr>
        <w:pStyle w:val="a6"/>
        <w:ind w:left="1440"/>
        <w:rPr>
          <w:rFonts w:ascii="David" w:eastAsiaTheme="minorHAnsi" w:hAnsi="David" w:cs="David"/>
          <w:sz w:val="24"/>
          <w:szCs w:val="24"/>
          <w:rtl/>
        </w:rPr>
      </w:pPr>
    </w:p>
    <w:p w14:paraId="70996280" w14:textId="77777777" w:rsidR="00A51DB8" w:rsidRPr="00A435A6" w:rsidRDefault="00A51DB8" w:rsidP="00A51DB8">
      <w:pPr>
        <w:pStyle w:val="a6"/>
        <w:ind w:left="2160"/>
        <w:rPr>
          <w:rFonts w:ascii="David" w:eastAsiaTheme="minorHAnsi" w:hAnsi="David" w:cs="David"/>
          <w:sz w:val="24"/>
          <w:szCs w:val="24"/>
          <w:rtl/>
        </w:rPr>
      </w:pPr>
    </w:p>
    <w:p w14:paraId="4764C029" w14:textId="77777777" w:rsidR="00A51DB8" w:rsidRPr="00A435A6" w:rsidRDefault="00A51DB8" w:rsidP="00A51DB8">
      <w:pPr>
        <w:pStyle w:val="a6"/>
        <w:rPr>
          <w:rFonts w:ascii="David" w:eastAsiaTheme="minorHAnsi" w:hAnsi="David" w:cs="David"/>
          <w:sz w:val="24"/>
          <w:szCs w:val="24"/>
          <w:rtl/>
        </w:rPr>
      </w:pPr>
    </w:p>
    <w:sectPr w:rsidR="00A51DB8" w:rsidRPr="00A435A6" w:rsidSect="006576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01B1E" w16cid:durableId="24C46B97"/>
  <w16cid:commentId w16cid:paraId="007D019A" w16cid:durableId="24C46B98"/>
  <w16cid:commentId w16cid:paraId="56B33128" w16cid:durableId="24C46B99"/>
  <w16cid:commentId w16cid:paraId="3371BEEC" w16cid:durableId="24C46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997A" w14:textId="77777777" w:rsidR="009F20C5" w:rsidRDefault="009F20C5" w:rsidP="00721CD1">
      <w:pPr>
        <w:spacing w:after="0" w:line="240" w:lineRule="auto"/>
      </w:pPr>
      <w:r>
        <w:separator/>
      </w:r>
    </w:p>
  </w:endnote>
  <w:endnote w:type="continuationSeparator" w:id="0">
    <w:p w14:paraId="7EAD90A8" w14:textId="77777777" w:rsidR="009F20C5" w:rsidRDefault="009F20C5" w:rsidP="0072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3B66" w14:textId="77777777" w:rsidR="00A435A6" w:rsidRDefault="00A435A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BA17" w14:textId="77777777" w:rsidR="0024131C" w:rsidRPr="00A435A6" w:rsidRDefault="0024131C" w:rsidP="00A435A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BAAD" w14:textId="77777777" w:rsidR="00A435A6" w:rsidRDefault="00A435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78589" w14:textId="77777777" w:rsidR="009F20C5" w:rsidRDefault="009F20C5" w:rsidP="00721CD1">
      <w:pPr>
        <w:spacing w:after="0" w:line="240" w:lineRule="auto"/>
      </w:pPr>
      <w:r>
        <w:separator/>
      </w:r>
    </w:p>
  </w:footnote>
  <w:footnote w:type="continuationSeparator" w:id="0">
    <w:p w14:paraId="3A71719C" w14:textId="77777777" w:rsidR="009F20C5" w:rsidRDefault="009F20C5" w:rsidP="00721CD1">
      <w:pPr>
        <w:spacing w:after="0" w:line="240" w:lineRule="auto"/>
      </w:pPr>
      <w:r>
        <w:continuationSeparator/>
      </w:r>
    </w:p>
  </w:footnote>
  <w:footnote w:id="1">
    <w:p w14:paraId="1F967A81" w14:textId="77777777" w:rsidR="0024131C" w:rsidRDefault="0024131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הדגימה אקראית ואינה מכסה את כל המערכת הבנקאית במדינות הנבחרות.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F176" w14:textId="77777777" w:rsidR="00A435A6" w:rsidRDefault="00A435A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595C" w14:textId="77777777" w:rsidR="00A435A6" w:rsidRDefault="00A435A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7CFC" w14:textId="77777777" w:rsidR="00A435A6" w:rsidRDefault="00A435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707DA"/>
    <w:multiLevelType w:val="hybridMultilevel"/>
    <w:tmpl w:val="F17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EE"/>
    <w:rsid w:val="00005E32"/>
    <w:rsid w:val="00006DE6"/>
    <w:rsid w:val="000303F9"/>
    <w:rsid w:val="000324D3"/>
    <w:rsid w:val="00036328"/>
    <w:rsid w:val="0004097D"/>
    <w:rsid w:val="000467C9"/>
    <w:rsid w:val="00054D3D"/>
    <w:rsid w:val="00060AFA"/>
    <w:rsid w:val="00075965"/>
    <w:rsid w:val="00080122"/>
    <w:rsid w:val="000926E6"/>
    <w:rsid w:val="00095D1B"/>
    <w:rsid w:val="000B28D1"/>
    <w:rsid w:val="000B4583"/>
    <w:rsid w:val="000C2C89"/>
    <w:rsid w:val="000C5C1B"/>
    <w:rsid w:val="000E7D12"/>
    <w:rsid w:val="000F631A"/>
    <w:rsid w:val="001000F5"/>
    <w:rsid w:val="00100D08"/>
    <w:rsid w:val="00110EF2"/>
    <w:rsid w:val="00115C77"/>
    <w:rsid w:val="00132A09"/>
    <w:rsid w:val="001354D3"/>
    <w:rsid w:val="00141DB0"/>
    <w:rsid w:val="001421FE"/>
    <w:rsid w:val="00161AE8"/>
    <w:rsid w:val="001667EB"/>
    <w:rsid w:val="00166861"/>
    <w:rsid w:val="00185464"/>
    <w:rsid w:val="001A3D82"/>
    <w:rsid w:val="001B2D88"/>
    <w:rsid w:val="001D64D7"/>
    <w:rsid w:val="001E1BE8"/>
    <w:rsid w:val="001F1E8A"/>
    <w:rsid w:val="001F362C"/>
    <w:rsid w:val="002029EC"/>
    <w:rsid w:val="0020586F"/>
    <w:rsid w:val="00206B81"/>
    <w:rsid w:val="002241FB"/>
    <w:rsid w:val="00225C23"/>
    <w:rsid w:val="00225D7F"/>
    <w:rsid w:val="00233A86"/>
    <w:rsid w:val="0024131C"/>
    <w:rsid w:val="002434E6"/>
    <w:rsid w:val="00243BF4"/>
    <w:rsid w:val="002611E2"/>
    <w:rsid w:val="002744A4"/>
    <w:rsid w:val="00284829"/>
    <w:rsid w:val="002A299E"/>
    <w:rsid w:val="002A7258"/>
    <w:rsid w:val="002B31A3"/>
    <w:rsid w:val="002B7EFD"/>
    <w:rsid w:val="002C5E9F"/>
    <w:rsid w:val="002C6073"/>
    <w:rsid w:val="00300284"/>
    <w:rsid w:val="00305A95"/>
    <w:rsid w:val="003065F9"/>
    <w:rsid w:val="003233A5"/>
    <w:rsid w:val="00331B4F"/>
    <w:rsid w:val="00336D89"/>
    <w:rsid w:val="00343DF7"/>
    <w:rsid w:val="00361D39"/>
    <w:rsid w:val="003768CD"/>
    <w:rsid w:val="00393930"/>
    <w:rsid w:val="003A1ECF"/>
    <w:rsid w:val="003A5747"/>
    <w:rsid w:val="003E6B6A"/>
    <w:rsid w:val="003F25AD"/>
    <w:rsid w:val="003F337F"/>
    <w:rsid w:val="00404A3E"/>
    <w:rsid w:val="00412182"/>
    <w:rsid w:val="004350C1"/>
    <w:rsid w:val="004351B0"/>
    <w:rsid w:val="00442531"/>
    <w:rsid w:val="004437F0"/>
    <w:rsid w:val="00450AE0"/>
    <w:rsid w:val="00454386"/>
    <w:rsid w:val="004574AA"/>
    <w:rsid w:val="00477D3A"/>
    <w:rsid w:val="00483FB7"/>
    <w:rsid w:val="00496EB3"/>
    <w:rsid w:val="004B37D8"/>
    <w:rsid w:val="004B7231"/>
    <w:rsid w:val="004C63A6"/>
    <w:rsid w:val="004D3096"/>
    <w:rsid w:val="004D7A3E"/>
    <w:rsid w:val="004E3F53"/>
    <w:rsid w:val="0051632B"/>
    <w:rsid w:val="00527D35"/>
    <w:rsid w:val="0053650B"/>
    <w:rsid w:val="005463F7"/>
    <w:rsid w:val="005575F2"/>
    <w:rsid w:val="00561BA8"/>
    <w:rsid w:val="005812A7"/>
    <w:rsid w:val="005857AE"/>
    <w:rsid w:val="00585F8C"/>
    <w:rsid w:val="005A4693"/>
    <w:rsid w:val="005B602D"/>
    <w:rsid w:val="005D24A8"/>
    <w:rsid w:val="005F33A5"/>
    <w:rsid w:val="00635EF6"/>
    <w:rsid w:val="0065174E"/>
    <w:rsid w:val="0065766F"/>
    <w:rsid w:val="0066350B"/>
    <w:rsid w:val="00687221"/>
    <w:rsid w:val="006A1AE0"/>
    <w:rsid w:val="006B3AD9"/>
    <w:rsid w:val="006C704E"/>
    <w:rsid w:val="006E6376"/>
    <w:rsid w:val="006E7599"/>
    <w:rsid w:val="00721CD1"/>
    <w:rsid w:val="00725595"/>
    <w:rsid w:val="007304C8"/>
    <w:rsid w:val="00730D78"/>
    <w:rsid w:val="007340AA"/>
    <w:rsid w:val="007344B8"/>
    <w:rsid w:val="00737B1C"/>
    <w:rsid w:val="00747EE1"/>
    <w:rsid w:val="007535E3"/>
    <w:rsid w:val="00765601"/>
    <w:rsid w:val="007666D9"/>
    <w:rsid w:val="00775520"/>
    <w:rsid w:val="00796017"/>
    <w:rsid w:val="007D08A8"/>
    <w:rsid w:val="007F25D7"/>
    <w:rsid w:val="00810A07"/>
    <w:rsid w:val="0084748B"/>
    <w:rsid w:val="00851209"/>
    <w:rsid w:val="00857858"/>
    <w:rsid w:val="008621F9"/>
    <w:rsid w:val="00863442"/>
    <w:rsid w:val="008651CF"/>
    <w:rsid w:val="008700EF"/>
    <w:rsid w:val="00875F71"/>
    <w:rsid w:val="00886339"/>
    <w:rsid w:val="00893864"/>
    <w:rsid w:val="00893999"/>
    <w:rsid w:val="00894632"/>
    <w:rsid w:val="00894EB9"/>
    <w:rsid w:val="008A2A60"/>
    <w:rsid w:val="008C28BC"/>
    <w:rsid w:val="008C72C9"/>
    <w:rsid w:val="008E2887"/>
    <w:rsid w:val="008E5DFD"/>
    <w:rsid w:val="00905EBA"/>
    <w:rsid w:val="0091658E"/>
    <w:rsid w:val="00965CF9"/>
    <w:rsid w:val="0096693A"/>
    <w:rsid w:val="00977651"/>
    <w:rsid w:val="00985FE7"/>
    <w:rsid w:val="00990BAD"/>
    <w:rsid w:val="0099235A"/>
    <w:rsid w:val="009A0E44"/>
    <w:rsid w:val="009A5684"/>
    <w:rsid w:val="009B26A6"/>
    <w:rsid w:val="009B49DE"/>
    <w:rsid w:val="009E15DD"/>
    <w:rsid w:val="009F0ADA"/>
    <w:rsid w:val="009F20C5"/>
    <w:rsid w:val="00A14C5D"/>
    <w:rsid w:val="00A15930"/>
    <w:rsid w:val="00A17606"/>
    <w:rsid w:val="00A24E7B"/>
    <w:rsid w:val="00A435A6"/>
    <w:rsid w:val="00A51DB8"/>
    <w:rsid w:val="00A6165B"/>
    <w:rsid w:val="00A67646"/>
    <w:rsid w:val="00A745B3"/>
    <w:rsid w:val="00A865B3"/>
    <w:rsid w:val="00A922C1"/>
    <w:rsid w:val="00AA1B33"/>
    <w:rsid w:val="00AC4705"/>
    <w:rsid w:val="00AC5520"/>
    <w:rsid w:val="00AC5E14"/>
    <w:rsid w:val="00AD35B8"/>
    <w:rsid w:val="00AD4391"/>
    <w:rsid w:val="00AD6887"/>
    <w:rsid w:val="00B04862"/>
    <w:rsid w:val="00B05E6F"/>
    <w:rsid w:val="00B2184F"/>
    <w:rsid w:val="00B57533"/>
    <w:rsid w:val="00B62FC1"/>
    <w:rsid w:val="00B6745D"/>
    <w:rsid w:val="00B9786F"/>
    <w:rsid w:val="00BB74BC"/>
    <w:rsid w:val="00BC2677"/>
    <w:rsid w:val="00BE40B7"/>
    <w:rsid w:val="00BE4C60"/>
    <w:rsid w:val="00BF3D2F"/>
    <w:rsid w:val="00C03A93"/>
    <w:rsid w:val="00C06EA1"/>
    <w:rsid w:val="00C10707"/>
    <w:rsid w:val="00C33868"/>
    <w:rsid w:val="00C36A69"/>
    <w:rsid w:val="00C4466B"/>
    <w:rsid w:val="00C5280A"/>
    <w:rsid w:val="00C6546B"/>
    <w:rsid w:val="00C662A2"/>
    <w:rsid w:val="00C66D4E"/>
    <w:rsid w:val="00C7002D"/>
    <w:rsid w:val="00C71BB0"/>
    <w:rsid w:val="00C92331"/>
    <w:rsid w:val="00CB418F"/>
    <w:rsid w:val="00CB5C4E"/>
    <w:rsid w:val="00CE1994"/>
    <w:rsid w:val="00CF681E"/>
    <w:rsid w:val="00D06F22"/>
    <w:rsid w:val="00D42B24"/>
    <w:rsid w:val="00D5213E"/>
    <w:rsid w:val="00D700A2"/>
    <w:rsid w:val="00D819DB"/>
    <w:rsid w:val="00D819F8"/>
    <w:rsid w:val="00D83D61"/>
    <w:rsid w:val="00DA2F06"/>
    <w:rsid w:val="00DA3644"/>
    <w:rsid w:val="00DA56F9"/>
    <w:rsid w:val="00DD2615"/>
    <w:rsid w:val="00DD2AB9"/>
    <w:rsid w:val="00DD52D9"/>
    <w:rsid w:val="00DD5C1E"/>
    <w:rsid w:val="00DD74EE"/>
    <w:rsid w:val="00DE5B25"/>
    <w:rsid w:val="00DF501A"/>
    <w:rsid w:val="00E12A32"/>
    <w:rsid w:val="00E173F2"/>
    <w:rsid w:val="00E2000B"/>
    <w:rsid w:val="00E20D54"/>
    <w:rsid w:val="00E33885"/>
    <w:rsid w:val="00E626A5"/>
    <w:rsid w:val="00E67DA1"/>
    <w:rsid w:val="00E715C6"/>
    <w:rsid w:val="00E717D2"/>
    <w:rsid w:val="00E81C78"/>
    <w:rsid w:val="00E82A0F"/>
    <w:rsid w:val="00E94520"/>
    <w:rsid w:val="00EC06D4"/>
    <w:rsid w:val="00EC6963"/>
    <w:rsid w:val="00EC6AA1"/>
    <w:rsid w:val="00EE1FEC"/>
    <w:rsid w:val="00F13363"/>
    <w:rsid w:val="00F160A0"/>
    <w:rsid w:val="00F16A2B"/>
    <w:rsid w:val="00F2542F"/>
    <w:rsid w:val="00F26103"/>
    <w:rsid w:val="00F438A3"/>
    <w:rsid w:val="00F552C4"/>
    <w:rsid w:val="00F677B0"/>
    <w:rsid w:val="00F767C9"/>
    <w:rsid w:val="00F91D23"/>
    <w:rsid w:val="00F9455F"/>
    <w:rsid w:val="00FA1323"/>
    <w:rsid w:val="00FA34D2"/>
    <w:rsid w:val="00FA56EF"/>
    <w:rsid w:val="00FA580A"/>
    <w:rsid w:val="00FA687D"/>
    <w:rsid w:val="00FB0727"/>
    <w:rsid w:val="00FB0EE2"/>
    <w:rsid w:val="00FB11AB"/>
    <w:rsid w:val="00FF364D"/>
    <w:rsid w:val="00FF597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C66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D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21CD1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721CD1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21CD1"/>
    <w:rPr>
      <w:vertAlign w:val="superscript"/>
    </w:rPr>
  </w:style>
  <w:style w:type="paragraph" w:styleId="a6">
    <w:name w:val="No Spacing"/>
    <w:uiPriority w:val="1"/>
    <w:qFormat/>
    <w:rsid w:val="00A51DB8"/>
    <w:pPr>
      <w:bidi/>
      <w:spacing w:after="0" w:line="240" w:lineRule="auto"/>
    </w:pPr>
    <w:rPr>
      <w:rFonts w:eastAsiaTheme="minorEastAsia"/>
    </w:rPr>
  </w:style>
  <w:style w:type="table" w:customStyle="1" w:styleId="31">
    <w:name w:val="טבלת רשימה 31"/>
    <w:basedOn w:val="a1"/>
    <w:uiPriority w:val="48"/>
    <w:rsid w:val="005D24A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7">
    <w:name w:val="List Paragraph"/>
    <w:basedOn w:val="a"/>
    <w:uiPriority w:val="34"/>
    <w:qFormat/>
    <w:rsid w:val="008C2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AF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60AFA"/>
    <w:rPr>
      <w:rFonts w:ascii="Tahoma" w:eastAsiaTheme="minorEastAsia" w:hAnsi="Tahoma" w:cs="Tahoma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41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131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4131C"/>
    <w:rPr>
      <w:rFonts w:eastAsiaTheme="minorEastAsia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131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4131C"/>
    <w:rPr>
      <w:rFonts w:eastAsiaTheme="minorEastAsia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24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עליונה תו"/>
    <w:basedOn w:val="a0"/>
    <w:link w:val="af"/>
    <w:uiPriority w:val="99"/>
    <w:rsid w:val="0024131C"/>
    <w:rPr>
      <w:rFonts w:eastAsiaTheme="minorEastAsia"/>
    </w:rPr>
  </w:style>
  <w:style w:type="paragraph" w:styleId="af1">
    <w:name w:val="footer"/>
    <w:basedOn w:val="a"/>
    <w:link w:val="af2"/>
    <w:uiPriority w:val="99"/>
    <w:unhideWhenUsed/>
    <w:rsid w:val="00241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24131C"/>
    <w:rPr>
      <w:rFonts w:eastAsiaTheme="minorEastAsia"/>
    </w:rPr>
  </w:style>
  <w:style w:type="paragraph" w:styleId="af3">
    <w:name w:val="Revision"/>
    <w:hidden/>
    <w:uiPriority w:val="99"/>
    <w:semiHidden/>
    <w:rsid w:val="00E12A3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[panel 2020 for stata june 2021.xlsx  עיבודים להודעות לעתונות.xlsx]להודעה - רגולטור !PivotTable29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1400"/>
              <a:t>השפעה </a:t>
            </a:r>
            <a:r>
              <a:rPr lang="he-IL" sz="1400" baseline="0"/>
              <a:t>של </a:t>
            </a:r>
            <a:r>
              <a:rPr lang="he-IL" sz="1400"/>
              <a:t>העמדת רישיון לבנק דיגיטלי</a:t>
            </a:r>
            <a:r>
              <a:rPr lang="he-IL" sz="1400" baseline="0"/>
              <a:t> ללא סניפים </a:t>
            </a:r>
          </a:p>
          <a:p>
            <a:pPr>
              <a:defRPr/>
            </a:pPr>
            <a:r>
              <a:rPr lang="he-IL" sz="1400" baseline="0"/>
              <a:t>על מ</a:t>
            </a:r>
            <a:r>
              <a:rPr lang="he-IL" sz="1400"/>
              <a:t>דד</a:t>
            </a:r>
            <a:r>
              <a:rPr lang="he-IL" sz="1400" baseline="0"/>
              <a:t> לנטיה לחדשנות </a:t>
            </a:r>
          </a:p>
          <a:p>
            <a:pPr>
              <a:defRPr/>
            </a:pPr>
            <a:r>
              <a:rPr lang="he-IL" sz="1000" baseline="0"/>
              <a:t>נתונים גולמיים להמחשה המבטאים ממוצע של כל מדגם ללא פילוח בנק ומדינה</a:t>
            </a:r>
          </a:p>
        </c:rich>
      </c:tx>
      <c:layout>
        <c:manualLayout>
          <c:xMode val="edge"/>
          <c:yMode val="edge"/>
          <c:x val="0.15856612646017351"/>
          <c:y val="2.66435712199096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'להודעה - רגולטור '!$B$3:$B$4</c:f>
              <c:strCache>
                <c:ptCount val="1"/>
                <c:pt idx="0">
                  <c:v>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'להודעה - רגולטור '!$A$5:$A$13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'להודעה - רגולטור '!$B$5:$B$13</c:f>
              <c:numCache>
                <c:formatCode>General</c:formatCode>
                <c:ptCount val="8"/>
                <c:pt idx="0">
                  <c:v>9.7603137230616588E-3</c:v>
                </c:pt>
                <c:pt idx="1">
                  <c:v>1.5284398953173675E-2</c:v>
                </c:pt>
                <c:pt idx="2">
                  <c:v>2.052872349146883E-2</c:v>
                </c:pt>
                <c:pt idx="3">
                  <c:v>3.6298369612481673E-2</c:v>
                </c:pt>
                <c:pt idx="4">
                  <c:v>4.1758257244073081E-2</c:v>
                </c:pt>
                <c:pt idx="5">
                  <c:v>4.4852817169964011E-2</c:v>
                </c:pt>
                <c:pt idx="6">
                  <c:v>5.306850007671237E-2</c:v>
                </c:pt>
                <c:pt idx="7">
                  <c:v>4.9591469214675325E-2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C-41CE-905B-ABE40032BA1E}"/>
            </c:ext>
          </c:extLst>
        </c:ser>
        <c:ser>
          <c:idx val="1"/>
          <c:order val="1"/>
          <c:tx>
            <c:strRef>
              <c:f>'להודעה - רגולטור '!$C$3:$C$4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'להודעה - רגולטור '!$A$5:$A$13</c:f>
              <c:strCach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strCache>
            </c:strRef>
          </c:cat>
          <c:val>
            <c:numRef>
              <c:f>'להודעה - רגולטור '!$C$5:$C$13</c:f>
              <c:numCache>
                <c:formatCode>General</c:formatCode>
                <c:ptCount val="8"/>
                <c:pt idx="3">
                  <c:v>3.8767803286219447E-2</c:v>
                </c:pt>
                <c:pt idx="4">
                  <c:v>4.6244087657842027E-2</c:v>
                </c:pt>
                <c:pt idx="5">
                  <c:v>7.1895715558828899E-2</c:v>
                </c:pt>
                <c:pt idx="6">
                  <c:v>7.5856299343025305E-2</c:v>
                </c:pt>
                <c:pt idx="7">
                  <c:v>7.4659551635493759E-2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C-41CE-905B-ABE40032BA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54744432"/>
        <c:axId val="1054742136"/>
      </c:barChart>
      <c:catAx>
        <c:axId val="1054744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54742136"/>
        <c:crosses val="autoZero"/>
        <c:auto val="1"/>
        <c:lblAlgn val="ctr"/>
        <c:lblOffset val="100"/>
        <c:noMultiLvlLbl val="0"/>
      </c:catAx>
      <c:valAx>
        <c:axId val="1054742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054744432"/>
        <c:crosses val="autoZero"/>
        <c:crossBetween val="between"/>
      </c:valAx>
      <c:spPr>
        <a:solidFill>
          <a:schemeClr val="bg1">
            <a:lumMod val="95000"/>
          </a:schemeClr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775858701018258"/>
          <c:y val="0.92789564458559615"/>
          <c:w val="0.21964732081020319"/>
          <c:h val="5.31918352515973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6B252-D47A-4126-A39C-194CF37B960B}"/>
</file>

<file path=customXml/itemProps2.xml><?xml version="1.0" encoding="utf-8"?>
<ds:datastoreItem xmlns:ds="http://schemas.openxmlformats.org/officeDocument/2006/customXml" ds:itemID="{62511AF5-EFFB-4B62-8418-F5C46034C413}"/>
</file>

<file path=customXml/itemProps3.xml><?xml version="1.0" encoding="utf-8"?>
<ds:datastoreItem xmlns:ds="http://schemas.openxmlformats.org/officeDocument/2006/customXml" ds:itemID="{21011253-9A3E-46DC-8DF0-31C1AC7C5581}"/>
</file>

<file path=customXml/itemProps4.xml><?xml version="1.0" encoding="utf-8"?>
<ds:datastoreItem xmlns:ds="http://schemas.openxmlformats.org/officeDocument/2006/customXml" ds:itemID="{50126C1B-EB99-481A-B436-701C1BABC3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2021-10-12T06:54:00Z</dcterms:created>
  <dcterms:modified xsi:type="dcterms:W3CDTF">2021-10-12T06:54:00Z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