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8012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25FEA" w:rsidRDefault="002D3E8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25FEA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E25FEA" w:rsidRDefault="002D3E8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FEA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E25FEA" w:rsidRDefault="002D3E82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E25FE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25FEA" w:rsidRDefault="002D3E8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E25FEA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E25FEA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E25FEA">
              <w:rPr>
                <w:rFonts w:asciiTheme="minorHAnsi" w:hAnsiTheme="minorHAnsi" w:cstheme="minorHAnsi"/>
                <w:rtl/>
              </w:rPr>
              <w:fldChar w:fldCharType="begin"/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</w:rPr>
              <w:instrText>DATE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E25FEA">
              <w:rPr>
                <w:rFonts w:asciiTheme="minorHAnsi" w:hAnsiTheme="minorHAnsi" w:cstheme="minorHAnsi"/>
              </w:rPr>
              <w:instrText>d MMMM, yyyy" \h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‏י"ח אב, תשפ"ה</w:t>
            </w:r>
            <w:r w:rsidRPr="00E25FEA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E25FEA" w:rsidRDefault="002D3E82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E25FEA">
              <w:rPr>
                <w:rFonts w:asciiTheme="minorHAnsi" w:hAnsiTheme="minorHAnsi" w:cstheme="minorHAnsi"/>
                <w:rtl/>
              </w:rPr>
              <w:fldChar w:fldCharType="begin"/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E25FEA">
              <w:rPr>
                <w:rFonts w:asciiTheme="minorHAnsi" w:hAnsiTheme="minorHAnsi" w:cstheme="minorHAnsi"/>
              </w:rPr>
              <w:instrText>DATE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E25FEA">
              <w:rPr>
                <w:rFonts w:asciiTheme="minorHAnsi" w:hAnsiTheme="minorHAnsi" w:cstheme="minorHAnsi"/>
              </w:rPr>
              <w:instrText>d MMMM, yyyy</w:instrText>
            </w:r>
            <w:r w:rsidRPr="00E25FEA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E25FEA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‏12 אוגוסט, 2025</w:t>
            </w:r>
            <w:r w:rsidRPr="00E25FEA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D32A06" w:rsidRDefault="002D3E82" w:rsidP="00D32A06">
      <w:p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rtl/>
          <w:lang w:val="" w:eastAsia="" w:bidi="ar-SA"/>
        </w:rPr>
      </w:pP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بيان صحفي</w:t>
      </w:r>
    </w:p>
    <w:p w:rsidR="00D32A06" w:rsidRPr="002D3E82" w:rsidRDefault="002D3E82" w:rsidP="002D3E82">
      <w:pPr>
        <w:pStyle w:val="2"/>
        <w:shd w:val="clear" w:color="auto" w:fill="FFFFFF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"/>
        </w:rPr>
      </w:pPr>
      <w:r w:rsidRPr="002D3E82">
        <w:rPr>
          <w:rFonts w:ascii="Calibri" w:eastAsia="Times New Roman" w:hAnsi="Calibri" w:cs="Calibri"/>
          <w:b/>
          <w:bCs/>
          <w:color w:val="auto"/>
          <w:sz w:val="24"/>
          <w:szCs w:val="24"/>
          <w:rtl/>
          <w:lang w:val="" w:eastAsia="" w:bidi="ar-SA"/>
        </w:rPr>
        <w:t>احتياطي النقد الأجنبي لدى بنك إسرائيل لشهر</w:t>
      </w:r>
      <w:r w:rsidRPr="002D3E82">
        <w:rPr>
          <w:rFonts w:ascii="Calibri" w:eastAsia="Times New Roman" w:hAnsi="Calibri" w:cs="Calibri"/>
          <w:b/>
          <w:bCs/>
          <w:color w:val="auto"/>
          <w:sz w:val="24"/>
          <w:szCs w:val="24"/>
          <w:rtl/>
          <w:lang w:val="" w:eastAsia="" w:bidi="ar-SA"/>
        </w:rPr>
        <w:t xml:space="preserve"> تموز 2025</w:t>
      </w:r>
    </w:p>
    <w:p w:rsidR="00D32A06" w:rsidRPr="00D32A06" w:rsidRDefault="002D3E82" w:rsidP="00D32A06">
      <w:p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lang w:val="" w:eastAsia="" w:bidi="ar-SA"/>
        </w:rPr>
      </w:pPr>
      <w:bookmarkStart w:id="0" w:name="_GoBack"/>
      <w:r w:rsidRPr="00D32A06">
        <w:rPr>
          <w:rFonts w:ascii="Calibri" w:eastAsia="Times New Roman" w:hAnsi="Calibri" w:cs="Calibri"/>
          <w:rtl/>
          <w:lang w:val="" w:eastAsia="" w:bidi="ar-SA"/>
        </w:rPr>
        <w:t>ب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لغت الاحتياطيات الرسمية من النقد الأجنبي في بنك إسرائيل في نهاية شهر تموز 2025 ما مجموعه </w:t>
      </w:r>
      <w:r w:rsidRPr="00D32A06">
        <w:rPr>
          <w:rFonts w:ascii="Calibri" w:eastAsia="Times New Roman" w:hAnsi="Calibri" w:cs="Calibri"/>
          <w:b/>
          <w:bCs/>
          <w:lang w:val="" w:eastAsia="" w:bidi="ar-SA"/>
        </w:rPr>
        <w:t xml:space="preserve">226,768 </w:t>
      </w:r>
      <w:r>
        <w:rPr>
          <w:rFonts w:ascii="Calibri" w:eastAsia="Times New Roman" w:hAnsi="Calibri" w:cs="Calibri" w:hint="cs"/>
          <w:b/>
          <w:bCs/>
          <w:rtl/>
          <w:lang w:val="" w:eastAsia="" w:bidi="ar-SA"/>
        </w:rPr>
        <w:t xml:space="preserve"> م</w:t>
      </w: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ليون دولار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، أي بانخفاض قدره </w:t>
      </w:r>
      <w:r w:rsidRPr="00D32A06">
        <w:rPr>
          <w:rFonts w:ascii="Calibri" w:eastAsia="Times New Roman" w:hAnsi="Calibri" w:cs="Calibri"/>
          <w:b/>
          <w:bCs/>
          <w:lang w:val="" w:eastAsia="" w:bidi="ar-SA"/>
        </w:rPr>
        <w:t xml:space="preserve">1,481 </w:t>
      </w:r>
      <w:r>
        <w:rPr>
          <w:rFonts w:ascii="Calibri" w:eastAsia="Times New Roman" w:hAnsi="Calibri" w:cs="Calibri" w:hint="cs"/>
          <w:b/>
          <w:bCs/>
          <w:rtl/>
          <w:lang w:val="" w:eastAsia="" w:bidi="ar-SA"/>
        </w:rPr>
        <w:t xml:space="preserve"> م</w:t>
      </w: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ليون دولار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 مقارنةً مع نهاية الشهر السابق. وقد بلغت نسبة هذه الاحتياطيات إلى الناتج المحلي الإجمالي </w:t>
      </w:r>
      <w:r w:rsidRPr="00D32A06">
        <w:rPr>
          <w:rFonts w:ascii="Calibri" w:eastAsia="Times New Roman" w:hAnsi="Calibri" w:cs="Calibri"/>
          <w:b/>
          <w:bCs/>
          <w:lang w:val="" w:eastAsia="" w:bidi="ar-SA"/>
        </w:rPr>
        <w:t>41.4%</w:t>
      </w:r>
      <w:r w:rsidRPr="00D32A06">
        <w:rPr>
          <w:rFonts w:ascii="Calibri" w:eastAsia="Times New Roman" w:hAnsi="Calibri" w:cs="Calibri"/>
          <w:lang w:val="" w:eastAsia="" w:bidi="ar-SA"/>
        </w:rPr>
        <w:t xml:space="preserve"> </w:t>
      </w:r>
      <w:r>
        <w:rPr>
          <w:rFonts w:ascii="Calibri" w:eastAsia="Times New Roman" w:hAnsi="Calibri" w:cs="Calibri" w:hint="cs"/>
          <w:rtl/>
          <w:lang w:val="" w:eastAsia="" w:bidi="ar-SA"/>
        </w:rPr>
        <w:t xml:space="preserve">  (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الرسم </w:t>
      </w:r>
      <w:r w:rsidRPr="00D32A06">
        <w:rPr>
          <w:rFonts w:ascii="Calibri" w:eastAsia="Times New Roman" w:hAnsi="Calibri" w:cs="Calibri"/>
          <w:rtl/>
          <w:lang w:val="" w:eastAsia="" w:bidi="ar-SA"/>
        </w:rPr>
        <w:t>البياني 1</w:t>
      </w:r>
      <w:r>
        <w:rPr>
          <w:rFonts w:ascii="Calibri" w:eastAsia="Times New Roman" w:hAnsi="Calibri" w:cs="Calibri" w:hint="cs"/>
          <w:rtl/>
          <w:lang w:val="" w:eastAsia="" w:bidi="ar-SA"/>
        </w:rPr>
        <w:t>).</w:t>
      </w:r>
    </w:p>
    <w:p w:rsidR="00D32A06" w:rsidRPr="00D32A06" w:rsidRDefault="002D3E82" w:rsidP="00D32A06">
      <w:p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lang w:val="" w:eastAsia="" w:bidi="ar-SA"/>
        </w:rPr>
      </w:pPr>
      <w:r w:rsidRPr="00D32A06">
        <w:rPr>
          <w:rFonts w:ascii="Calibri" w:eastAsia="Times New Roman" w:hAnsi="Calibri" w:cs="Calibri"/>
          <w:rtl/>
          <w:lang w:val="" w:eastAsia="" w:bidi="ar-SA"/>
        </w:rPr>
        <w:t>يُعزى هذا الانخفاض أساسًا إلى</w:t>
      </w:r>
      <w:r w:rsidRPr="00D32A06">
        <w:rPr>
          <w:rFonts w:ascii="Calibri" w:eastAsia="Times New Roman" w:hAnsi="Calibri" w:cs="Calibri"/>
          <w:lang w:val="" w:eastAsia="" w:bidi="ar-SA"/>
        </w:rPr>
        <w:t>:</w:t>
      </w:r>
    </w:p>
    <w:p w:rsidR="00D32A06" w:rsidRPr="00D32A06" w:rsidRDefault="002D3E82" w:rsidP="00D32A06">
      <w:pPr>
        <w:numPr>
          <w:ilvl w:val="0"/>
          <w:numId w:val="6"/>
        </w:num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lang w:val="" w:eastAsia="" w:bidi="ar-SA"/>
        </w:rPr>
      </w:pPr>
      <w:r w:rsidRPr="00D32A06">
        <w:rPr>
          <w:rFonts w:ascii="Calibri" w:eastAsia="Times New Roman" w:hAnsi="Calibri" w:cs="Calibri"/>
          <w:rtl/>
          <w:lang w:val="" w:eastAsia="" w:bidi="ar-SA"/>
        </w:rPr>
        <w:t>إعادة تقييم</w:t>
      </w:r>
      <w:r w:rsidR="00B2525F">
        <w:rPr>
          <w:rFonts w:asciiTheme="minorHAnsi" w:hAnsiTheme="minorHAnsi" w:cstheme="minorHAnsi" w:hint="cs"/>
          <w:color w:val="000000"/>
          <w:vertAlign w:val="superscript"/>
          <w:rtl/>
          <w:lang w:bidi="ar-SA"/>
        </w:rPr>
        <w:t>1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 الاحتياطيات الرسمية من النقد الأجنبي بمقدار نحو </w:t>
      </w:r>
      <w:r w:rsidRPr="00D32A06">
        <w:rPr>
          <w:rFonts w:ascii="Calibri" w:eastAsia="Times New Roman" w:hAnsi="Calibri" w:cs="Calibri"/>
          <w:b/>
          <w:bCs/>
          <w:lang w:val="" w:eastAsia="" w:bidi="ar-SA"/>
        </w:rPr>
        <w:t xml:space="preserve">1,170 </w:t>
      </w:r>
      <w:r>
        <w:rPr>
          <w:rFonts w:ascii="Calibri" w:eastAsia="Times New Roman" w:hAnsi="Calibri" w:cs="Calibri" w:hint="cs"/>
          <w:b/>
          <w:bCs/>
          <w:rtl/>
          <w:lang w:val="" w:eastAsia="" w:bidi="ar-SA"/>
        </w:rPr>
        <w:t xml:space="preserve"> م</w:t>
      </w: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ليون دولار</w:t>
      </w:r>
      <w:r w:rsidRPr="00D32A06">
        <w:rPr>
          <w:rFonts w:ascii="Calibri" w:eastAsia="Times New Roman" w:hAnsi="Calibri" w:cs="Calibri"/>
          <w:lang w:val="" w:eastAsia="" w:bidi="ar-SA"/>
        </w:rPr>
        <w:t>.</w:t>
      </w:r>
    </w:p>
    <w:p w:rsidR="00D32A06" w:rsidRPr="00D32A06" w:rsidRDefault="002D3E82" w:rsidP="00D32A06">
      <w:pPr>
        <w:numPr>
          <w:ilvl w:val="0"/>
          <w:numId w:val="6"/>
        </w:num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lang w:val="" w:eastAsia="" w:bidi="ar-SA"/>
        </w:rPr>
      </w:pP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عمليات الحكومة بالعملات الأجنبية بمقدار نحو </w:t>
      </w:r>
      <w:r w:rsidRPr="00D32A06">
        <w:rPr>
          <w:rFonts w:ascii="Calibri" w:eastAsia="Times New Roman" w:hAnsi="Calibri" w:cs="Calibri"/>
          <w:b/>
          <w:bCs/>
          <w:lang w:val="" w:eastAsia="" w:bidi="ar-SA"/>
        </w:rPr>
        <w:t xml:space="preserve">208 </w:t>
      </w:r>
      <w:r>
        <w:rPr>
          <w:rFonts w:ascii="Calibri" w:eastAsia="Times New Roman" w:hAnsi="Calibri" w:cs="Calibri" w:hint="cs"/>
          <w:b/>
          <w:bCs/>
          <w:rtl/>
          <w:lang w:val="" w:eastAsia="" w:bidi="ar-SA"/>
        </w:rPr>
        <w:t xml:space="preserve"> م</w:t>
      </w: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لايين دولار</w:t>
      </w:r>
      <w:r w:rsidRPr="00D32A06">
        <w:rPr>
          <w:rFonts w:ascii="Calibri" w:eastAsia="Times New Roman" w:hAnsi="Calibri" w:cs="Calibri"/>
          <w:lang w:val="" w:eastAsia="" w:bidi="ar-SA"/>
        </w:rPr>
        <w:t>.</w:t>
      </w:r>
    </w:p>
    <w:p w:rsidR="00D32A06" w:rsidRDefault="002D3E82" w:rsidP="00D33527">
      <w:pPr>
        <w:tabs>
          <w:tab w:val="left" w:pos="1173"/>
        </w:tabs>
        <w:bidi/>
        <w:spacing w:after="0" w:line="276" w:lineRule="auto"/>
        <w:rPr>
          <w:rFonts w:ascii="Calibri" w:eastAsia="Times New Roman" w:hAnsi="Calibri" w:cs="Calibri"/>
          <w:rtl/>
          <w:lang w:val="" w:eastAsia="" w:bidi="ar-SA"/>
        </w:rPr>
      </w:pP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t>الاحتياطيات الرسمية من النقد الأجنبي في بنك إسرائيل</w:t>
      </w:r>
      <w:r>
        <w:rPr>
          <w:rFonts w:ascii="Calibri" w:eastAsia="Times New Roman" w:hAnsi="Calibri" w:cs="Calibri" w:hint="cs"/>
          <w:rtl/>
          <w:lang w:val="" w:eastAsia="" w:bidi="ar-SA"/>
        </w:rPr>
        <w:t xml:space="preserve"> (ب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ملايين </w:t>
      </w:r>
      <w:r w:rsidRPr="00D32A06">
        <w:rPr>
          <w:rFonts w:ascii="Calibri" w:eastAsia="Times New Roman" w:hAnsi="Calibri" w:cs="Calibri"/>
          <w:rtl/>
          <w:lang w:val="" w:eastAsia="" w:bidi="ar-SA"/>
        </w:rPr>
        <w:t>الدولارات</w:t>
      </w:r>
      <w:r>
        <w:rPr>
          <w:rFonts w:ascii="Calibri" w:eastAsia="Times New Roman" w:hAnsi="Calibri" w:cs="Calibri" w:hint="cs"/>
          <w:rtl/>
          <w:lang w:val="" w:eastAsia="" w:bidi="ar-SA"/>
        </w:rPr>
        <w:t>)</w:t>
      </w:r>
    </w:p>
    <w:p w:rsidR="00D33527" w:rsidRPr="00D32A06" w:rsidRDefault="00D33527" w:rsidP="00D33527">
      <w:pPr>
        <w:tabs>
          <w:tab w:val="left" w:pos="1173"/>
        </w:tabs>
        <w:bidi/>
        <w:spacing w:after="0" w:line="276" w:lineRule="auto"/>
        <w:rPr>
          <w:rFonts w:ascii="Calibri" w:eastAsia="Times New Roman" w:hAnsi="Calibri" w:cs="Calibri"/>
          <w:lang w:val="" w:eastAsia=""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9"/>
        <w:gridCol w:w="30"/>
        <w:gridCol w:w="2664"/>
        <w:gridCol w:w="2268"/>
      </w:tblGrid>
      <w:tr w:rsidR="00280126" w:rsidTr="00054C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32A06" w:rsidRPr="00D32A06" w:rsidRDefault="002D3E82" w:rsidP="00D32A06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>التاريخ</w:t>
            </w:r>
          </w:p>
        </w:tc>
        <w:tc>
          <w:tcPr>
            <w:tcW w:w="2949" w:type="dxa"/>
            <w:vAlign w:val="center"/>
            <w:hideMark/>
          </w:tcPr>
          <w:p w:rsidR="00D32A06" w:rsidRPr="00D32A06" w:rsidRDefault="002D3E82" w:rsidP="00D32A06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" w:eastAsia="" w:bidi="ar-SA"/>
              </w:rPr>
            </w:pP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احتياطي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النقد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الأجنبي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دون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الأرصدة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لدى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صندوق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النقد</w:t>
            </w:r>
            <w:r w:rsidRPr="0089096B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9096B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الدولي</w:t>
            </w:r>
          </w:p>
        </w:tc>
        <w:tc>
          <w:tcPr>
            <w:tcW w:w="2664" w:type="dxa"/>
            <w:gridSpan w:val="2"/>
            <w:vAlign w:val="center"/>
            <w:hideMark/>
          </w:tcPr>
          <w:p w:rsidR="00D32A06" w:rsidRPr="002D3E82" w:rsidRDefault="002D3E82" w:rsidP="0079229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lang w:val=""/>
              </w:rPr>
            </w:pPr>
            <w:r w:rsidRPr="0079229F">
              <w:rPr>
                <w:rFonts w:ascii="Calibri" w:hAnsi="Calibri" w:cs="Calibri"/>
                <w:b/>
                <w:bCs/>
                <w:color w:val="000000"/>
                <w:rtl/>
                <w:lang w:bidi="ar-SA"/>
              </w:rPr>
              <w:t>الأرصدة لدى صندوق النقد الدولي</w:t>
            </w:r>
            <w:r w:rsidRPr="0079229F">
              <w:rPr>
                <w:rStyle w:val="af0"/>
                <w:rFonts w:ascii="Calibri" w:hAnsi="Calibri" w:cs="Calibri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Style w:val="af0"/>
                <w:rFonts w:ascii="Calibri" w:hAnsi="Calibri" w:cs="Calibri"/>
                <w:b/>
                <w:bCs/>
                <w:color w:val="000000"/>
                <w:rtl/>
              </w:rPr>
              <w:footnoteReference w:id="1"/>
            </w:r>
          </w:p>
        </w:tc>
        <w:tc>
          <w:tcPr>
            <w:tcW w:w="2223" w:type="dxa"/>
            <w:vAlign w:val="center"/>
            <w:hideMark/>
          </w:tcPr>
          <w:p w:rsidR="00D32A06" w:rsidRPr="00D32A06" w:rsidRDefault="002D3E82" w:rsidP="00D32A06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" w:eastAsia="" w:bidi="ar-SA"/>
              </w:rPr>
            </w:pPr>
            <w:r w:rsidRPr="00816D79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إجمالي</w:t>
            </w:r>
            <w:r w:rsidRPr="00816D79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16D79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احتياطي</w:t>
            </w:r>
            <w:r w:rsidRPr="00816D79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16D79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النقد</w:t>
            </w:r>
            <w:r w:rsidRPr="00816D79">
              <w:rPr>
                <w:rFonts w:ascii="Calibri" w:eastAsia="Times New Roman" w:hAnsi="Calibri" w:cs="Calibri"/>
                <w:b/>
                <w:bCs/>
                <w:rtl/>
                <w:lang w:val="" w:eastAsia="" w:bidi="ar-SA"/>
              </w:rPr>
              <w:t xml:space="preserve"> </w:t>
            </w:r>
            <w:r w:rsidRPr="00816D79">
              <w:rPr>
                <w:rFonts w:ascii="Calibri" w:eastAsia="Times New Roman" w:hAnsi="Calibri" w:cs="Calibri" w:hint="cs"/>
                <w:b/>
                <w:bCs/>
                <w:rtl/>
                <w:lang w:val="" w:eastAsia="" w:bidi="ar-SA"/>
              </w:rPr>
              <w:t>الأجنبي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تموز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222,157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4,611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226,768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حزيران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223,651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228,250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أيار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219,086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223,639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نيسان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217,489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222,035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آذار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214,394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218,810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شباط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215,898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4,356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220,254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كانون الثاني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211,710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4,358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216,068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كانون الأول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210,170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4,400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214,570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تشرين الثاني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212,684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217,100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تشرين الأول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211,638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216,074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أيلول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215,807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4,570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220,377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آب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212,847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4,538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E25FEA">
              <w:rPr>
                <w:rFonts w:asciiTheme="minorHAnsi" w:hAnsiTheme="minorHAnsi" w:cstheme="minorHAnsi"/>
                <w:color w:val="000000"/>
                <w:rtl/>
              </w:rPr>
              <w:t>217,385</w:t>
            </w:r>
          </w:p>
        </w:tc>
      </w:tr>
      <w:tr w:rsidR="00280126" w:rsidTr="00572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rPr>
                <w:rFonts w:ascii="Calibri" w:eastAsia="Times New Roman" w:hAnsi="Calibri" w:cs="Calibri"/>
                <w:lang w:val="" w:eastAsia="" w:bidi="ar-SA"/>
              </w:rPr>
            </w:pPr>
            <w:r w:rsidRPr="00D32A06">
              <w:rPr>
                <w:rFonts w:ascii="Calibri" w:eastAsia="Times New Roman" w:hAnsi="Calibri" w:cs="Calibri"/>
                <w:rtl/>
                <w:lang w:val="" w:eastAsia="" w:bidi="ar-SA"/>
              </w:rPr>
              <w:t>تموز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209,141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4,493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EB" w:rsidRPr="00D32A06" w:rsidRDefault="002D3E82" w:rsidP="00F045EB">
            <w:pPr>
              <w:bidi/>
              <w:spacing w:after="0" w:line="276" w:lineRule="auto"/>
              <w:jc w:val="center"/>
              <w:rPr>
                <w:rFonts w:ascii="Calibri" w:eastAsia="Times New Roman" w:hAnsi="Calibri" w:cs="Calibri"/>
                <w:lang w:val="" w:eastAsia="" w:bidi="ar-SA"/>
              </w:rPr>
            </w:pPr>
            <w:r w:rsidRPr="00E25FEA">
              <w:rPr>
                <w:rFonts w:asciiTheme="minorHAnsi" w:hAnsiTheme="minorHAnsi" w:cstheme="minorHAnsi"/>
                <w:color w:val="000000"/>
                <w:rtl/>
              </w:rPr>
              <w:t>213,634</w:t>
            </w:r>
          </w:p>
        </w:tc>
      </w:tr>
    </w:tbl>
    <w:p w:rsidR="00281F37" w:rsidRPr="00281F37" w:rsidRDefault="002D3E82" w:rsidP="00281F37">
      <w:pPr>
        <w:bidi/>
        <w:spacing w:after="0" w:line="276" w:lineRule="auto"/>
        <w:rPr>
          <w:rFonts w:ascii="Calibri" w:eastAsia="Times New Roman" w:hAnsi="Calibri" w:cs="Calibri"/>
          <w:vertAlign w:val="superscript"/>
          <w:lang w:eastAsia="" w:bidi="ar-SA"/>
        </w:rPr>
      </w:pPr>
      <w:r w:rsidRPr="00281F37">
        <w:rPr>
          <w:rFonts w:ascii="Calibri" w:eastAsia="Times New Roman" w:hAnsi="Calibri" w:cs="Calibri"/>
          <w:vertAlign w:val="superscript"/>
          <w:lang w:eastAsia="" w:bidi="ar-SA"/>
        </w:rPr>
        <w:footnoteRef/>
      </w:r>
      <w:r w:rsidRPr="00281F37">
        <w:rPr>
          <w:rFonts w:ascii="Calibri" w:eastAsia="Times New Roman" w:hAnsi="Calibri" w:cs="Calibri"/>
          <w:rtl/>
          <w:lang w:val="" w:eastAsia="" w:bidi="ar-SA"/>
        </w:rPr>
        <w:t xml:space="preserve"> يشمل ذلك المدفوعات والمقبوضات من بنك إسرائيل بالنقد الأجنبي</w:t>
      </w:r>
      <w:r w:rsidRPr="00281F37">
        <w:rPr>
          <w:rFonts w:ascii="Calibri" w:eastAsia="Times New Roman" w:hAnsi="Calibri" w:cs="Calibri"/>
          <w:rtl/>
          <w:lang w:val="" w:eastAsia=""/>
        </w:rPr>
        <w:t>.</w:t>
      </w:r>
    </w:p>
    <w:p w:rsidR="00281F37" w:rsidRPr="00281F37" w:rsidRDefault="002D3E82" w:rsidP="00281F37">
      <w:pPr>
        <w:bidi/>
        <w:spacing w:after="0" w:line="276" w:lineRule="auto"/>
        <w:rPr>
          <w:rFonts w:ascii="Calibri" w:eastAsia="Times New Roman" w:hAnsi="Calibri" w:cs="Calibri"/>
          <w:rtl/>
          <w:lang w:val="" w:eastAsia=""/>
        </w:rPr>
      </w:pPr>
      <w:r w:rsidRPr="00281F37">
        <w:rPr>
          <w:rFonts w:ascii="Calibri" w:eastAsia="Times New Roman" w:hAnsi="Calibri" w:cs="Calibri"/>
          <w:vertAlign w:val="superscript"/>
          <w:lang w:eastAsia="" w:bidi="ar-SA"/>
        </w:rPr>
        <w:footnoteRef/>
      </w:r>
      <w:r w:rsidRPr="00281F37">
        <w:rPr>
          <w:rFonts w:ascii="Calibri" w:eastAsia="Times New Roman" w:hAnsi="Calibri" w:cs="Calibri"/>
          <w:rtl/>
          <w:lang w:val="" w:eastAsia="" w:bidi="ar-SA"/>
        </w:rPr>
        <w:t xml:space="preserve"> يتضمن هذا العمود حقوق السحب الخاصة (</w:t>
      </w:r>
      <w:r w:rsidRPr="00281F37">
        <w:rPr>
          <w:rFonts w:ascii="Calibri" w:eastAsia="Times New Roman" w:hAnsi="Calibri" w:cs="Calibri"/>
          <w:lang w:eastAsia="" w:bidi="ar-SA"/>
        </w:rPr>
        <w:t>SDRs'</w:t>
      </w:r>
      <w:r w:rsidRPr="00281F37">
        <w:rPr>
          <w:rFonts w:ascii="Calibri" w:eastAsia="Times New Roman" w:hAnsi="Calibri" w:cs="Calibri"/>
          <w:rtl/>
          <w:lang w:val="" w:eastAsia="" w:bidi="ar-SA"/>
        </w:rPr>
        <w:t xml:space="preserve">)، ورصيد قرض </w:t>
      </w:r>
      <w:r w:rsidRPr="00281F37">
        <w:rPr>
          <w:rFonts w:ascii="Calibri" w:eastAsia="Times New Roman" w:hAnsi="Calibri" w:cs="Calibri"/>
          <w:lang w:eastAsia="" w:bidi="ar-SA"/>
        </w:rPr>
        <w:t>NAB</w:t>
      </w:r>
      <w:r w:rsidRPr="00281F37">
        <w:rPr>
          <w:rFonts w:ascii="Calibri" w:eastAsia="Times New Roman" w:hAnsi="Calibri" w:cs="Calibri"/>
          <w:rtl/>
          <w:lang w:val="" w:eastAsia="" w:bidi="ar-SA"/>
        </w:rPr>
        <w:t xml:space="preserve"> ورصيد </w:t>
      </w:r>
      <w:r w:rsidRPr="00281F37">
        <w:rPr>
          <w:rFonts w:ascii="Calibri" w:eastAsia="Times New Roman" w:hAnsi="Calibri" w:cs="Calibri"/>
          <w:lang w:eastAsia="" w:bidi="ar-SA"/>
        </w:rPr>
        <w:t>Reserve Tranche</w:t>
      </w:r>
      <w:r w:rsidRPr="00281F37">
        <w:rPr>
          <w:rFonts w:ascii="Calibri" w:eastAsia="Times New Roman" w:hAnsi="Calibri" w:cs="Calibri"/>
          <w:rtl/>
          <w:lang w:val="" w:eastAsia=""/>
        </w:rPr>
        <w:t xml:space="preserve"> </w:t>
      </w:r>
      <w:r w:rsidRPr="00281F37">
        <w:rPr>
          <w:rFonts w:ascii="Calibri" w:eastAsia="Times New Roman" w:hAnsi="Calibri" w:cs="Calibri"/>
          <w:rtl/>
          <w:lang w:val="" w:eastAsia="" w:bidi="ar-SA"/>
        </w:rPr>
        <w:t>لدى صندوق النقد الدولي</w:t>
      </w:r>
      <w:r w:rsidRPr="00281F37">
        <w:rPr>
          <w:rFonts w:ascii="Calibri" w:eastAsia="Times New Roman" w:hAnsi="Calibri" w:cs="Calibri" w:hint="cs"/>
          <w:rtl/>
          <w:lang w:val="" w:eastAsia=""/>
        </w:rPr>
        <w:t>.</w:t>
      </w:r>
    </w:p>
    <w:p w:rsidR="00281F37" w:rsidRPr="00281F37" w:rsidRDefault="002D3E82" w:rsidP="00281F37">
      <w:pPr>
        <w:bidi/>
        <w:spacing w:after="0" w:line="276" w:lineRule="auto"/>
        <w:rPr>
          <w:rFonts w:ascii="Calibri" w:eastAsia="Times New Roman" w:hAnsi="Calibri" w:cs="Calibri"/>
          <w:vertAlign w:val="superscript"/>
          <w:rtl/>
          <w:lang w:val="" w:eastAsia=""/>
        </w:rPr>
      </w:pPr>
      <w:r w:rsidRPr="00281F37">
        <w:rPr>
          <w:rFonts w:ascii="Calibri" w:eastAsia="Times New Roman" w:hAnsi="Calibri" w:cs="Calibri" w:hint="cs"/>
          <w:vertAlign w:val="superscript"/>
          <w:rtl/>
          <w:lang w:val="" w:eastAsia=""/>
        </w:rPr>
        <w:t>3</w:t>
      </w:r>
      <w:r w:rsidRPr="00281F37">
        <w:rPr>
          <w:rFonts w:ascii="Calibri" w:eastAsia="Times New Roman" w:hAnsi="Calibri" w:cs="Calibri"/>
          <w:rtl/>
          <w:lang w:val="" w:eastAsia="" w:bidi="ar-SA"/>
        </w:rPr>
        <w:t xml:space="preserve"> تم التحديث بعد تاريخ النشر</w:t>
      </w:r>
      <w:r w:rsidRPr="00281F37">
        <w:rPr>
          <w:rFonts w:ascii="Calibri" w:eastAsia="Times New Roman" w:hAnsi="Calibri" w:cs="Calibri" w:hint="cs"/>
          <w:rtl/>
          <w:lang w:val="" w:eastAsia=""/>
        </w:rPr>
        <w:t>.</w:t>
      </w:r>
    </w:p>
    <w:p w:rsidR="00D32A06" w:rsidRPr="00D32A06" w:rsidRDefault="00D32A06" w:rsidP="00D32A06">
      <w:pPr>
        <w:bidi/>
        <w:spacing w:after="0" w:line="276" w:lineRule="auto"/>
        <w:rPr>
          <w:rFonts w:ascii="Calibri" w:eastAsia="Times New Roman" w:hAnsi="Calibri" w:cs="Calibri"/>
          <w:lang w:val="" w:eastAsia=""/>
        </w:rPr>
      </w:pPr>
    </w:p>
    <w:p w:rsidR="00D32A06" w:rsidRPr="00D32A06" w:rsidRDefault="002D3E82" w:rsidP="00D32A06">
      <w:pPr>
        <w:bidi/>
        <w:spacing w:before="100" w:beforeAutospacing="1" w:after="100" w:afterAutospacing="1" w:line="276" w:lineRule="auto"/>
        <w:rPr>
          <w:rFonts w:ascii="Calibri" w:eastAsia="Times New Roman" w:hAnsi="Calibri" w:cs="Calibri"/>
          <w:lang w:val="" w:eastAsia="" w:bidi="ar-SA"/>
        </w:rPr>
      </w:pPr>
      <w:r w:rsidRPr="00D32A06">
        <w:rPr>
          <w:rFonts w:ascii="Calibri" w:eastAsia="Times New Roman" w:hAnsi="Calibri" w:cs="Calibri"/>
          <w:b/>
          <w:bCs/>
          <w:rtl/>
          <w:lang w:val="" w:eastAsia="" w:bidi="ar-SA"/>
        </w:rPr>
        <w:lastRenderedPageBreak/>
        <w:t>الرسم البياني 1</w:t>
      </w:r>
      <w:r w:rsidR="00D33527">
        <w:rPr>
          <w:rFonts w:ascii="Calibri" w:eastAsia="Times New Roman" w:hAnsi="Calibri" w:cs="Calibri" w:hint="cs"/>
          <w:rtl/>
          <w:lang w:val="" w:eastAsia="" w:bidi="ar-SA"/>
        </w:rPr>
        <w:t xml:space="preserve">- </w:t>
      </w:r>
      <w:r w:rsidR="00D33527" w:rsidRPr="00D32A06">
        <w:rPr>
          <w:rFonts w:ascii="Calibri" w:eastAsia="Times New Roman" w:hAnsi="Calibri" w:cs="Calibri"/>
          <w:lang w:val="" w:eastAsia="" w:bidi="ar-SA"/>
        </w:rPr>
        <w:t xml:space="preserve"> </w:t>
      </w:r>
      <w:r w:rsidR="00D33527">
        <w:rPr>
          <w:rFonts w:ascii="Calibri" w:eastAsia="Times New Roman" w:hAnsi="Calibri" w:cs="Calibri" w:hint="cs"/>
          <w:rtl/>
          <w:lang w:val="" w:eastAsia="" w:bidi="ar-SA"/>
        </w:rPr>
        <w:t>مستوى</w:t>
      </w:r>
      <w:r w:rsidRPr="00D32A06">
        <w:rPr>
          <w:rFonts w:ascii="Calibri" w:eastAsia="Times New Roman" w:hAnsi="Calibri" w:cs="Calibri"/>
          <w:rtl/>
          <w:lang w:val="" w:eastAsia="" w:bidi="ar-SA"/>
        </w:rPr>
        <w:t xml:space="preserve"> الاحتياطيات الرسمية من النقد الأجنبي ونسبة هذه الاحتياطيات إلى الناتج المحلي الإجمالي، 2008 – 2025</w:t>
      </w:r>
    </w:p>
    <w:p w:rsidR="00D32A06" w:rsidRPr="00D32A06" w:rsidRDefault="00D32A06" w:rsidP="00D32A06">
      <w:pPr>
        <w:bidi/>
        <w:spacing w:after="0" w:line="276" w:lineRule="auto"/>
        <w:rPr>
          <w:rFonts w:ascii="Calibri" w:eastAsia="Times New Roman" w:hAnsi="Calibri" w:cs="Calibri"/>
          <w:lang w:val="" w:eastAsia="" w:bidi="ar-SA"/>
        </w:rPr>
      </w:pPr>
    </w:p>
    <w:p w:rsidR="00F25BB5" w:rsidRPr="00D32A06" w:rsidRDefault="002D3E82" w:rsidP="00D32A06">
      <w:pPr>
        <w:bidi/>
        <w:spacing w:line="276" w:lineRule="auto"/>
        <w:rPr>
          <w:rFonts w:ascii="Calibri" w:hAnsi="Calibri" w:cs="Calibri"/>
          <w:rtl/>
        </w:rPr>
      </w:pPr>
      <w:r w:rsidRPr="00D32A06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186709</wp:posOffset>
            </wp:positionH>
            <wp:positionV relativeFrom="paragraph">
              <wp:posOffset>4527</wp:posOffset>
            </wp:positionV>
            <wp:extent cx="5581015" cy="3046541"/>
            <wp:effectExtent l="0" t="0" r="635" b="1905"/>
            <wp:wrapTight wrapText="bothSides">
              <wp:wrapPolygon edited="0">
                <wp:start x="0" y="0"/>
                <wp:lineTo x="0" y="21478"/>
                <wp:lineTo x="21529" y="21478"/>
                <wp:lineTo x="21529" y="0"/>
                <wp:lineTo x="0" y="0"/>
              </wp:wrapPolygon>
            </wp:wrapTight>
            <wp:docPr id="1121564651" name="תמונה 1" descr="cid:image005.png@01DC0787.7751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64651" name="תמונה 1" descr="cid:image005.png@01DC0787.77512B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3E7478" w:rsidRPr="002D3E82" w:rsidRDefault="003E7478" w:rsidP="00D32A06">
      <w:pPr>
        <w:bidi/>
        <w:spacing w:line="276" w:lineRule="auto"/>
        <w:rPr>
          <w:rFonts w:ascii="Calibri" w:hAnsi="Calibri" w:cs="Calibri"/>
          <w:lang w:val=""/>
        </w:rPr>
      </w:pPr>
    </w:p>
    <w:sectPr w:rsidR="003E7478" w:rsidRPr="002D3E82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3E82">
      <w:pPr>
        <w:spacing w:after="0" w:line="240" w:lineRule="auto"/>
      </w:pPr>
      <w:r>
        <w:separator/>
      </w:r>
    </w:p>
  </w:endnote>
  <w:endnote w:type="continuationSeparator" w:id="0">
    <w:p w:rsidR="00000000" w:rsidRDefault="002D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2D3E82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2D3E82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2C8AF9BE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2D3E82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7529DCA3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D3E82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0BA3B849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2D3E82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3E5EE2D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2D3E82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2D3E82" w:rsidP="00E04682">
      <w:pPr>
        <w:spacing w:after="0" w:line="240" w:lineRule="auto"/>
      </w:pPr>
      <w:r>
        <w:continuationSeparator/>
      </w:r>
    </w:p>
  </w:footnote>
  <w:footnote w:id="1">
    <w:p w:rsidR="0079229F" w:rsidRDefault="0079229F" w:rsidP="0079229F">
      <w:pPr>
        <w:tabs>
          <w:tab w:val="left" w:pos="1110"/>
        </w:tabs>
        <w:bidi/>
        <w:spacing w:after="120" w:line="240" w:lineRule="auto"/>
        <w:ind w:left="828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F2DECBC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99421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F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CD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45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60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0C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B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CB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FCA"/>
    <w:multiLevelType w:val="multilevel"/>
    <w:tmpl w:val="2228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54D7F"/>
    <w:multiLevelType w:val="hybridMultilevel"/>
    <w:tmpl w:val="7ECE0DC4"/>
    <w:lvl w:ilvl="0" w:tplc="E2AA2DDE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E294C5E2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F60822B4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CEBA45B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654EF9B0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98D21AA8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13247F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FCAE2142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5C28C4CA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CA64D988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E22AF488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CAC8E76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132D45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8542CD7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EF925490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7F066684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391E7F24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25745F42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B5FE7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05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A8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C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A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7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A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4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A0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39DB"/>
    <w:multiLevelType w:val="hybridMultilevel"/>
    <w:tmpl w:val="37E479BE"/>
    <w:lvl w:ilvl="0" w:tplc="F4002A4C">
      <w:start w:val="1"/>
      <w:numFmt w:val="decimal"/>
      <w:lvlText w:val="%1."/>
      <w:lvlJc w:val="left"/>
      <w:pPr>
        <w:ind w:left="218" w:hanging="360"/>
      </w:pPr>
      <w:rPr>
        <w:rFonts w:asciiTheme="minorHAnsi" w:eastAsia="David" w:hAnsiTheme="minorHAnsi" w:cstheme="minorHAnsi"/>
      </w:rPr>
    </w:lvl>
    <w:lvl w:ilvl="1" w:tplc="069AA2BA" w:tentative="1">
      <w:start w:val="1"/>
      <w:numFmt w:val="lowerLetter"/>
      <w:lvlText w:val="%2."/>
      <w:lvlJc w:val="left"/>
      <w:pPr>
        <w:ind w:left="938" w:hanging="360"/>
      </w:pPr>
    </w:lvl>
    <w:lvl w:ilvl="2" w:tplc="247C13E2" w:tentative="1">
      <w:start w:val="1"/>
      <w:numFmt w:val="lowerRoman"/>
      <w:lvlText w:val="%3."/>
      <w:lvlJc w:val="right"/>
      <w:pPr>
        <w:ind w:left="1658" w:hanging="180"/>
      </w:pPr>
    </w:lvl>
    <w:lvl w:ilvl="3" w:tplc="114E31EA" w:tentative="1">
      <w:start w:val="1"/>
      <w:numFmt w:val="decimal"/>
      <w:lvlText w:val="%4."/>
      <w:lvlJc w:val="left"/>
      <w:pPr>
        <w:ind w:left="2378" w:hanging="360"/>
      </w:pPr>
    </w:lvl>
    <w:lvl w:ilvl="4" w:tplc="37820910" w:tentative="1">
      <w:start w:val="1"/>
      <w:numFmt w:val="lowerLetter"/>
      <w:lvlText w:val="%5."/>
      <w:lvlJc w:val="left"/>
      <w:pPr>
        <w:ind w:left="3098" w:hanging="360"/>
      </w:pPr>
    </w:lvl>
    <w:lvl w:ilvl="5" w:tplc="EDB82F74" w:tentative="1">
      <w:start w:val="1"/>
      <w:numFmt w:val="lowerRoman"/>
      <w:lvlText w:val="%6."/>
      <w:lvlJc w:val="right"/>
      <w:pPr>
        <w:ind w:left="3818" w:hanging="180"/>
      </w:pPr>
    </w:lvl>
    <w:lvl w:ilvl="6" w:tplc="EB84D550" w:tentative="1">
      <w:start w:val="1"/>
      <w:numFmt w:val="decimal"/>
      <w:lvlText w:val="%7."/>
      <w:lvlJc w:val="left"/>
      <w:pPr>
        <w:ind w:left="4538" w:hanging="360"/>
      </w:pPr>
    </w:lvl>
    <w:lvl w:ilvl="7" w:tplc="124A0940" w:tentative="1">
      <w:start w:val="1"/>
      <w:numFmt w:val="lowerLetter"/>
      <w:lvlText w:val="%8."/>
      <w:lvlJc w:val="left"/>
      <w:pPr>
        <w:ind w:left="5258" w:hanging="360"/>
      </w:pPr>
    </w:lvl>
    <w:lvl w:ilvl="8" w:tplc="601EB656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4CE4"/>
    <w:rsid w:val="00055CC5"/>
    <w:rsid w:val="00065B9B"/>
    <w:rsid w:val="000727FD"/>
    <w:rsid w:val="00084B5A"/>
    <w:rsid w:val="000857B7"/>
    <w:rsid w:val="00087BB3"/>
    <w:rsid w:val="000910BA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0126"/>
    <w:rsid w:val="00281F37"/>
    <w:rsid w:val="002834B6"/>
    <w:rsid w:val="00290B54"/>
    <w:rsid w:val="00291758"/>
    <w:rsid w:val="00297F94"/>
    <w:rsid w:val="002A2E4C"/>
    <w:rsid w:val="002A3CC4"/>
    <w:rsid w:val="002B564E"/>
    <w:rsid w:val="002B7877"/>
    <w:rsid w:val="002C05A5"/>
    <w:rsid w:val="002C754F"/>
    <w:rsid w:val="002D3E82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766B8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73129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229F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16D79"/>
    <w:rsid w:val="00832597"/>
    <w:rsid w:val="008371BA"/>
    <w:rsid w:val="00844664"/>
    <w:rsid w:val="008466F0"/>
    <w:rsid w:val="008473FB"/>
    <w:rsid w:val="00850CC4"/>
    <w:rsid w:val="00886388"/>
    <w:rsid w:val="0089096B"/>
    <w:rsid w:val="008A3320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2525F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32A06"/>
    <w:rsid w:val="00D33527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25FEA"/>
    <w:rsid w:val="00E44A34"/>
    <w:rsid w:val="00E52D98"/>
    <w:rsid w:val="00E52DAA"/>
    <w:rsid w:val="00E566ED"/>
    <w:rsid w:val="00E62113"/>
    <w:rsid w:val="00E728E5"/>
    <w:rsid w:val="00E731F0"/>
    <w:rsid w:val="00E80E0F"/>
    <w:rsid w:val="00E84228"/>
    <w:rsid w:val="00EC51AC"/>
    <w:rsid w:val="00ED67BE"/>
    <w:rsid w:val="00EE07B1"/>
    <w:rsid w:val="00EF41BE"/>
    <w:rsid w:val="00F045EB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D074"/>
  <w15:chartTrackingRefBased/>
  <w15:docId w15:val="{305164DA-6615-457F-ABE5-02B4716B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FEA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character" w:customStyle="1" w:styleId="10">
    <w:name w:val="כותרת 1 תו"/>
    <w:basedOn w:val="a0"/>
    <w:link w:val="1"/>
    <w:uiPriority w:val="9"/>
    <w:rsid w:val="00E25F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0">
    <w:name w:val="footnote reference"/>
    <w:basedOn w:val="a0"/>
    <w:rsid w:val="00E25FEA"/>
    <w:rPr>
      <w:vertAlign w:val="superscript"/>
    </w:rPr>
  </w:style>
  <w:style w:type="character" w:customStyle="1" w:styleId="20">
    <w:name w:val="כותרת 2 תו"/>
    <w:basedOn w:val="a0"/>
    <w:link w:val="2"/>
    <w:uiPriority w:val="9"/>
    <w:rsid w:val="002D3E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5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4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samara</dc:creator>
  <cp:lastModifiedBy>רוסול דכוור</cp:lastModifiedBy>
  <cp:revision>2</cp:revision>
  <dcterms:created xsi:type="dcterms:W3CDTF">2025-08-12T11:30:00Z</dcterms:created>
  <dcterms:modified xsi:type="dcterms:W3CDTF">2025-08-12T11:30:00Z</dcterms:modified>
</cp:coreProperties>
</file>