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0205DF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0205DF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0205D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0205DF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0205DF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0205DF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0205DF" w:rsidRDefault="005816B4" w:rsidP="00D87676">
            <w:pPr>
              <w:jc w:val="center"/>
              <w:rPr>
                <w:rFonts w:ascii="Arial" w:hAnsi="Arial" w:cs="David"/>
              </w:rPr>
            </w:pPr>
            <w:r w:rsidRPr="000205DF">
              <w:rPr>
                <w:rFonts w:cs="David"/>
                <w:noProof/>
                <w:lang w:eastAsia="en-US"/>
              </w:rPr>
              <w:drawing>
                <wp:inline distT="0" distB="0" distL="0" distR="0" wp14:anchorId="74E3C50E" wp14:editId="610B94B5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0205DF" w:rsidRDefault="0089040A" w:rsidP="00631A91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205DF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631A91" w:rsidRPr="000205DF">
              <w:rPr>
                <w:rFonts w:ascii="Arial" w:hAnsi="Arial" w:cs="David" w:hint="cs"/>
                <w:sz w:val="24"/>
                <w:szCs w:val="24"/>
                <w:rtl/>
              </w:rPr>
              <w:t>ד</w:t>
            </w:r>
            <w:r w:rsidR="007B6206" w:rsidRPr="000205DF">
              <w:rPr>
                <w:rFonts w:ascii="Arial" w:hAnsi="Arial" w:cs="David" w:hint="cs"/>
                <w:sz w:val="24"/>
                <w:szCs w:val="24"/>
                <w:rtl/>
              </w:rPr>
              <w:t>'</w:t>
            </w:r>
            <w:r w:rsidR="00F426C3" w:rsidRPr="000205D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0205DF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631A91" w:rsidRPr="000205DF">
              <w:rPr>
                <w:rFonts w:ascii="Arial" w:hAnsi="Arial" w:cs="David" w:hint="cs"/>
                <w:sz w:val="24"/>
                <w:szCs w:val="24"/>
                <w:rtl/>
              </w:rPr>
              <w:t>ניסן</w:t>
            </w:r>
            <w:r w:rsidR="00C411E7" w:rsidRPr="000205D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0205DF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B6206" w:rsidRPr="000205DF">
              <w:rPr>
                <w:rFonts w:ascii="Arial" w:hAnsi="Arial" w:cs="David" w:hint="cs"/>
                <w:sz w:val="24"/>
                <w:szCs w:val="24"/>
                <w:rtl/>
              </w:rPr>
              <w:t>ח</w:t>
            </w:r>
          </w:p>
          <w:p w:rsidR="00DD5923" w:rsidRPr="000205DF" w:rsidRDefault="0089040A" w:rsidP="00631A91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205DF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7B6206" w:rsidRPr="000205DF">
              <w:rPr>
                <w:rFonts w:ascii="Arial" w:hAnsi="Arial" w:cs="David" w:hint="cs"/>
                <w:sz w:val="24"/>
                <w:szCs w:val="24"/>
                <w:rtl/>
              </w:rPr>
              <w:t>20</w:t>
            </w:r>
            <w:r w:rsidR="00A17283" w:rsidRPr="000205DF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0205DF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631A91" w:rsidRPr="000205DF">
              <w:rPr>
                <w:rFonts w:ascii="Arial" w:hAnsi="Arial" w:cs="David" w:hint="cs"/>
                <w:sz w:val="24"/>
                <w:szCs w:val="24"/>
                <w:rtl/>
              </w:rPr>
              <w:t>מרץ 2018</w:t>
            </w:r>
          </w:p>
        </w:tc>
      </w:tr>
    </w:tbl>
    <w:p w:rsidR="00FE034E" w:rsidRPr="000205DF" w:rsidRDefault="00FE034E" w:rsidP="007E18EE">
      <w:pPr>
        <w:bidi/>
        <w:rPr>
          <w:rFonts w:ascii="Arial" w:hAnsi="Arial" w:cs="David"/>
          <w:rtl/>
        </w:rPr>
      </w:pPr>
    </w:p>
    <w:p w:rsidR="00C9322A" w:rsidRPr="000205DF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0205DF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0205DF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0205DF" w:rsidRDefault="00C9322A" w:rsidP="00631A91">
      <w:pPr>
        <w:pStyle w:val="af4"/>
        <w:rPr>
          <w:rFonts w:cs="David"/>
          <w:rtl/>
        </w:rPr>
      </w:pPr>
      <w:bookmarkStart w:id="0" w:name="_GoBack"/>
      <w:r w:rsidRPr="000205DF">
        <w:rPr>
          <w:rFonts w:cs="David"/>
          <w:rtl/>
        </w:rPr>
        <w:t xml:space="preserve">התפתחות החוב </w:t>
      </w:r>
      <w:r w:rsidR="00802DF3" w:rsidRPr="000205DF">
        <w:rPr>
          <w:rFonts w:cs="David" w:hint="cs"/>
          <w:rtl/>
        </w:rPr>
        <w:t xml:space="preserve">של המגזר הפרטי </w:t>
      </w:r>
      <w:r w:rsidR="0077544B" w:rsidRPr="000205DF">
        <w:rPr>
          <w:rFonts w:cs="David" w:hint="cs"/>
          <w:rtl/>
        </w:rPr>
        <w:t>הלא</w:t>
      </w:r>
      <w:r w:rsidR="00E44E3D" w:rsidRPr="000205DF">
        <w:rPr>
          <w:rFonts w:cs="David" w:hint="cs"/>
          <w:rtl/>
        </w:rPr>
        <w:t>-</w:t>
      </w:r>
      <w:r w:rsidR="0077544B" w:rsidRPr="000205DF">
        <w:rPr>
          <w:rFonts w:cs="David" w:hint="cs"/>
          <w:rtl/>
        </w:rPr>
        <w:t xml:space="preserve">פיננסי </w:t>
      </w:r>
      <w:r w:rsidR="00FC2095" w:rsidRPr="000205DF">
        <w:rPr>
          <w:rFonts w:cs="David" w:hint="cs"/>
          <w:rtl/>
        </w:rPr>
        <w:t xml:space="preserve">ברביע </w:t>
      </w:r>
      <w:r w:rsidR="00E44E3D" w:rsidRPr="000205DF">
        <w:rPr>
          <w:rFonts w:cs="David" w:hint="cs"/>
          <w:rtl/>
        </w:rPr>
        <w:t>ה</w:t>
      </w:r>
      <w:r w:rsidR="00631A91" w:rsidRPr="000205DF">
        <w:rPr>
          <w:rFonts w:cs="David" w:hint="cs"/>
          <w:rtl/>
        </w:rPr>
        <w:t>רביעי</w:t>
      </w:r>
      <w:r w:rsidR="00802DF3" w:rsidRPr="000205DF">
        <w:rPr>
          <w:rFonts w:cs="David" w:hint="cs"/>
          <w:rtl/>
        </w:rPr>
        <w:t xml:space="preserve"> של</w:t>
      </w:r>
      <w:r w:rsidRPr="000205DF">
        <w:rPr>
          <w:rFonts w:cs="David"/>
          <w:rtl/>
        </w:rPr>
        <w:t xml:space="preserve"> </w:t>
      </w:r>
      <w:r w:rsidR="00F426C3" w:rsidRPr="000205DF">
        <w:rPr>
          <w:rFonts w:cs="David" w:hint="cs"/>
          <w:rtl/>
        </w:rPr>
        <w:t>2017</w:t>
      </w:r>
    </w:p>
    <w:bookmarkEnd w:id="0"/>
    <w:p w:rsidR="00260F11" w:rsidRPr="000205DF" w:rsidRDefault="00260F11" w:rsidP="00260F11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</w:p>
    <w:p w:rsidR="00260F11" w:rsidRPr="000205DF" w:rsidRDefault="00260F11" w:rsidP="000F3559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  <w:r w:rsidRPr="000205DF">
        <w:rPr>
          <w:rFonts w:ascii="Arial" w:hAnsi="Arial" w:cs="David" w:hint="cs"/>
          <w:i/>
          <w:iCs/>
          <w:sz w:val="24"/>
          <w:szCs w:val="24"/>
          <w:rtl/>
        </w:rPr>
        <w:t>לניתוח התפתחויות החוב בשנת 2017 כולה</w:t>
      </w:r>
      <w:r w:rsidR="000F3559" w:rsidRPr="000205DF">
        <w:rPr>
          <w:rFonts w:ascii="Arial" w:hAnsi="Arial" w:cs="David" w:hint="cs"/>
          <w:i/>
          <w:iCs/>
          <w:sz w:val="24"/>
          <w:szCs w:val="24"/>
          <w:rtl/>
        </w:rPr>
        <w:t xml:space="preserve"> </w:t>
      </w:r>
      <w:r w:rsidRPr="000205DF">
        <w:rPr>
          <w:rFonts w:ascii="Arial" w:hAnsi="Arial" w:cs="David" w:hint="cs"/>
          <w:i/>
          <w:iCs/>
          <w:sz w:val="24"/>
          <w:szCs w:val="24"/>
          <w:rtl/>
        </w:rPr>
        <w:t xml:space="preserve">ראו </w:t>
      </w:r>
      <w:hyperlink r:id="rId10" w:history="1">
        <w:r w:rsidRPr="000205DF">
          <w:rPr>
            <w:rStyle w:val="Hyperlink"/>
            <w:rFonts w:ascii="Arial" w:hAnsi="Arial" w:cs="David" w:hint="cs"/>
            <w:i/>
            <w:iCs/>
            <w:sz w:val="24"/>
            <w:szCs w:val="24"/>
            <w:rtl/>
          </w:rPr>
          <w:t>'החוב של המגזר הפרטי הלא-פיננסי'</w:t>
        </w:r>
      </w:hyperlink>
      <w:r w:rsidRPr="000205DF">
        <w:rPr>
          <w:rFonts w:ascii="Arial" w:hAnsi="Arial" w:cs="David" w:hint="cs"/>
          <w:i/>
          <w:iCs/>
          <w:sz w:val="24"/>
          <w:szCs w:val="24"/>
          <w:rtl/>
        </w:rPr>
        <w:t xml:space="preserve"> בחלק א' של פרסום 'מבט סטטיסטי 2017'. </w:t>
      </w:r>
    </w:p>
    <w:p w:rsidR="00260F11" w:rsidRPr="000205DF" w:rsidRDefault="00260F11" w:rsidP="00260F11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F574F" w:rsidRPr="000205DF" w:rsidRDefault="00B841F2" w:rsidP="00574044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0205DF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="00682B0D" w:rsidRPr="000205DF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682B0D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631A91" w:rsidRPr="000205DF">
        <w:rPr>
          <w:rFonts w:ascii="Arial" w:hAnsi="Arial" w:cs="David" w:hint="cs"/>
          <w:sz w:val="24"/>
          <w:szCs w:val="24"/>
          <w:rtl/>
        </w:rPr>
        <w:t>קטנה</w:t>
      </w:r>
      <w:r w:rsidR="00A52883" w:rsidRPr="000205DF">
        <w:rPr>
          <w:rFonts w:ascii="Arial" w:hAnsi="Arial" w:cs="David" w:hint="cs"/>
          <w:sz w:val="24"/>
          <w:szCs w:val="24"/>
          <w:rtl/>
        </w:rPr>
        <w:t xml:space="preserve"> ברביע ה</w:t>
      </w:r>
      <w:r w:rsidR="00631A91" w:rsidRPr="000205DF">
        <w:rPr>
          <w:rFonts w:ascii="Arial" w:hAnsi="Arial" w:cs="David" w:hint="cs"/>
          <w:sz w:val="24"/>
          <w:szCs w:val="24"/>
          <w:rtl/>
        </w:rPr>
        <w:t>רביעי</w:t>
      </w:r>
      <w:r w:rsidR="00A52883" w:rsidRPr="000205DF">
        <w:rPr>
          <w:rFonts w:ascii="Arial" w:hAnsi="Arial" w:cs="David" w:hint="cs"/>
          <w:sz w:val="24"/>
          <w:szCs w:val="24"/>
          <w:rtl/>
        </w:rPr>
        <w:t xml:space="preserve"> של שנת 2017 בכ-</w:t>
      </w:r>
      <w:r w:rsidR="00631A91" w:rsidRPr="000205DF">
        <w:rPr>
          <w:rFonts w:ascii="Arial" w:hAnsi="Arial" w:cs="David" w:hint="cs"/>
          <w:sz w:val="24"/>
          <w:szCs w:val="24"/>
          <w:rtl/>
        </w:rPr>
        <w:t>12</w:t>
      </w:r>
      <w:r w:rsidR="00807054" w:rsidRPr="000205DF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631A91" w:rsidRPr="000205DF">
        <w:rPr>
          <w:rFonts w:ascii="Arial" w:hAnsi="Arial" w:cs="David" w:hint="cs"/>
          <w:sz w:val="24"/>
          <w:szCs w:val="24"/>
          <w:rtl/>
        </w:rPr>
        <w:t>1.3%-)</w:t>
      </w:r>
      <w:r w:rsidR="00A52883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F426C3" w:rsidRPr="000205DF">
        <w:rPr>
          <w:rFonts w:ascii="Arial" w:hAnsi="Arial" w:cs="David" w:hint="cs"/>
          <w:sz w:val="24"/>
          <w:szCs w:val="24"/>
          <w:rtl/>
        </w:rPr>
        <w:t>ל</w:t>
      </w:r>
      <w:r w:rsidR="00340B38" w:rsidRPr="000205DF">
        <w:rPr>
          <w:rFonts w:ascii="Arial" w:hAnsi="Arial" w:cs="David" w:hint="cs"/>
          <w:sz w:val="24"/>
          <w:szCs w:val="24"/>
          <w:rtl/>
        </w:rPr>
        <w:t>ר</w:t>
      </w:r>
      <w:r w:rsidR="00F426C3" w:rsidRPr="000205DF">
        <w:rPr>
          <w:rFonts w:ascii="Arial" w:hAnsi="Arial" w:cs="David" w:hint="cs"/>
          <w:sz w:val="24"/>
          <w:szCs w:val="24"/>
          <w:rtl/>
        </w:rPr>
        <w:t>מה של</w:t>
      </w:r>
      <w:r w:rsidR="004024AB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3B17BC" w:rsidRPr="000205DF">
        <w:rPr>
          <w:rFonts w:ascii="Arial" w:hAnsi="Arial" w:cs="David" w:hint="cs"/>
          <w:sz w:val="24"/>
          <w:szCs w:val="24"/>
          <w:rtl/>
        </w:rPr>
        <w:t>כ-</w:t>
      </w:r>
      <w:r w:rsidR="00631A91" w:rsidRPr="000205DF">
        <w:rPr>
          <w:rFonts w:ascii="Arial" w:hAnsi="Arial" w:cs="David" w:hint="cs"/>
          <w:sz w:val="24"/>
          <w:szCs w:val="24"/>
          <w:rtl/>
        </w:rPr>
        <w:t>858</w:t>
      </w:r>
      <w:r w:rsidR="0089040A" w:rsidRPr="000205DF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0205DF">
        <w:rPr>
          <w:rFonts w:ascii="Arial" w:hAnsi="Arial" w:cs="David" w:hint="cs"/>
          <w:sz w:val="24"/>
          <w:szCs w:val="24"/>
          <w:rtl/>
        </w:rPr>
        <w:t>ם</w:t>
      </w:r>
      <w:r w:rsidR="0089040A" w:rsidRPr="000205DF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="0089040A" w:rsidRPr="000205DF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="004606C0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0205DF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0205D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682B0D" w:rsidRPr="000205DF">
        <w:rPr>
          <w:rFonts w:ascii="Arial" w:hAnsi="Arial" w:cs="David" w:hint="cs"/>
          <w:sz w:val="24"/>
          <w:szCs w:val="24"/>
          <w:rtl/>
        </w:rPr>
        <w:t xml:space="preserve">זה </w:t>
      </w:r>
      <w:r w:rsidR="007F1D05" w:rsidRPr="000205DF">
        <w:rPr>
          <w:rFonts w:ascii="Arial" w:hAnsi="Arial" w:cs="David" w:hint="cs"/>
          <w:sz w:val="24"/>
          <w:szCs w:val="24"/>
          <w:rtl/>
        </w:rPr>
        <w:t>בכ-</w:t>
      </w:r>
      <w:r w:rsidR="00631A91" w:rsidRPr="000205DF">
        <w:rPr>
          <w:rFonts w:ascii="Arial" w:hAnsi="Arial" w:cs="David" w:hint="cs"/>
          <w:sz w:val="24"/>
          <w:szCs w:val="24"/>
          <w:rtl/>
        </w:rPr>
        <w:t>6</w:t>
      </w:r>
      <w:r w:rsidR="00AA0702" w:rsidRPr="000205DF">
        <w:rPr>
          <w:rFonts w:ascii="Arial" w:hAnsi="Arial" w:cs="David" w:hint="cs"/>
          <w:sz w:val="24"/>
          <w:szCs w:val="24"/>
          <w:rtl/>
        </w:rPr>
        <w:t xml:space="preserve"> מיליארדים (</w:t>
      </w:r>
      <w:r w:rsidR="00631A91" w:rsidRPr="000205DF">
        <w:rPr>
          <w:rFonts w:ascii="Arial" w:hAnsi="Arial" w:cs="David" w:hint="cs"/>
          <w:sz w:val="24"/>
          <w:szCs w:val="24"/>
          <w:rtl/>
        </w:rPr>
        <w:t>1.2</w:t>
      </w:r>
      <w:r w:rsidR="00AA0702" w:rsidRPr="000205DF">
        <w:rPr>
          <w:rFonts w:ascii="Arial" w:hAnsi="Arial" w:cs="David" w:hint="cs"/>
          <w:sz w:val="24"/>
          <w:szCs w:val="24"/>
          <w:rtl/>
        </w:rPr>
        <w:t xml:space="preserve">%) </w:t>
      </w:r>
      <w:r w:rsidR="0089040A" w:rsidRPr="000205DF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0205DF">
        <w:rPr>
          <w:rFonts w:ascii="Arial" w:hAnsi="Arial" w:cs="David" w:hint="cs"/>
          <w:sz w:val="24"/>
          <w:szCs w:val="24"/>
          <w:rtl/>
        </w:rPr>
        <w:t>בסו</w:t>
      </w:r>
      <w:r w:rsidR="002F2BC6" w:rsidRPr="000205DF">
        <w:rPr>
          <w:rFonts w:ascii="Arial" w:hAnsi="Arial" w:cs="David" w:hint="cs"/>
          <w:sz w:val="24"/>
          <w:szCs w:val="24"/>
          <w:rtl/>
        </w:rPr>
        <w:t xml:space="preserve">ף </w:t>
      </w:r>
      <w:r w:rsidR="00631A91" w:rsidRPr="000205DF">
        <w:rPr>
          <w:rFonts w:ascii="Arial" w:hAnsi="Arial" w:cs="David" w:hint="cs"/>
          <w:sz w:val="24"/>
          <w:szCs w:val="24"/>
          <w:rtl/>
        </w:rPr>
        <w:t>השנה</w:t>
      </w:r>
      <w:r w:rsidR="0089040A" w:rsidRPr="000205DF">
        <w:rPr>
          <w:rFonts w:ascii="Arial" w:hAnsi="Arial" w:cs="David" w:hint="cs"/>
          <w:sz w:val="24"/>
          <w:szCs w:val="24"/>
          <w:rtl/>
        </w:rPr>
        <w:t xml:space="preserve"> על כ-</w:t>
      </w:r>
      <w:r w:rsidR="00631A91" w:rsidRPr="000205DF">
        <w:rPr>
          <w:rFonts w:ascii="Arial" w:hAnsi="Arial" w:cs="David" w:hint="cs"/>
          <w:sz w:val="24"/>
          <w:szCs w:val="24"/>
          <w:rtl/>
        </w:rPr>
        <w:t>530</w:t>
      </w:r>
      <w:r w:rsidR="0089040A" w:rsidRPr="000205DF">
        <w:rPr>
          <w:rFonts w:ascii="Arial" w:hAnsi="Arial" w:cs="David" w:hint="cs"/>
          <w:sz w:val="24"/>
          <w:szCs w:val="24"/>
          <w:rtl/>
        </w:rPr>
        <w:t xml:space="preserve"> מיליארדים</w:t>
      </w:r>
      <w:r w:rsidR="00AF6E09" w:rsidRPr="000205DF">
        <w:rPr>
          <w:rStyle w:val="af1"/>
          <w:rFonts w:ascii="Arial" w:hAnsi="Arial" w:cs="David"/>
          <w:sz w:val="24"/>
          <w:szCs w:val="24"/>
          <w:rtl/>
        </w:rPr>
        <w:footnoteReference w:id="1"/>
      </w:r>
      <w:r w:rsidR="00574044" w:rsidRPr="000205DF">
        <w:rPr>
          <w:rFonts w:ascii="Arial" w:hAnsi="Arial" w:cs="David" w:hint="cs"/>
          <w:sz w:val="24"/>
          <w:szCs w:val="24"/>
          <w:rtl/>
        </w:rPr>
        <w:t>.</w:t>
      </w:r>
      <w:r w:rsidR="00574044" w:rsidRPr="000205DF">
        <w:rPr>
          <w:rFonts w:ascii="Arial" w:hAnsi="Arial" w:cs="David"/>
          <w:sz w:val="24"/>
          <w:szCs w:val="24"/>
          <w:rtl/>
        </w:rPr>
        <w:t xml:space="preserve"> על אף זאת, שיעור הגידול השנתי של יתרת חוב</w:t>
      </w:r>
      <w:r w:rsidR="00574044" w:rsidRPr="000205DF">
        <w:rPr>
          <w:rFonts w:ascii="Arial" w:hAnsi="Arial" w:cs="David" w:hint="cs"/>
          <w:sz w:val="24"/>
          <w:szCs w:val="24"/>
          <w:rtl/>
        </w:rPr>
        <w:t xml:space="preserve"> משקי הבית, הן לדיור והן שלא לדיור, </w:t>
      </w:r>
      <w:r w:rsidR="00574044" w:rsidRPr="000205DF">
        <w:rPr>
          <w:rFonts w:ascii="Arial" w:hAnsi="Arial" w:cs="David"/>
          <w:sz w:val="24"/>
          <w:szCs w:val="24"/>
          <w:rtl/>
        </w:rPr>
        <w:t>נמוך משיעור</w:t>
      </w:r>
      <w:r w:rsidR="00574044" w:rsidRPr="000205DF">
        <w:rPr>
          <w:rFonts w:ascii="Arial" w:hAnsi="Arial" w:cs="David" w:hint="cs"/>
          <w:sz w:val="24"/>
          <w:szCs w:val="24"/>
          <w:rtl/>
        </w:rPr>
        <w:t>י</w:t>
      </w:r>
      <w:r w:rsidR="00574044" w:rsidRPr="000205DF">
        <w:rPr>
          <w:rFonts w:ascii="Arial" w:hAnsi="Arial" w:cs="David"/>
          <w:sz w:val="24"/>
          <w:szCs w:val="24"/>
          <w:rtl/>
        </w:rPr>
        <w:t xml:space="preserve"> הגידול אשתקד</w:t>
      </w:r>
      <w:r w:rsidR="00574044" w:rsidRPr="000205DF">
        <w:rPr>
          <w:rFonts w:ascii="Arial" w:hAnsi="Arial" w:cs="David" w:hint="cs"/>
          <w:sz w:val="24"/>
          <w:szCs w:val="24"/>
          <w:rtl/>
        </w:rPr>
        <w:t>,</w:t>
      </w:r>
      <w:r w:rsidR="00574044" w:rsidRPr="000205DF">
        <w:rPr>
          <w:rFonts w:ascii="Arial" w:hAnsi="Arial" w:cs="David"/>
          <w:sz w:val="24"/>
          <w:szCs w:val="24"/>
          <w:rtl/>
        </w:rPr>
        <w:t xml:space="preserve"> </w:t>
      </w:r>
      <w:r w:rsidR="00574044" w:rsidRPr="000205DF">
        <w:rPr>
          <w:rFonts w:ascii="Arial" w:hAnsi="Arial" w:cs="David" w:hint="cs"/>
          <w:sz w:val="24"/>
          <w:szCs w:val="24"/>
          <w:rtl/>
        </w:rPr>
        <w:t>ו</w:t>
      </w:r>
      <w:r w:rsidR="00574044" w:rsidRPr="000205DF">
        <w:rPr>
          <w:rFonts w:ascii="Arial" w:hAnsi="Arial" w:cs="David"/>
          <w:sz w:val="24"/>
          <w:szCs w:val="24"/>
          <w:rtl/>
        </w:rPr>
        <w:t>בפרט בחוב שלא לדיור</w:t>
      </w:r>
      <w:r w:rsidR="00574044" w:rsidRPr="000205DF">
        <w:rPr>
          <w:rFonts w:ascii="Arial" w:hAnsi="Arial" w:cs="David" w:hint="cs"/>
          <w:sz w:val="24"/>
          <w:szCs w:val="24"/>
          <w:rtl/>
        </w:rPr>
        <w:t>.</w:t>
      </w:r>
    </w:p>
    <w:p w:rsidR="009E07BE" w:rsidRPr="000205DF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0205D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0205DF">
        <w:rPr>
          <w:rStyle w:val="10"/>
          <w:rFonts w:cs="David"/>
          <w:rtl/>
        </w:rPr>
        <w:t>החוב של המגזר העסקי</w:t>
      </w:r>
      <w:r w:rsidR="0028327B" w:rsidRPr="000205D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38" w:rsidRPr="000205DF" w:rsidRDefault="0089040A" w:rsidP="00C3278B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0205DF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0205DF">
        <w:rPr>
          <w:rFonts w:ascii="Arial" w:hAnsi="Arial" w:cs="David" w:hint="cs"/>
          <w:sz w:val="24"/>
          <w:szCs w:val="24"/>
          <w:rtl/>
        </w:rPr>
        <w:t>ל</w:t>
      </w:r>
      <w:r w:rsidRPr="000205DF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0205DF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0205DF">
        <w:rPr>
          <w:rFonts w:ascii="Arial" w:hAnsi="Arial" w:cs="David" w:hint="cs"/>
          <w:sz w:val="24"/>
          <w:szCs w:val="24"/>
          <w:rtl/>
        </w:rPr>
        <w:t>ה</w:t>
      </w:r>
      <w:r w:rsidR="00132A42" w:rsidRPr="000205DF">
        <w:rPr>
          <w:rFonts w:ascii="Arial" w:hAnsi="Arial" w:cs="David" w:hint="cs"/>
          <w:sz w:val="24"/>
          <w:szCs w:val="24"/>
          <w:rtl/>
        </w:rPr>
        <w:t>רביעי</w:t>
      </w:r>
      <w:r w:rsidR="000F7E97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510ABA" w:rsidRPr="000205DF">
        <w:rPr>
          <w:rFonts w:ascii="Arial" w:hAnsi="Arial" w:cs="David" w:hint="cs"/>
          <w:sz w:val="24"/>
          <w:szCs w:val="24"/>
          <w:rtl/>
        </w:rPr>
        <w:t xml:space="preserve">של </w:t>
      </w:r>
      <w:r w:rsidR="000F7E97" w:rsidRPr="000205DF">
        <w:rPr>
          <w:rFonts w:ascii="Arial" w:hAnsi="Arial" w:cs="David" w:hint="cs"/>
          <w:sz w:val="24"/>
          <w:szCs w:val="24"/>
          <w:rtl/>
        </w:rPr>
        <w:t xml:space="preserve">שנת 2017 </w:t>
      </w:r>
      <w:r w:rsidR="00132A42" w:rsidRPr="000205DF">
        <w:rPr>
          <w:rFonts w:ascii="Arial" w:hAnsi="Arial" w:cs="David" w:hint="cs"/>
          <w:sz w:val="24"/>
          <w:szCs w:val="24"/>
          <w:rtl/>
        </w:rPr>
        <w:t>קטנה</w:t>
      </w:r>
      <w:r w:rsidR="00807054" w:rsidRPr="000205DF">
        <w:rPr>
          <w:rFonts w:ascii="Arial" w:hAnsi="Arial" w:cs="David" w:hint="cs"/>
          <w:sz w:val="24"/>
          <w:szCs w:val="24"/>
          <w:rtl/>
        </w:rPr>
        <w:t xml:space="preserve"> יתרת ה</w:t>
      </w:r>
      <w:r w:rsidR="00340B38" w:rsidRPr="000205DF">
        <w:rPr>
          <w:rFonts w:ascii="Arial" w:hAnsi="Arial" w:cs="David" w:hint="cs"/>
          <w:sz w:val="24"/>
          <w:szCs w:val="24"/>
          <w:rtl/>
        </w:rPr>
        <w:t xml:space="preserve">חוב של המגזר העסקי </w:t>
      </w:r>
      <w:r w:rsidR="00807054" w:rsidRPr="000205DF">
        <w:rPr>
          <w:rFonts w:ascii="Arial" w:hAnsi="Arial" w:cs="David" w:hint="cs"/>
          <w:sz w:val="24"/>
          <w:szCs w:val="24"/>
          <w:rtl/>
        </w:rPr>
        <w:t>בכ-</w:t>
      </w:r>
      <w:r w:rsidR="00132A42" w:rsidRPr="000205DF">
        <w:rPr>
          <w:rFonts w:ascii="Arial" w:hAnsi="Arial" w:cs="David" w:hint="cs"/>
          <w:sz w:val="24"/>
          <w:szCs w:val="24"/>
          <w:rtl/>
        </w:rPr>
        <w:t>12</w:t>
      </w:r>
      <w:r w:rsidR="00807054" w:rsidRPr="000205DF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132A42" w:rsidRPr="000205DF">
        <w:rPr>
          <w:rFonts w:ascii="Arial" w:hAnsi="Arial" w:cs="David" w:hint="cs"/>
          <w:sz w:val="24"/>
          <w:szCs w:val="24"/>
          <w:rtl/>
        </w:rPr>
        <w:t xml:space="preserve">1.3%-) </w:t>
      </w:r>
      <w:r w:rsidR="00807054" w:rsidRPr="000205DF">
        <w:rPr>
          <w:rFonts w:ascii="Arial" w:hAnsi="Arial" w:cs="David" w:hint="cs"/>
          <w:sz w:val="24"/>
          <w:szCs w:val="24"/>
          <w:rtl/>
        </w:rPr>
        <w:t>לרמה של כ-</w:t>
      </w:r>
      <w:r w:rsidR="00132A42" w:rsidRPr="000205DF">
        <w:rPr>
          <w:rFonts w:ascii="Arial" w:hAnsi="Arial" w:cs="David" w:hint="cs"/>
          <w:sz w:val="24"/>
          <w:szCs w:val="24"/>
          <w:rtl/>
        </w:rPr>
        <w:t>858 מיליארדים, זאת על אף שנרשם גידול כמו</w:t>
      </w:r>
      <w:r w:rsidR="003F39B8" w:rsidRPr="000205DF">
        <w:rPr>
          <w:rFonts w:ascii="Arial" w:hAnsi="Arial" w:cs="David" w:hint="cs"/>
          <w:sz w:val="24"/>
          <w:szCs w:val="24"/>
          <w:rtl/>
        </w:rPr>
        <w:t>תי בהלוואות בנקאיות, בהלוואות ישירות מהגופים המוסדיים</w:t>
      </w:r>
      <w:r w:rsidR="00132A42" w:rsidRPr="000205DF">
        <w:rPr>
          <w:rFonts w:ascii="Arial" w:hAnsi="Arial" w:cs="David" w:hint="cs"/>
          <w:sz w:val="24"/>
          <w:szCs w:val="24"/>
          <w:rtl/>
        </w:rPr>
        <w:t xml:space="preserve"> ובאג"ח סחירות בישראל.</w:t>
      </w:r>
      <w:r w:rsidR="003F39B8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132A42" w:rsidRPr="000205DF">
        <w:rPr>
          <w:rFonts w:ascii="Arial" w:hAnsi="Arial" w:cs="David" w:hint="cs"/>
          <w:sz w:val="24"/>
          <w:szCs w:val="24"/>
          <w:rtl/>
        </w:rPr>
        <w:t xml:space="preserve">גידול זה קוזז כולו ואף יותר </w:t>
      </w:r>
      <w:r w:rsidR="001329B0" w:rsidRPr="000205DF">
        <w:rPr>
          <w:rFonts w:ascii="Arial" w:hAnsi="Arial" w:cs="David" w:hint="cs"/>
          <w:sz w:val="24"/>
          <w:szCs w:val="24"/>
          <w:rtl/>
        </w:rPr>
        <w:t xml:space="preserve">בעיקר </w:t>
      </w:r>
      <w:r w:rsidR="00132A42" w:rsidRPr="000205DF">
        <w:rPr>
          <w:rFonts w:ascii="Arial" w:hAnsi="Arial" w:cs="David" w:hint="cs"/>
          <w:sz w:val="24"/>
          <w:szCs w:val="24"/>
          <w:rtl/>
        </w:rPr>
        <w:t xml:space="preserve">כתוצאה </w:t>
      </w:r>
      <w:r w:rsidR="001329B0" w:rsidRPr="000205DF">
        <w:rPr>
          <w:rFonts w:ascii="Arial" w:hAnsi="Arial" w:cs="David" w:hint="cs"/>
          <w:sz w:val="24"/>
          <w:szCs w:val="24"/>
          <w:rtl/>
        </w:rPr>
        <w:t xml:space="preserve">מפירעון </w:t>
      </w:r>
      <w:r w:rsidR="00C3278B" w:rsidRPr="000205DF">
        <w:rPr>
          <w:rFonts w:ascii="Arial" w:hAnsi="Arial" w:cs="David" w:hint="cs"/>
          <w:sz w:val="24"/>
          <w:szCs w:val="24"/>
          <w:rtl/>
        </w:rPr>
        <w:t xml:space="preserve">הלוואות </w:t>
      </w:r>
      <w:r w:rsidR="001329B0" w:rsidRPr="000205DF">
        <w:rPr>
          <w:rFonts w:ascii="Arial" w:hAnsi="Arial" w:cs="David" w:hint="cs"/>
          <w:sz w:val="24"/>
          <w:szCs w:val="24"/>
          <w:rtl/>
        </w:rPr>
        <w:t xml:space="preserve">מתושבי חוץ </w:t>
      </w:r>
      <w:r w:rsidR="00132A42" w:rsidRPr="000205DF">
        <w:rPr>
          <w:rFonts w:ascii="Arial" w:hAnsi="Arial" w:cs="David" w:hint="cs"/>
          <w:sz w:val="24"/>
          <w:szCs w:val="24"/>
          <w:rtl/>
        </w:rPr>
        <w:t>ומייסוף של כ-1.8% ב</w:t>
      </w:r>
      <w:r w:rsidR="00340B38" w:rsidRPr="000205DF">
        <w:rPr>
          <w:rFonts w:ascii="Arial" w:hAnsi="Arial" w:cs="David" w:hint="cs"/>
          <w:sz w:val="24"/>
          <w:szCs w:val="24"/>
          <w:rtl/>
        </w:rPr>
        <w:t xml:space="preserve">שער החליפין של </w:t>
      </w:r>
      <w:r w:rsidR="00340B38" w:rsidRPr="000205DF">
        <w:rPr>
          <w:rFonts w:ascii="Arial" w:hAnsi="Arial" w:cs="David"/>
          <w:sz w:val="24"/>
          <w:szCs w:val="24"/>
          <w:rtl/>
        </w:rPr>
        <w:t>השקל מול הדולר</w:t>
      </w:r>
      <w:r w:rsidR="00340B38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3E3AEF" w:rsidRPr="000205DF">
        <w:rPr>
          <w:rFonts w:ascii="Arial" w:hAnsi="Arial" w:cs="David" w:hint="cs"/>
          <w:sz w:val="24"/>
          <w:szCs w:val="24"/>
          <w:rtl/>
        </w:rPr>
        <w:t>ש</w:t>
      </w:r>
      <w:r w:rsidR="00340B38" w:rsidRPr="000205DF">
        <w:rPr>
          <w:rFonts w:ascii="Arial" w:hAnsi="Arial" w:cs="David" w:hint="cs"/>
          <w:sz w:val="24"/>
          <w:szCs w:val="24"/>
          <w:rtl/>
        </w:rPr>
        <w:t>ה</w:t>
      </w:r>
      <w:r w:rsidR="00132A42" w:rsidRPr="000205DF">
        <w:rPr>
          <w:rFonts w:ascii="Arial" w:hAnsi="Arial" w:cs="David" w:hint="cs"/>
          <w:sz w:val="24"/>
          <w:szCs w:val="24"/>
          <w:rtl/>
        </w:rPr>
        <w:t>קטין</w:t>
      </w:r>
      <w:r w:rsidR="00340B38" w:rsidRPr="000205DF">
        <w:rPr>
          <w:rFonts w:ascii="Arial" w:hAnsi="Arial" w:cs="David" w:hint="cs"/>
          <w:sz w:val="24"/>
          <w:szCs w:val="24"/>
          <w:rtl/>
        </w:rPr>
        <w:t xml:space="preserve"> את ה</w:t>
      </w:r>
      <w:r w:rsidR="004474C7" w:rsidRPr="000205DF">
        <w:rPr>
          <w:rFonts w:ascii="Arial" w:hAnsi="Arial" w:cs="David" w:hint="cs"/>
          <w:sz w:val="24"/>
          <w:szCs w:val="24"/>
          <w:rtl/>
        </w:rPr>
        <w:t xml:space="preserve">שווי של החוב הנקוב והצמוד מט"ח. </w:t>
      </w:r>
      <w:r w:rsidR="003F39B8" w:rsidRPr="000205DF">
        <w:rPr>
          <w:rFonts w:ascii="Arial" w:hAnsi="Arial" w:cs="David" w:hint="cs"/>
          <w:sz w:val="24"/>
          <w:szCs w:val="24"/>
          <w:rtl/>
        </w:rPr>
        <w:t>(איור 1).</w:t>
      </w:r>
    </w:p>
    <w:p w:rsidR="002A51F1" w:rsidRPr="000205DF" w:rsidRDefault="004C43DC" w:rsidP="00695929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0205DF">
        <w:rPr>
          <w:rFonts w:ascii="Arial" w:hAnsi="Arial" w:cs="David"/>
          <w:sz w:val="24"/>
          <w:szCs w:val="24"/>
          <w:rtl/>
        </w:rPr>
        <w:t xml:space="preserve">ברביע </w:t>
      </w:r>
      <w:r w:rsidR="00670D97" w:rsidRPr="000205DF">
        <w:rPr>
          <w:rFonts w:ascii="Arial" w:hAnsi="Arial" w:cs="David" w:hint="cs"/>
          <w:sz w:val="24"/>
          <w:szCs w:val="24"/>
          <w:rtl/>
        </w:rPr>
        <w:t>ה</w:t>
      </w:r>
      <w:r w:rsidR="006042F7" w:rsidRPr="000205DF">
        <w:rPr>
          <w:rFonts w:ascii="Arial" w:hAnsi="Arial" w:cs="David" w:hint="cs"/>
          <w:sz w:val="24"/>
          <w:szCs w:val="24"/>
          <w:rtl/>
        </w:rPr>
        <w:t>רביעי</w:t>
      </w:r>
      <w:r w:rsidR="00981FA3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E335BB" w:rsidRPr="000205DF">
        <w:rPr>
          <w:rFonts w:ascii="Arial" w:hAnsi="Arial" w:cs="David"/>
          <w:sz w:val="24"/>
          <w:szCs w:val="24"/>
          <w:rtl/>
        </w:rPr>
        <w:t>של השנה</w:t>
      </w:r>
      <w:r w:rsidR="00E335BB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Pr="000205DF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0205DF">
        <w:rPr>
          <w:rFonts w:ascii="Arial" w:hAnsi="Arial" w:cs="David"/>
          <w:sz w:val="24"/>
          <w:szCs w:val="24"/>
          <w:rtl/>
        </w:rPr>
        <w:t xml:space="preserve"> (ללא בנקים וביטוח) אג"ח בשווי של כ-</w:t>
      </w:r>
      <w:r w:rsidR="00695929" w:rsidRPr="000205DF">
        <w:rPr>
          <w:rFonts w:ascii="Arial" w:hAnsi="Arial" w:cs="David" w:hint="cs"/>
          <w:sz w:val="24"/>
          <w:szCs w:val="24"/>
          <w:rtl/>
        </w:rPr>
        <w:t>10.9</w:t>
      </w:r>
      <w:r w:rsidR="002A51F1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2A51F1" w:rsidRPr="000205DF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0205DF">
        <w:rPr>
          <w:rFonts w:ascii="Arial" w:hAnsi="Arial" w:cs="David" w:hint="cs"/>
          <w:sz w:val="24"/>
          <w:szCs w:val="24"/>
          <w:rtl/>
        </w:rPr>
        <w:t xml:space="preserve">, </w:t>
      </w:r>
      <w:r w:rsidR="00981FA3" w:rsidRPr="000205DF">
        <w:rPr>
          <w:rFonts w:ascii="Arial" w:hAnsi="Arial" w:cs="David" w:hint="cs"/>
          <w:sz w:val="24"/>
          <w:szCs w:val="24"/>
          <w:rtl/>
        </w:rPr>
        <w:t xml:space="preserve">זאת </w:t>
      </w:r>
      <w:r w:rsidR="000F7E97" w:rsidRPr="000205DF">
        <w:rPr>
          <w:rFonts w:ascii="Arial" w:hAnsi="Arial" w:cs="David" w:hint="cs"/>
          <w:sz w:val="24"/>
          <w:szCs w:val="24"/>
          <w:rtl/>
        </w:rPr>
        <w:t>בהמשך</w:t>
      </w:r>
      <w:r w:rsidR="00981FA3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0F7E97" w:rsidRPr="000205DF">
        <w:rPr>
          <w:rFonts w:ascii="Arial" w:hAnsi="Arial" w:cs="David" w:hint="cs"/>
          <w:sz w:val="24"/>
          <w:szCs w:val="24"/>
          <w:rtl/>
        </w:rPr>
        <w:t>ל</w:t>
      </w:r>
      <w:r w:rsidR="00981FA3" w:rsidRPr="000205DF">
        <w:rPr>
          <w:rFonts w:ascii="Arial" w:hAnsi="Arial" w:cs="David" w:hint="cs"/>
          <w:sz w:val="24"/>
          <w:szCs w:val="24"/>
          <w:rtl/>
        </w:rPr>
        <w:t>גיוסים גבוהים</w:t>
      </w:r>
      <w:r w:rsidR="002A51F1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695929" w:rsidRPr="000205DF">
        <w:rPr>
          <w:rFonts w:ascii="Arial" w:hAnsi="Arial" w:cs="David" w:hint="cs"/>
          <w:sz w:val="24"/>
          <w:szCs w:val="24"/>
          <w:rtl/>
        </w:rPr>
        <w:t xml:space="preserve">שנרשמו בשלושת הרבעים הראשונים של </w:t>
      </w:r>
      <w:r w:rsidR="000F7E97" w:rsidRPr="000205DF">
        <w:rPr>
          <w:rFonts w:ascii="Arial" w:hAnsi="Arial" w:cs="David" w:hint="cs"/>
          <w:sz w:val="24"/>
          <w:szCs w:val="24"/>
          <w:rtl/>
        </w:rPr>
        <w:t xml:space="preserve">השנה </w:t>
      </w:r>
      <w:r w:rsidR="002A51F1" w:rsidRPr="000205DF">
        <w:rPr>
          <w:rFonts w:ascii="Arial" w:hAnsi="Arial" w:cs="David" w:hint="cs"/>
          <w:sz w:val="24"/>
          <w:szCs w:val="24"/>
          <w:rtl/>
        </w:rPr>
        <w:t>(כ-</w:t>
      </w:r>
      <w:r w:rsidR="00695929" w:rsidRPr="000205DF">
        <w:rPr>
          <w:rFonts w:ascii="Arial" w:hAnsi="Arial" w:cs="David" w:hint="cs"/>
          <w:sz w:val="24"/>
          <w:szCs w:val="24"/>
          <w:rtl/>
        </w:rPr>
        <w:t>37</w:t>
      </w:r>
      <w:r w:rsidR="002A51F1" w:rsidRPr="000205DF">
        <w:rPr>
          <w:rFonts w:ascii="Arial" w:hAnsi="Arial" w:cs="David" w:hint="cs"/>
          <w:sz w:val="24"/>
          <w:szCs w:val="24"/>
          <w:rtl/>
        </w:rPr>
        <w:t xml:space="preserve"> מיליארדים). </w:t>
      </w:r>
      <w:r w:rsidR="000F7E97" w:rsidRPr="000205DF">
        <w:rPr>
          <w:rFonts w:ascii="Arial" w:hAnsi="Arial" w:cs="David" w:hint="cs"/>
          <w:sz w:val="24"/>
          <w:szCs w:val="24"/>
          <w:rtl/>
        </w:rPr>
        <w:t xml:space="preserve">ברביע זה בלטו הגיוסים של חברות מענף התעשייה והגז וחברות מענף </w:t>
      </w:r>
      <w:r w:rsidR="002A51F1" w:rsidRPr="000205DF">
        <w:rPr>
          <w:rFonts w:ascii="Arial" w:hAnsi="Arial" w:cs="David" w:hint="cs"/>
          <w:sz w:val="24"/>
          <w:szCs w:val="24"/>
          <w:rtl/>
        </w:rPr>
        <w:t xml:space="preserve">הנדל"ן </w:t>
      </w:r>
      <w:r w:rsidR="00981FA3" w:rsidRPr="000205DF">
        <w:rPr>
          <w:rFonts w:ascii="Arial" w:hAnsi="Arial" w:cs="David" w:hint="cs"/>
          <w:sz w:val="24"/>
          <w:szCs w:val="24"/>
          <w:rtl/>
        </w:rPr>
        <w:t>והבינוי</w:t>
      </w:r>
      <w:r w:rsidR="000F7E97" w:rsidRPr="000205DF">
        <w:rPr>
          <w:rFonts w:ascii="Arial" w:hAnsi="Arial" w:cs="David" w:hint="cs"/>
          <w:sz w:val="24"/>
          <w:szCs w:val="24"/>
          <w:rtl/>
        </w:rPr>
        <w:t xml:space="preserve"> (כ-3</w:t>
      </w:r>
      <w:r w:rsidR="00695929" w:rsidRPr="000205DF">
        <w:rPr>
          <w:rFonts w:ascii="Arial" w:hAnsi="Arial" w:cs="David" w:hint="cs"/>
          <w:sz w:val="24"/>
          <w:szCs w:val="24"/>
          <w:rtl/>
        </w:rPr>
        <w:t>8</w:t>
      </w:r>
      <w:r w:rsidR="000F7E97" w:rsidRPr="000205DF">
        <w:rPr>
          <w:rFonts w:ascii="Arial" w:hAnsi="Arial" w:cs="David" w:hint="cs"/>
          <w:sz w:val="24"/>
          <w:szCs w:val="24"/>
          <w:rtl/>
        </w:rPr>
        <w:t>% וכ-3</w:t>
      </w:r>
      <w:r w:rsidR="00695929" w:rsidRPr="000205DF">
        <w:rPr>
          <w:rFonts w:ascii="Arial" w:hAnsi="Arial" w:cs="David" w:hint="cs"/>
          <w:sz w:val="24"/>
          <w:szCs w:val="24"/>
          <w:rtl/>
        </w:rPr>
        <w:t>2</w:t>
      </w:r>
      <w:r w:rsidR="000F7E97" w:rsidRPr="000205DF">
        <w:rPr>
          <w:rFonts w:ascii="Arial" w:hAnsi="Arial" w:cs="David" w:hint="cs"/>
          <w:sz w:val="24"/>
          <w:szCs w:val="24"/>
          <w:rtl/>
        </w:rPr>
        <w:t>% מסך הגיוסים, בהתאמה)</w:t>
      </w:r>
      <w:r w:rsidR="00981FA3" w:rsidRPr="000205DF">
        <w:rPr>
          <w:rFonts w:ascii="Arial" w:hAnsi="Arial" w:cs="David" w:hint="cs"/>
          <w:sz w:val="24"/>
          <w:szCs w:val="24"/>
          <w:rtl/>
        </w:rPr>
        <w:t xml:space="preserve">. </w:t>
      </w:r>
      <w:r w:rsidR="00695929" w:rsidRPr="000205DF">
        <w:rPr>
          <w:rFonts w:ascii="Arial" w:hAnsi="Arial" w:cs="David" w:hint="cs"/>
          <w:sz w:val="24"/>
          <w:szCs w:val="24"/>
          <w:rtl/>
        </w:rPr>
        <w:t xml:space="preserve">בינואר 2018 </w:t>
      </w:r>
      <w:r w:rsidR="002A51F1" w:rsidRPr="000205DF">
        <w:rPr>
          <w:rFonts w:ascii="Arial" w:hAnsi="Arial" w:cs="David" w:hint="cs"/>
          <w:sz w:val="24"/>
          <w:szCs w:val="24"/>
          <w:rtl/>
        </w:rPr>
        <w:t>הנפיק המגזר העסקי אג"ח בשווי של כ-</w:t>
      </w:r>
      <w:r w:rsidR="00695929" w:rsidRPr="000205DF">
        <w:rPr>
          <w:rFonts w:ascii="Arial" w:hAnsi="Arial" w:cs="David" w:hint="cs"/>
          <w:sz w:val="24"/>
          <w:szCs w:val="24"/>
          <w:rtl/>
        </w:rPr>
        <w:t>5.8</w:t>
      </w:r>
      <w:r w:rsidR="002A51F1" w:rsidRPr="000205DF">
        <w:rPr>
          <w:rFonts w:ascii="Arial" w:hAnsi="Arial" w:cs="David" w:hint="cs"/>
          <w:sz w:val="24"/>
          <w:szCs w:val="24"/>
          <w:rtl/>
        </w:rPr>
        <w:t xml:space="preserve"> מיליארדי ש"ח, רובן באג"ח סחירות</w:t>
      </w:r>
      <w:r w:rsidR="00695929" w:rsidRPr="000205DF">
        <w:rPr>
          <w:rFonts w:ascii="Arial" w:hAnsi="Arial" w:cs="David" w:hint="cs"/>
          <w:sz w:val="24"/>
          <w:szCs w:val="24"/>
          <w:rtl/>
        </w:rPr>
        <w:t>, גבוה ממוצע הגיוסים החודשי בשנת 2017 (כ-4 מיליארדים)</w:t>
      </w:r>
      <w:r w:rsidR="002A51F1" w:rsidRPr="000205DF">
        <w:rPr>
          <w:rFonts w:ascii="Arial" w:hAnsi="Arial" w:cs="David" w:hint="cs"/>
          <w:sz w:val="24"/>
          <w:szCs w:val="24"/>
          <w:rtl/>
        </w:rPr>
        <w:t>.</w:t>
      </w:r>
    </w:p>
    <w:p w:rsidR="00E44E3D" w:rsidRPr="000205DF" w:rsidRDefault="00B17282" w:rsidP="00215E7F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205DF">
        <w:rPr>
          <w:rFonts w:ascii="Arial" w:hAnsi="Arial" w:cs="David" w:hint="cs"/>
          <w:sz w:val="24"/>
          <w:szCs w:val="24"/>
          <w:rtl/>
        </w:rPr>
        <w:t>ברביע ה</w:t>
      </w:r>
      <w:r w:rsidR="00260F11" w:rsidRPr="000205DF">
        <w:rPr>
          <w:rFonts w:ascii="Arial" w:hAnsi="Arial" w:cs="David" w:hint="cs"/>
          <w:sz w:val="24"/>
          <w:szCs w:val="24"/>
          <w:rtl/>
        </w:rPr>
        <w:t>רביעי</w:t>
      </w:r>
      <w:r w:rsidRPr="000205DF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985B74" w:rsidRPr="000205DF">
        <w:rPr>
          <w:rFonts w:ascii="Arial" w:hAnsi="Arial" w:cs="David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האג"ח הממשלתיות </w:t>
      </w:r>
      <w:r w:rsidR="00DA4279" w:rsidRPr="000205DF">
        <w:rPr>
          <w:rFonts w:ascii="Arial" w:hAnsi="Arial" w:cs="David" w:hint="cs"/>
          <w:b/>
          <w:bCs/>
          <w:sz w:val="24"/>
          <w:szCs w:val="24"/>
          <w:rtl/>
        </w:rPr>
        <w:t>הצמודות</w:t>
      </w:r>
      <w:r w:rsidR="00DA4279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166C6B" w:rsidRPr="000205DF">
        <w:rPr>
          <w:rFonts w:ascii="Arial" w:hAnsi="Arial" w:cs="David" w:hint="cs"/>
          <w:sz w:val="24"/>
          <w:szCs w:val="24"/>
          <w:rtl/>
        </w:rPr>
        <w:t>ה</w:t>
      </w:r>
      <w:r w:rsidR="00260F11" w:rsidRPr="000205DF">
        <w:rPr>
          <w:rFonts w:ascii="Arial" w:hAnsi="Arial" w:cs="David" w:hint="cs"/>
          <w:sz w:val="24"/>
          <w:szCs w:val="24"/>
          <w:rtl/>
        </w:rPr>
        <w:t>תרחב</w:t>
      </w:r>
      <w:r w:rsidR="009B7097" w:rsidRPr="000205DF">
        <w:rPr>
          <w:rFonts w:ascii="Arial" w:hAnsi="Arial" w:cs="David" w:hint="cs"/>
          <w:sz w:val="24"/>
          <w:szCs w:val="24"/>
          <w:rtl/>
        </w:rPr>
        <w:t xml:space="preserve"> בכ-</w:t>
      </w:r>
      <w:r w:rsidRPr="000205DF">
        <w:rPr>
          <w:rFonts w:ascii="Arial" w:hAnsi="Arial" w:cs="David" w:hint="cs"/>
          <w:sz w:val="24"/>
          <w:szCs w:val="24"/>
          <w:rtl/>
        </w:rPr>
        <w:t>0.</w:t>
      </w:r>
      <w:r w:rsidR="00260F11" w:rsidRPr="000205DF">
        <w:rPr>
          <w:rFonts w:ascii="Arial" w:hAnsi="Arial" w:cs="David" w:hint="cs"/>
          <w:sz w:val="24"/>
          <w:szCs w:val="24"/>
          <w:rtl/>
        </w:rPr>
        <w:t>1</w:t>
      </w:r>
      <w:r w:rsidR="009B7097" w:rsidRPr="000205DF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2C2286" w:rsidRPr="000205DF">
        <w:rPr>
          <w:rFonts w:ascii="Arial" w:hAnsi="Arial" w:cs="David" w:hint="cs"/>
          <w:sz w:val="24"/>
          <w:szCs w:val="24"/>
          <w:rtl/>
        </w:rPr>
        <w:t>לרמה של כ-</w:t>
      </w:r>
      <w:r w:rsidR="00260F11" w:rsidRPr="000205DF">
        <w:rPr>
          <w:rFonts w:ascii="Arial" w:hAnsi="Arial" w:cs="David" w:hint="cs"/>
          <w:sz w:val="24"/>
          <w:szCs w:val="24"/>
          <w:rtl/>
        </w:rPr>
        <w:t>1.1</w:t>
      </w:r>
      <w:r w:rsidRPr="000205DF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2C2286" w:rsidRPr="000205DF">
        <w:rPr>
          <w:rFonts w:ascii="Arial" w:hAnsi="Arial" w:cs="David" w:hint="cs"/>
          <w:sz w:val="24"/>
          <w:szCs w:val="24"/>
          <w:rtl/>
        </w:rPr>
        <w:t xml:space="preserve">, </w:t>
      </w:r>
      <w:r w:rsidRPr="000205DF">
        <w:rPr>
          <w:rFonts w:ascii="Arial" w:hAnsi="Arial" w:cs="David" w:hint="cs"/>
          <w:sz w:val="24"/>
          <w:szCs w:val="24"/>
          <w:rtl/>
        </w:rPr>
        <w:t xml:space="preserve">זאת לאחר </w:t>
      </w:r>
      <w:r w:rsidR="002C2286" w:rsidRPr="000205DF">
        <w:rPr>
          <w:rFonts w:ascii="Arial" w:hAnsi="Arial" w:cs="David" w:hint="cs"/>
          <w:sz w:val="24"/>
          <w:szCs w:val="24"/>
          <w:rtl/>
        </w:rPr>
        <w:t>ה</w:t>
      </w:r>
      <w:r w:rsidR="00260F11" w:rsidRPr="000205DF">
        <w:rPr>
          <w:rFonts w:ascii="Arial" w:hAnsi="Arial" w:cs="David" w:hint="cs"/>
          <w:sz w:val="24"/>
          <w:szCs w:val="24"/>
          <w:rtl/>
        </w:rPr>
        <w:t>צטמצמות</w:t>
      </w:r>
      <w:r w:rsidRPr="000205DF">
        <w:rPr>
          <w:rFonts w:ascii="Arial" w:hAnsi="Arial" w:cs="David" w:hint="cs"/>
          <w:sz w:val="24"/>
          <w:szCs w:val="24"/>
          <w:rtl/>
        </w:rPr>
        <w:t xml:space="preserve"> שנרשמה ברביע ה</w:t>
      </w:r>
      <w:r w:rsidR="004169F7" w:rsidRPr="000205DF">
        <w:rPr>
          <w:rFonts w:ascii="Arial" w:hAnsi="Arial" w:cs="David" w:hint="cs"/>
          <w:sz w:val="24"/>
          <w:szCs w:val="24"/>
          <w:rtl/>
        </w:rPr>
        <w:t xml:space="preserve">קודם. </w:t>
      </w:r>
      <w:r w:rsidR="008E7A02" w:rsidRPr="000205DF">
        <w:rPr>
          <w:rFonts w:ascii="Arial" w:hAnsi="Arial" w:cs="David" w:hint="cs"/>
          <w:sz w:val="24"/>
          <w:szCs w:val="24"/>
          <w:rtl/>
        </w:rPr>
        <w:t>ב</w:t>
      </w:r>
      <w:r w:rsidR="00260F11" w:rsidRPr="000205DF">
        <w:rPr>
          <w:rFonts w:ascii="Arial" w:hAnsi="Arial" w:cs="David" w:hint="cs"/>
          <w:sz w:val="24"/>
          <w:szCs w:val="24"/>
          <w:rtl/>
        </w:rPr>
        <w:t>ינואר</w:t>
      </w:r>
      <w:r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8E7A02" w:rsidRPr="000205DF">
        <w:rPr>
          <w:rFonts w:ascii="Arial" w:hAnsi="Arial" w:cs="David" w:hint="cs"/>
          <w:sz w:val="24"/>
          <w:szCs w:val="24"/>
          <w:rtl/>
        </w:rPr>
        <w:t>201</w:t>
      </w:r>
      <w:r w:rsidR="00260F11" w:rsidRPr="000205DF">
        <w:rPr>
          <w:rFonts w:ascii="Arial" w:hAnsi="Arial" w:cs="David" w:hint="cs"/>
          <w:sz w:val="24"/>
          <w:szCs w:val="24"/>
          <w:rtl/>
        </w:rPr>
        <w:t>8</w:t>
      </w:r>
      <w:r w:rsidR="008E7A02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215E7F" w:rsidRPr="000205DF">
        <w:rPr>
          <w:rFonts w:ascii="Arial" w:hAnsi="Arial" w:cs="David" w:hint="cs"/>
          <w:sz w:val="24"/>
          <w:szCs w:val="24"/>
          <w:rtl/>
        </w:rPr>
        <w:t>חלה הצטמצמו</w:t>
      </w:r>
      <w:r w:rsidR="00215E7F" w:rsidRPr="000205DF">
        <w:rPr>
          <w:rFonts w:ascii="Arial" w:hAnsi="Arial" w:cs="David" w:hint="eastAsia"/>
          <w:sz w:val="24"/>
          <w:szCs w:val="24"/>
          <w:rtl/>
        </w:rPr>
        <w:t>ת</w:t>
      </w:r>
      <w:r w:rsidR="00215E7F" w:rsidRPr="000205DF">
        <w:rPr>
          <w:rFonts w:ascii="Arial" w:hAnsi="Arial" w:cs="David" w:hint="cs"/>
          <w:sz w:val="24"/>
          <w:szCs w:val="24"/>
          <w:rtl/>
        </w:rPr>
        <w:t xml:space="preserve"> קלה ב</w:t>
      </w:r>
      <w:r w:rsidR="00351EF0" w:rsidRPr="000205DF">
        <w:rPr>
          <w:rFonts w:ascii="Arial" w:hAnsi="Arial" w:cs="David" w:hint="cs"/>
          <w:sz w:val="24"/>
          <w:szCs w:val="24"/>
          <w:rtl/>
        </w:rPr>
        <w:t xml:space="preserve">מרווח </w:t>
      </w:r>
      <w:r w:rsidR="002C2286" w:rsidRPr="000205DF">
        <w:rPr>
          <w:rFonts w:ascii="Arial" w:hAnsi="Arial" w:cs="David" w:hint="cs"/>
          <w:sz w:val="24"/>
          <w:szCs w:val="24"/>
          <w:rtl/>
        </w:rPr>
        <w:t>עד לרמה של כ-</w:t>
      </w:r>
      <w:r w:rsidR="00215E7F" w:rsidRPr="000205DF">
        <w:rPr>
          <w:rFonts w:ascii="Arial" w:hAnsi="Arial" w:cs="David" w:hint="cs"/>
          <w:sz w:val="24"/>
          <w:szCs w:val="24"/>
          <w:rtl/>
        </w:rPr>
        <w:t>1</w:t>
      </w:r>
      <w:r w:rsidR="002C2286" w:rsidRPr="000205DF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8E7A02" w:rsidRPr="000205DF">
        <w:rPr>
          <w:rFonts w:ascii="Arial" w:hAnsi="Arial" w:cs="David" w:hint="cs"/>
          <w:sz w:val="24"/>
          <w:szCs w:val="24"/>
          <w:rtl/>
        </w:rPr>
        <w:t>.</w:t>
      </w:r>
    </w:p>
    <w:p w:rsidR="00C22C1E" w:rsidRPr="000205DF" w:rsidRDefault="00C22C1E" w:rsidP="00C22C1E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0205DF" w:rsidRDefault="000205DF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0205DF" w:rsidRDefault="000205DF" w:rsidP="000205D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0205DF" w:rsidRDefault="000205DF" w:rsidP="000205D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AC3E61" w:rsidRPr="000205DF" w:rsidRDefault="00AC3E61" w:rsidP="000205D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0205DF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0205DF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0205DF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0205DF" w:rsidRDefault="000F3559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0205DF">
        <w:rPr>
          <w:rFonts w:cs="David"/>
          <w:noProof/>
          <w:rtl/>
        </w:rPr>
        <w:drawing>
          <wp:inline distT="0" distB="0" distL="0" distR="0" wp14:anchorId="1454CFE1" wp14:editId="14B7A257">
            <wp:extent cx="5278120" cy="2410635"/>
            <wp:effectExtent l="0" t="0" r="0" b="8890"/>
            <wp:docPr id="18" name="תמונה 18" descr="התפלגות החוב של המגזר העסקי1 " title="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0205DF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0205DF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0205DF">
        <w:rPr>
          <w:rFonts w:asciiTheme="minorBidi" w:hAnsiTheme="minorBidi" w:cs="David"/>
          <w:b/>
          <w:bCs/>
          <w:rtl/>
        </w:rPr>
        <w:t xml:space="preserve">איור 1: </w:t>
      </w:r>
      <w:r w:rsidR="00AD3F98" w:rsidRPr="000205DF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0205DF">
        <w:rPr>
          <w:rFonts w:asciiTheme="minorBidi" w:hAnsiTheme="minorBidi" w:cs="David"/>
          <w:b/>
          <w:bCs/>
          <w:rtl/>
        </w:rPr>
        <w:t xml:space="preserve"> </w:t>
      </w:r>
      <w:r w:rsidR="0004490E" w:rsidRPr="000205DF">
        <w:rPr>
          <w:rFonts w:asciiTheme="minorBidi" w:hAnsiTheme="minorBidi" w:cs="David" w:hint="cs"/>
          <w:b/>
          <w:bCs/>
          <w:rtl/>
        </w:rPr>
        <w:t>המגזר</w:t>
      </w:r>
      <w:r w:rsidR="00AD3F98" w:rsidRPr="000205DF">
        <w:rPr>
          <w:rFonts w:asciiTheme="minorBidi" w:hAnsiTheme="minorBidi" w:cs="David"/>
          <w:b/>
          <w:bCs/>
          <w:rtl/>
        </w:rPr>
        <w:t xml:space="preserve"> העסקי </w:t>
      </w:r>
    </w:p>
    <w:p w:rsidR="002A60C4" w:rsidRPr="000205DF" w:rsidRDefault="00B34377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3DB8E8A" wp14:editId="78F8210A">
            <wp:extent cx="5297805" cy="2804160"/>
            <wp:effectExtent l="0" t="0" r="0" b="0"/>
            <wp:docPr id="4" name="תמונה 4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0205DF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0205DF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0205DF" w:rsidRDefault="00B34377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0205DF">
        <w:rPr>
          <w:rFonts w:cs="David"/>
          <w:noProof/>
          <w:lang w:eastAsia="en-US"/>
        </w:rPr>
        <w:drawing>
          <wp:inline distT="0" distB="0" distL="0" distR="0" wp14:anchorId="621885D3" wp14:editId="61D2DFF8">
            <wp:extent cx="5278120" cy="1203953"/>
            <wp:effectExtent l="0" t="0" r="0" b="0"/>
            <wp:docPr id="10" name="תמונה 10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0205DF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0205DF" w:rsidRDefault="00AC3E61" w:rsidP="007714B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</w:p>
    <w:p w:rsidR="00F83505" w:rsidRPr="000205DF" w:rsidRDefault="000E3992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0205DF">
        <w:rPr>
          <w:rFonts w:cs="David"/>
          <w:noProof/>
          <w:lang w:eastAsia="en-US"/>
        </w:rPr>
        <w:drawing>
          <wp:inline distT="0" distB="0" distL="0" distR="0" wp14:anchorId="71E711A5" wp14:editId="489CDE01">
            <wp:extent cx="5278120" cy="3094834"/>
            <wp:effectExtent l="0" t="0" r="0" b="0"/>
            <wp:docPr id="11" name="תמונה 11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9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Pr="000205DF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0205D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0205DF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0205DF" w:rsidRDefault="000E3992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cs="David"/>
          <w:noProof/>
          <w:lang w:eastAsia="en-US"/>
        </w:rPr>
        <w:drawing>
          <wp:inline distT="0" distB="0" distL="0" distR="0" wp14:anchorId="44FD97F7" wp14:editId="4FBBC322">
            <wp:extent cx="5278120" cy="2705527"/>
            <wp:effectExtent l="0" t="0" r="0" b="0"/>
            <wp:docPr id="14" name="תמונה 14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0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BB0" w:rsidRPr="000205D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0205D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0205DF">
        <w:rPr>
          <w:rStyle w:val="10"/>
          <w:rFonts w:cs="David"/>
          <w:rtl/>
        </w:rPr>
        <w:t>החוב של משקי הבית</w:t>
      </w:r>
    </w:p>
    <w:p w:rsidR="00D601A9" w:rsidRPr="000205DF" w:rsidRDefault="002319C1" w:rsidP="001329B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205DF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0205DF">
        <w:rPr>
          <w:rFonts w:ascii="Arial" w:hAnsi="Arial" w:cs="David" w:hint="cs"/>
          <w:sz w:val="24"/>
          <w:szCs w:val="24"/>
          <w:rtl/>
        </w:rPr>
        <w:t>גדלה</w:t>
      </w:r>
      <w:r w:rsidR="0004490E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0205DF">
        <w:rPr>
          <w:rFonts w:ascii="Arial" w:hAnsi="Arial" w:cs="David" w:hint="cs"/>
          <w:sz w:val="24"/>
          <w:szCs w:val="24"/>
          <w:rtl/>
        </w:rPr>
        <w:t>ב</w:t>
      </w:r>
      <w:r w:rsidR="00DA070E" w:rsidRPr="000205DF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0205DF">
        <w:rPr>
          <w:rFonts w:ascii="Arial" w:hAnsi="Arial" w:cs="David" w:hint="cs"/>
          <w:sz w:val="24"/>
          <w:szCs w:val="24"/>
          <w:rtl/>
        </w:rPr>
        <w:t>ה</w:t>
      </w:r>
      <w:r w:rsidR="00725739" w:rsidRPr="000205DF">
        <w:rPr>
          <w:rFonts w:ascii="Arial" w:hAnsi="Arial" w:cs="David" w:hint="cs"/>
          <w:sz w:val="24"/>
          <w:szCs w:val="24"/>
          <w:rtl/>
        </w:rPr>
        <w:t>רביעי</w:t>
      </w:r>
      <w:r w:rsidR="00DA070E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0205DF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F426C3" w:rsidRPr="000205DF">
        <w:rPr>
          <w:rFonts w:ascii="Arial" w:hAnsi="Arial" w:cs="David" w:hint="cs"/>
          <w:sz w:val="24"/>
          <w:szCs w:val="24"/>
          <w:rtl/>
        </w:rPr>
        <w:t>2017</w:t>
      </w:r>
      <w:r w:rsidR="0004490E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0205DF">
        <w:rPr>
          <w:rFonts w:ascii="Arial" w:hAnsi="Arial" w:cs="David" w:hint="cs"/>
          <w:sz w:val="24"/>
          <w:szCs w:val="24"/>
          <w:rtl/>
        </w:rPr>
        <w:t>בכ-</w:t>
      </w:r>
      <w:r w:rsidR="00725739" w:rsidRPr="000205DF">
        <w:rPr>
          <w:rFonts w:ascii="Arial" w:hAnsi="Arial" w:cs="David" w:hint="cs"/>
          <w:sz w:val="24"/>
          <w:szCs w:val="24"/>
          <w:rtl/>
        </w:rPr>
        <w:t>6</w:t>
      </w:r>
      <w:r w:rsidR="006819E9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0205DF">
        <w:rPr>
          <w:rFonts w:ascii="Arial" w:hAnsi="Arial" w:cs="David" w:hint="cs"/>
          <w:sz w:val="24"/>
          <w:szCs w:val="24"/>
          <w:rtl/>
        </w:rPr>
        <w:t>מיליארדי ש"ח (</w:t>
      </w:r>
      <w:r w:rsidR="00725739" w:rsidRPr="000205DF">
        <w:rPr>
          <w:rFonts w:ascii="Arial" w:hAnsi="Arial" w:cs="David" w:hint="cs"/>
          <w:sz w:val="24"/>
          <w:szCs w:val="24"/>
          <w:rtl/>
        </w:rPr>
        <w:t>1.2</w:t>
      </w:r>
      <w:r w:rsidR="007A39D0" w:rsidRPr="000205DF">
        <w:rPr>
          <w:rFonts w:ascii="Arial" w:hAnsi="Arial" w:cs="David" w:hint="cs"/>
          <w:sz w:val="24"/>
          <w:szCs w:val="24"/>
          <w:rtl/>
        </w:rPr>
        <w:t xml:space="preserve">%) </w:t>
      </w:r>
      <w:r w:rsidR="0054512E" w:rsidRPr="000205DF">
        <w:rPr>
          <w:rFonts w:ascii="Arial" w:hAnsi="Arial" w:cs="David" w:hint="cs"/>
          <w:sz w:val="24"/>
          <w:szCs w:val="24"/>
          <w:rtl/>
        </w:rPr>
        <w:t xml:space="preserve">לרמה של </w:t>
      </w:r>
      <w:r w:rsidR="0004490E" w:rsidRPr="000205DF">
        <w:rPr>
          <w:rFonts w:ascii="Arial" w:hAnsi="Arial" w:cs="David" w:hint="cs"/>
          <w:sz w:val="24"/>
          <w:szCs w:val="24"/>
          <w:rtl/>
        </w:rPr>
        <w:t>כ-</w:t>
      </w:r>
      <w:r w:rsidR="00725739" w:rsidRPr="000205DF">
        <w:rPr>
          <w:rFonts w:ascii="Arial" w:hAnsi="Arial" w:cs="David" w:hint="cs"/>
          <w:sz w:val="24"/>
          <w:szCs w:val="24"/>
          <w:rtl/>
        </w:rPr>
        <w:t>530</w:t>
      </w:r>
      <w:r w:rsidR="0004490E" w:rsidRPr="000205DF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7A39D0" w:rsidRPr="000205DF">
        <w:rPr>
          <w:rFonts w:ascii="Arial" w:hAnsi="Arial" w:cs="David" w:hint="cs"/>
          <w:sz w:val="24"/>
          <w:szCs w:val="24"/>
          <w:rtl/>
        </w:rPr>
        <w:t>.</w:t>
      </w:r>
      <w:r w:rsidR="0004490E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D601A9" w:rsidRPr="000205DF">
        <w:rPr>
          <w:rFonts w:ascii="Arial" w:hAnsi="Arial" w:cs="David"/>
          <w:sz w:val="24"/>
          <w:szCs w:val="24"/>
          <w:rtl/>
        </w:rPr>
        <w:t xml:space="preserve">על אף זאת, </w:t>
      </w:r>
      <w:r w:rsidR="009B4172" w:rsidRPr="000205DF">
        <w:rPr>
          <w:rFonts w:ascii="Arial" w:hAnsi="Arial" w:cs="David"/>
          <w:sz w:val="24"/>
          <w:szCs w:val="24"/>
          <w:rtl/>
        </w:rPr>
        <w:t>שיעור הגידול השנתי של יתרת החוב</w:t>
      </w:r>
      <w:r w:rsidR="009B4172" w:rsidRPr="000205DF">
        <w:rPr>
          <w:rFonts w:ascii="Arial" w:hAnsi="Arial" w:cs="David" w:hint="cs"/>
          <w:sz w:val="24"/>
          <w:szCs w:val="24"/>
          <w:rtl/>
        </w:rPr>
        <w:t xml:space="preserve">, הן לדיור והן שלא לדיור, </w:t>
      </w:r>
      <w:r w:rsidR="00D601A9" w:rsidRPr="000205DF">
        <w:rPr>
          <w:rFonts w:ascii="Arial" w:hAnsi="Arial" w:cs="David"/>
          <w:sz w:val="24"/>
          <w:szCs w:val="24"/>
          <w:rtl/>
        </w:rPr>
        <w:t>נמוך משיעור</w:t>
      </w:r>
      <w:r w:rsidR="009B4172" w:rsidRPr="000205DF">
        <w:rPr>
          <w:rFonts w:ascii="Arial" w:hAnsi="Arial" w:cs="David" w:hint="cs"/>
          <w:sz w:val="24"/>
          <w:szCs w:val="24"/>
          <w:rtl/>
        </w:rPr>
        <w:t>י</w:t>
      </w:r>
      <w:r w:rsidR="00D601A9" w:rsidRPr="000205DF">
        <w:rPr>
          <w:rFonts w:ascii="Arial" w:hAnsi="Arial" w:cs="David"/>
          <w:sz w:val="24"/>
          <w:szCs w:val="24"/>
          <w:rtl/>
        </w:rPr>
        <w:t xml:space="preserve"> הגידול אשתקד</w:t>
      </w:r>
      <w:r w:rsidR="009B4172" w:rsidRPr="000205DF">
        <w:rPr>
          <w:rFonts w:ascii="Arial" w:hAnsi="Arial" w:cs="David" w:hint="cs"/>
          <w:sz w:val="24"/>
          <w:szCs w:val="24"/>
          <w:rtl/>
        </w:rPr>
        <w:t>,</w:t>
      </w:r>
      <w:r w:rsidR="00D601A9" w:rsidRPr="000205DF">
        <w:rPr>
          <w:rFonts w:ascii="Arial" w:hAnsi="Arial" w:cs="David"/>
          <w:sz w:val="24"/>
          <w:szCs w:val="24"/>
          <w:rtl/>
        </w:rPr>
        <w:t xml:space="preserve"> </w:t>
      </w:r>
      <w:r w:rsidR="009B4172" w:rsidRPr="000205DF">
        <w:rPr>
          <w:rFonts w:ascii="Arial" w:hAnsi="Arial" w:cs="David" w:hint="cs"/>
          <w:sz w:val="24"/>
          <w:szCs w:val="24"/>
          <w:rtl/>
        </w:rPr>
        <w:t>ו</w:t>
      </w:r>
      <w:r w:rsidR="00D601A9" w:rsidRPr="000205DF">
        <w:rPr>
          <w:rFonts w:ascii="Arial" w:hAnsi="Arial" w:cs="David"/>
          <w:sz w:val="24"/>
          <w:szCs w:val="24"/>
          <w:rtl/>
        </w:rPr>
        <w:t xml:space="preserve">בפרט בחוב שלא לדיור (שיעור גידול של </w:t>
      </w:r>
      <w:r w:rsidR="003A5570" w:rsidRPr="000205DF">
        <w:rPr>
          <w:rFonts w:ascii="Arial" w:hAnsi="Arial" w:cs="David" w:hint="cs"/>
          <w:sz w:val="24"/>
          <w:szCs w:val="24"/>
          <w:rtl/>
        </w:rPr>
        <w:t>כ-</w:t>
      </w:r>
      <w:r w:rsidR="001329B0" w:rsidRPr="000205DF">
        <w:rPr>
          <w:rFonts w:ascii="Arial" w:hAnsi="Arial" w:cs="David" w:hint="cs"/>
          <w:sz w:val="24"/>
          <w:szCs w:val="24"/>
          <w:rtl/>
        </w:rPr>
        <w:t>4</w:t>
      </w:r>
      <w:r w:rsidR="00D601A9" w:rsidRPr="000205DF">
        <w:rPr>
          <w:rFonts w:ascii="Arial" w:hAnsi="Arial" w:cs="David"/>
          <w:sz w:val="24"/>
          <w:szCs w:val="24"/>
          <w:rtl/>
        </w:rPr>
        <w:t>% ב-2017 לעומת 6% אשתקד).</w:t>
      </w:r>
      <w:r w:rsidR="00D601A9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D47FBF" w:rsidRPr="000205DF">
        <w:rPr>
          <w:rFonts w:ascii="Arial" w:hAnsi="Arial" w:cs="David" w:hint="cs"/>
          <w:sz w:val="24"/>
          <w:szCs w:val="24"/>
          <w:rtl/>
        </w:rPr>
        <w:t>(איור 4).</w:t>
      </w:r>
      <w:r w:rsidR="00725739" w:rsidRPr="000205D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221420" w:rsidRPr="000205DF" w:rsidRDefault="00725739" w:rsidP="006345E5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205DF">
        <w:rPr>
          <w:rFonts w:ascii="Arial" w:hAnsi="Arial" w:cs="David" w:hint="cs"/>
          <w:sz w:val="24"/>
          <w:szCs w:val="24"/>
          <w:rtl/>
        </w:rPr>
        <w:t>יתרת החוב לדיור עלתה ברביע זה בכ-</w:t>
      </w:r>
      <w:r w:rsidR="006345E5" w:rsidRPr="000205DF">
        <w:rPr>
          <w:rFonts w:ascii="Arial" w:hAnsi="Arial" w:cs="David" w:hint="cs"/>
          <w:sz w:val="24"/>
          <w:szCs w:val="24"/>
          <w:rtl/>
        </w:rPr>
        <w:t>4.5</w:t>
      </w:r>
      <w:r w:rsidRPr="000205DF">
        <w:rPr>
          <w:rFonts w:ascii="Arial" w:hAnsi="Arial" w:cs="David" w:hint="cs"/>
          <w:sz w:val="24"/>
          <w:szCs w:val="24"/>
          <w:rtl/>
        </w:rPr>
        <w:t xml:space="preserve"> מיליארדי ש"ח (1.</w:t>
      </w:r>
      <w:r w:rsidR="006345E5" w:rsidRPr="000205DF">
        <w:rPr>
          <w:rFonts w:ascii="Arial" w:hAnsi="Arial" w:cs="David" w:hint="cs"/>
          <w:sz w:val="24"/>
          <w:szCs w:val="24"/>
          <w:rtl/>
        </w:rPr>
        <w:t>4</w:t>
      </w:r>
      <w:r w:rsidRPr="000205DF">
        <w:rPr>
          <w:rFonts w:ascii="Arial" w:hAnsi="Arial" w:cs="David" w:hint="cs"/>
          <w:sz w:val="24"/>
          <w:szCs w:val="24"/>
          <w:rtl/>
        </w:rPr>
        <w:t>%) ועומדת על כ-3</w:t>
      </w:r>
      <w:r w:rsidR="006345E5" w:rsidRPr="000205DF">
        <w:rPr>
          <w:rFonts w:ascii="Arial" w:hAnsi="Arial" w:cs="David" w:hint="cs"/>
          <w:sz w:val="24"/>
          <w:szCs w:val="24"/>
          <w:rtl/>
        </w:rPr>
        <w:t>37</w:t>
      </w:r>
      <w:r w:rsidRPr="000205DF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D601A9" w:rsidRPr="000205DF">
        <w:rPr>
          <w:rFonts w:ascii="Arial" w:hAnsi="Arial" w:cs="David"/>
          <w:rtl/>
        </w:rPr>
        <w:t xml:space="preserve"> </w:t>
      </w:r>
    </w:p>
    <w:p w:rsidR="006B0BAE" w:rsidRPr="000205DF" w:rsidRDefault="00AB31EF" w:rsidP="003A557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0205DF">
        <w:rPr>
          <w:rFonts w:ascii="Arial" w:hAnsi="Arial" w:cs="David"/>
          <w:sz w:val="24"/>
          <w:szCs w:val="24"/>
          <w:rtl/>
        </w:rPr>
        <w:t xml:space="preserve">ברביע </w:t>
      </w:r>
      <w:r w:rsidR="00CF24FB" w:rsidRPr="000205DF">
        <w:rPr>
          <w:rFonts w:ascii="Arial" w:hAnsi="Arial" w:cs="David" w:hint="cs"/>
          <w:sz w:val="24"/>
          <w:szCs w:val="24"/>
          <w:rtl/>
        </w:rPr>
        <w:t>ה</w:t>
      </w:r>
      <w:r w:rsidR="00045838" w:rsidRPr="000205DF">
        <w:rPr>
          <w:rFonts w:ascii="Arial" w:hAnsi="Arial" w:cs="David" w:hint="cs"/>
          <w:sz w:val="24"/>
          <w:szCs w:val="24"/>
          <w:rtl/>
        </w:rPr>
        <w:t>רביעי</w:t>
      </w:r>
      <w:r w:rsidRPr="000205DF">
        <w:rPr>
          <w:rFonts w:ascii="Arial" w:hAnsi="Arial" w:cs="David"/>
          <w:sz w:val="24"/>
          <w:szCs w:val="24"/>
          <w:rtl/>
        </w:rPr>
        <w:t xml:space="preserve"> של שנת </w:t>
      </w:r>
      <w:r w:rsidR="00F426C3" w:rsidRPr="000205DF">
        <w:rPr>
          <w:rFonts w:ascii="Arial" w:hAnsi="Arial" w:cs="David"/>
          <w:sz w:val="24"/>
          <w:szCs w:val="24"/>
          <w:rtl/>
        </w:rPr>
        <w:t>2017</w:t>
      </w:r>
      <w:r w:rsidRPr="000205DF">
        <w:rPr>
          <w:rFonts w:ascii="Arial" w:hAnsi="Arial" w:cs="David"/>
          <w:sz w:val="24"/>
          <w:szCs w:val="24"/>
          <w:rtl/>
        </w:rPr>
        <w:t xml:space="preserve"> </w:t>
      </w:r>
      <w:r w:rsidR="00045838" w:rsidRPr="000205DF">
        <w:rPr>
          <w:rFonts w:ascii="Arial" w:hAnsi="Arial" w:cs="David" w:hint="cs"/>
          <w:sz w:val="24"/>
          <w:szCs w:val="24"/>
          <w:rtl/>
        </w:rPr>
        <w:t>נטילת</w:t>
      </w:r>
      <w:r w:rsidR="003138AF" w:rsidRPr="000205DF">
        <w:rPr>
          <w:rFonts w:ascii="Arial" w:hAnsi="Arial" w:cs="David" w:hint="cs"/>
          <w:sz w:val="24"/>
          <w:szCs w:val="24"/>
          <w:rtl/>
        </w:rPr>
        <w:t xml:space="preserve"> משכנתאות</w:t>
      </w:r>
      <w:r w:rsidR="00D46A28" w:rsidRPr="000205DF">
        <w:rPr>
          <w:rFonts w:ascii="Arial" w:hAnsi="Arial" w:cs="David" w:hint="cs"/>
          <w:sz w:val="24"/>
          <w:szCs w:val="24"/>
          <w:rtl/>
        </w:rPr>
        <w:t xml:space="preserve"> חדשות</w:t>
      </w:r>
      <w:r w:rsidR="003138AF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162787" w:rsidRPr="000205DF">
        <w:rPr>
          <w:rFonts w:ascii="Arial" w:hAnsi="Arial" w:cs="David"/>
          <w:sz w:val="24"/>
          <w:szCs w:val="24"/>
          <w:rtl/>
        </w:rPr>
        <w:t xml:space="preserve">הסתכמה </w:t>
      </w:r>
      <w:r w:rsidRPr="000205DF">
        <w:rPr>
          <w:rFonts w:ascii="Arial" w:hAnsi="Arial" w:cs="David"/>
          <w:sz w:val="24"/>
          <w:szCs w:val="24"/>
          <w:rtl/>
        </w:rPr>
        <w:t>בכ-</w:t>
      </w:r>
      <w:r w:rsidR="00045838" w:rsidRPr="000205DF">
        <w:rPr>
          <w:rFonts w:ascii="Arial" w:hAnsi="Arial" w:cs="David" w:hint="cs"/>
          <w:sz w:val="24"/>
          <w:szCs w:val="24"/>
          <w:rtl/>
        </w:rPr>
        <w:t>13.5</w:t>
      </w:r>
      <w:r w:rsidR="00045838" w:rsidRPr="000205DF">
        <w:rPr>
          <w:rFonts w:ascii="Arial" w:hAnsi="Arial" w:cs="David"/>
          <w:sz w:val="24"/>
          <w:szCs w:val="24"/>
          <w:rtl/>
        </w:rPr>
        <w:t xml:space="preserve"> מיליארדי </w:t>
      </w:r>
      <w:r w:rsidR="003A5570" w:rsidRPr="000205DF">
        <w:rPr>
          <w:rFonts w:ascii="Arial" w:hAnsi="Arial" w:cs="David" w:hint="cs"/>
          <w:sz w:val="24"/>
          <w:szCs w:val="24"/>
          <w:rtl/>
        </w:rPr>
        <w:t>ש"ח,</w:t>
      </w:r>
      <w:r w:rsidR="00045838" w:rsidRPr="000205DF">
        <w:rPr>
          <w:rFonts w:ascii="Arial" w:hAnsi="Arial" w:cs="David" w:hint="cs"/>
          <w:sz w:val="24"/>
          <w:szCs w:val="24"/>
          <w:rtl/>
        </w:rPr>
        <w:t xml:space="preserve"> גבוה</w:t>
      </w:r>
      <w:r w:rsidRPr="000205DF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0205DF">
        <w:rPr>
          <w:rFonts w:ascii="Arial" w:hAnsi="Arial" w:cs="David" w:hint="cs"/>
          <w:sz w:val="24"/>
          <w:szCs w:val="24"/>
          <w:rtl/>
        </w:rPr>
        <w:t>מה</w:t>
      </w:r>
      <w:r w:rsidRPr="000205DF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0205DF">
        <w:rPr>
          <w:rFonts w:ascii="Arial" w:hAnsi="Arial" w:cs="David" w:hint="cs"/>
          <w:sz w:val="24"/>
          <w:szCs w:val="24"/>
          <w:rtl/>
        </w:rPr>
        <w:t xml:space="preserve"> (</w:t>
      </w:r>
      <w:r w:rsidR="00CC2676" w:rsidRPr="000205DF">
        <w:rPr>
          <w:rFonts w:ascii="Arial" w:hAnsi="Arial" w:cs="David" w:hint="cs"/>
          <w:sz w:val="24"/>
          <w:szCs w:val="24"/>
          <w:rtl/>
        </w:rPr>
        <w:t>כ-</w:t>
      </w:r>
      <w:r w:rsidR="00045838" w:rsidRPr="000205DF">
        <w:rPr>
          <w:rFonts w:ascii="Arial" w:hAnsi="Arial" w:cs="David" w:hint="cs"/>
          <w:sz w:val="24"/>
          <w:szCs w:val="24"/>
          <w:rtl/>
        </w:rPr>
        <w:t>12.2</w:t>
      </w:r>
      <w:r w:rsidR="00221420" w:rsidRPr="000205DF">
        <w:rPr>
          <w:rFonts w:ascii="Arial" w:hAnsi="Arial" w:cs="David" w:hint="cs"/>
          <w:sz w:val="24"/>
          <w:szCs w:val="24"/>
          <w:rtl/>
        </w:rPr>
        <w:t xml:space="preserve"> </w:t>
      </w:r>
      <w:r w:rsidR="00CF24FB" w:rsidRPr="000205DF">
        <w:rPr>
          <w:rFonts w:ascii="Arial" w:hAnsi="Arial" w:cs="David" w:hint="cs"/>
          <w:sz w:val="24"/>
          <w:szCs w:val="24"/>
          <w:rtl/>
        </w:rPr>
        <w:t>מיליארדים)</w:t>
      </w:r>
      <w:r w:rsidR="000E45F2" w:rsidRPr="000205DF">
        <w:rPr>
          <w:rFonts w:ascii="Arial" w:hAnsi="Arial" w:cs="David" w:hint="cs"/>
          <w:sz w:val="24"/>
          <w:szCs w:val="24"/>
          <w:rtl/>
        </w:rPr>
        <w:t xml:space="preserve">. </w:t>
      </w:r>
      <w:r w:rsidR="00045838" w:rsidRPr="000205DF">
        <w:rPr>
          <w:rFonts w:ascii="Arial" w:hAnsi="Arial" w:cs="David" w:hint="cs"/>
          <w:sz w:val="24"/>
          <w:szCs w:val="24"/>
          <w:rtl/>
        </w:rPr>
        <w:t xml:space="preserve">עם זאת, בינואר 2018 </w:t>
      </w:r>
      <w:r w:rsidR="00045838" w:rsidRPr="000205DF">
        <w:rPr>
          <w:rFonts w:ascii="Arial" w:hAnsi="Arial" w:cs="David" w:hint="cs"/>
          <w:sz w:val="24"/>
          <w:szCs w:val="24"/>
          <w:rtl/>
        </w:rPr>
        <w:lastRenderedPageBreak/>
        <w:t xml:space="preserve">נרשמה </w:t>
      </w:r>
      <w:r w:rsidR="00221420" w:rsidRPr="000205DF">
        <w:rPr>
          <w:rFonts w:ascii="Arial" w:hAnsi="Arial" w:cs="David" w:hint="cs"/>
          <w:sz w:val="24"/>
          <w:szCs w:val="24"/>
          <w:rtl/>
        </w:rPr>
        <w:t>ירידה</w:t>
      </w:r>
      <w:r w:rsidR="00045838" w:rsidRPr="000205DF">
        <w:rPr>
          <w:rFonts w:ascii="Arial" w:hAnsi="Arial" w:cs="David" w:hint="cs"/>
          <w:sz w:val="24"/>
          <w:szCs w:val="24"/>
          <w:rtl/>
        </w:rPr>
        <w:t>, עונתית בחלקה,</w:t>
      </w:r>
      <w:r w:rsidR="00221420" w:rsidRPr="000205DF">
        <w:rPr>
          <w:rFonts w:ascii="Arial" w:hAnsi="Arial" w:cs="David" w:hint="cs"/>
          <w:sz w:val="24"/>
          <w:szCs w:val="24"/>
          <w:rtl/>
        </w:rPr>
        <w:t xml:space="preserve"> בנטילת משכנתאות חדשות ו</w:t>
      </w:r>
      <w:r w:rsidR="00CC2676" w:rsidRPr="000205DF">
        <w:rPr>
          <w:rFonts w:ascii="Arial" w:hAnsi="Arial" w:cs="David" w:hint="cs"/>
          <w:sz w:val="24"/>
          <w:szCs w:val="24"/>
          <w:rtl/>
        </w:rPr>
        <w:t>הן הסתכמו בכ-</w:t>
      </w:r>
      <w:r w:rsidR="00045838" w:rsidRPr="000205DF">
        <w:rPr>
          <w:rFonts w:ascii="Arial" w:hAnsi="Arial" w:cs="David" w:hint="cs"/>
          <w:sz w:val="24"/>
          <w:szCs w:val="24"/>
          <w:rtl/>
        </w:rPr>
        <w:t>4.6</w:t>
      </w:r>
      <w:r w:rsidR="00CC2676" w:rsidRPr="000205DF">
        <w:rPr>
          <w:rFonts w:ascii="Arial" w:hAnsi="Arial" w:cs="David" w:hint="cs"/>
          <w:sz w:val="24"/>
          <w:szCs w:val="24"/>
          <w:rtl/>
        </w:rPr>
        <w:t xml:space="preserve"> מיליארדי ש"ח. </w:t>
      </w:r>
      <w:r w:rsidR="00664600" w:rsidRPr="000205DF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D47FBF" w:rsidRPr="000205DF">
        <w:rPr>
          <w:rFonts w:ascii="Arial" w:hAnsi="Arial" w:cs="David" w:hint="cs"/>
          <w:sz w:val="24"/>
          <w:szCs w:val="24"/>
          <w:rtl/>
        </w:rPr>
        <w:t>5</w:t>
      </w:r>
      <w:r w:rsidR="00060D8E" w:rsidRPr="000205DF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0205DF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0205DF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0205DF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0205DF">
        <w:rPr>
          <w:rFonts w:ascii="Arial" w:hAnsi="Arial" w:cs="David"/>
          <w:sz w:val="24"/>
          <w:szCs w:val="24"/>
        </w:rPr>
        <w:t xml:space="preserve"> </w:t>
      </w:r>
    </w:p>
    <w:p w:rsidR="006D3752" w:rsidRPr="000205DF" w:rsidRDefault="00941A49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cs="David"/>
          <w:noProof/>
          <w:rtl/>
          <w:lang w:eastAsia="en-US"/>
        </w:rPr>
        <w:drawing>
          <wp:inline distT="0" distB="0" distL="0" distR="0" wp14:anchorId="7139D879" wp14:editId="53329417">
            <wp:extent cx="5278120" cy="4747012"/>
            <wp:effectExtent l="0" t="0" r="0" b="0"/>
            <wp:docPr id="15" name="תמונה 15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7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0205DF" w:rsidRDefault="00D46A28" w:rsidP="00DC51E3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6A28" w:rsidRPr="000205DF" w:rsidRDefault="00D46A28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0205DF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7FBF" w:rsidRPr="000205DF" w:rsidRDefault="00D47FBF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="00DC51E3"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:</w:t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0205DF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0205DF" w:rsidRDefault="00941A49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56681331" wp14:editId="71B51AA9">
            <wp:extent cx="5297805" cy="2816860"/>
            <wp:effectExtent l="0" t="0" r="0" b="2540"/>
            <wp:docPr id="16" name="תמונה 16" descr="שיעורי השינוי לעומת הרביע המקביל בשנה הקודמת בחוב של משקי הבית לדיור ושלא לדיור" title="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0205DF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0205DF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280F81" w:rsidRPr="000205DF" w:rsidRDefault="00BF4C2E" w:rsidP="00D47FBF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D47FBF"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>5</w:t>
      </w:r>
      <w:r w:rsidRPr="000205DF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0205DF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0205DF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0205DF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0205DF" w:rsidRDefault="00941A49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205DF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4BCCB9C2" wp14:editId="07FF24C4">
            <wp:extent cx="5297805" cy="2798445"/>
            <wp:effectExtent l="0" t="0" r="0" b="1905"/>
            <wp:docPr id="17" name="תמונה 17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0205DF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0205DF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9" w:history="1">
        <w:r w:rsidRPr="000205DF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0205DF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20" w:history="1">
        <w:r w:rsidRPr="000205DF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0205DF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21" w:history="1">
        <w:r w:rsidR="00F97D41" w:rsidRPr="000205DF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0205DF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0205DF" w:rsidSect="007A3CCD">
      <w:footerReference w:type="default" r:id="rId22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E2" w:rsidRDefault="00AF49E2" w:rsidP="00C04A6B">
      <w:r>
        <w:separator/>
      </w:r>
    </w:p>
  </w:endnote>
  <w:endnote w:type="continuationSeparator" w:id="0">
    <w:p w:rsidR="00AF49E2" w:rsidRDefault="00AF49E2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0205DF" w:rsidRDefault="00507193" w:rsidP="00631A91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0205D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FA0242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631A91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רביעי</w:t>
            </w:r>
            <w:r w:rsidR="00802DF3" w:rsidRPr="000205D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0205DF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2017</w:t>
            </w:r>
            <w:r w:rsidR="002438E2" w:rsidRPr="000205D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0205DF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0205DF">
              <w:rPr>
                <w:rFonts w:ascii="Arial" w:hAnsi="Arial" w:cs="David"/>
                <w:noProof/>
                <w:sz w:val="24"/>
                <w:szCs w:val="24"/>
                <w:rtl/>
              </w:rPr>
              <w:t>1</w: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0205D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0205DF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0205DF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0205DF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E2" w:rsidRDefault="00AF49E2" w:rsidP="00C04A6B">
      <w:r>
        <w:separator/>
      </w:r>
    </w:p>
  </w:footnote>
  <w:footnote w:type="continuationSeparator" w:id="0">
    <w:p w:rsidR="00AF49E2" w:rsidRDefault="00AF49E2" w:rsidP="00C04A6B">
      <w:r>
        <w:continuationSeparator/>
      </w:r>
    </w:p>
  </w:footnote>
  <w:footnote w:id="1">
    <w:p w:rsidR="00AF6E09" w:rsidRPr="000205DF" w:rsidRDefault="00AF6E09" w:rsidP="00631A91">
      <w:pPr>
        <w:pStyle w:val="af"/>
        <w:bidi/>
        <w:rPr>
          <w:rFonts w:cs="David"/>
          <w:rtl/>
        </w:rPr>
      </w:pPr>
      <w:r w:rsidRPr="000205DF">
        <w:rPr>
          <w:rStyle w:val="af1"/>
          <w:rFonts w:cs="David"/>
        </w:rPr>
        <w:footnoteRef/>
      </w:r>
      <w:r w:rsidRPr="000205DF">
        <w:rPr>
          <w:rFonts w:cs="David"/>
        </w:rPr>
        <w:t xml:space="preserve"> </w:t>
      </w:r>
      <w:r w:rsidRPr="000205DF">
        <w:rPr>
          <w:rFonts w:cs="David" w:hint="cs"/>
          <w:rtl/>
        </w:rPr>
        <w:t xml:space="preserve"> </w:t>
      </w:r>
      <w:r w:rsidR="00631A91" w:rsidRPr="000205DF">
        <w:rPr>
          <w:rFonts w:asciiTheme="minorBidi" w:hAnsiTheme="minorBidi" w:cs="David" w:hint="cs"/>
          <w:rtl/>
        </w:rPr>
        <w:t xml:space="preserve">נתוני החוב לבנקים מבוססים על נתוני המאזניים החודשיים ולא על נתוני הדוחות הכספיים השנתיים, שכן הדוחות ל-2017 טרם פורסמו לציבור. </w:t>
      </w:r>
      <w:r w:rsidRPr="000205DF">
        <w:rPr>
          <w:rFonts w:asciiTheme="minorBidi" w:hAnsiTheme="minorBidi" w:cs="David" w:hint="cs"/>
          <w:rtl/>
        </w:rPr>
        <w:t xml:space="preserve"> </w:t>
      </w:r>
      <w:r w:rsidRPr="000205DF">
        <w:rPr>
          <w:rFonts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5DF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490E"/>
    <w:rsid w:val="00045838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AE3"/>
    <w:rsid w:val="000B7D5E"/>
    <w:rsid w:val="000C62F4"/>
    <w:rsid w:val="000D756E"/>
    <w:rsid w:val="000E3992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29B0"/>
    <w:rsid w:val="00132A42"/>
    <w:rsid w:val="00137006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F08"/>
    <w:rsid w:val="00225651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39B8"/>
    <w:rsid w:val="003F4002"/>
    <w:rsid w:val="003F454D"/>
    <w:rsid w:val="00400630"/>
    <w:rsid w:val="004024AB"/>
    <w:rsid w:val="00406F28"/>
    <w:rsid w:val="00410DE0"/>
    <w:rsid w:val="0041358A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730"/>
    <w:rsid w:val="00573545"/>
    <w:rsid w:val="00574044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0589"/>
    <w:rsid w:val="005F482A"/>
    <w:rsid w:val="005F663A"/>
    <w:rsid w:val="00600591"/>
    <w:rsid w:val="006028EA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0C16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25739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639F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65E2"/>
    <w:rsid w:val="00806850"/>
    <w:rsid w:val="00807054"/>
    <w:rsid w:val="00811358"/>
    <w:rsid w:val="008121D7"/>
    <w:rsid w:val="00814206"/>
    <w:rsid w:val="008158A5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49E2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3278B"/>
    <w:rsid w:val="00C411E7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74E60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C51E3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s://e.boi.org.il/he/BankingSupervision/Data/Pages/Tables.aspx?ChapterId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e.boi.org.il/he/NewsAndPublications/RegularPublications/Pages/MabatStat2017.aspx" TargetMode="External"/><Relationship Id="rId19" Type="http://schemas.openxmlformats.org/officeDocument/2006/relationships/hyperlink" Target="https://e.boi.org.il/he/DataAndStatistics/Pages/MainPage.aspx?Level=4&amp;Sid=53&amp;SubjectType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1F247-6191-49C4-8F76-43EF3A1F3B28}"/>
</file>

<file path=customXml/itemProps2.xml><?xml version="1.0" encoding="utf-8"?>
<ds:datastoreItem xmlns:ds="http://schemas.openxmlformats.org/officeDocument/2006/customXml" ds:itemID="{210BD411-E0A5-46E4-A549-BE8ABB6973DC}"/>
</file>

<file path=customXml/itemProps3.xml><?xml version="1.0" encoding="utf-8"?>
<ds:datastoreItem xmlns:ds="http://schemas.openxmlformats.org/officeDocument/2006/customXml" ds:itemID="{DE8FD7E4-081F-4E54-80AB-6A69EC7665BA}"/>
</file>

<file path=customXml/itemProps4.xml><?xml version="1.0" encoding="utf-8"?>
<ds:datastoreItem xmlns:ds="http://schemas.openxmlformats.org/officeDocument/2006/customXml" ds:itemID="{75A25DDF-E052-4A3D-A05C-AA7F9D40E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2018-03-20T09:55:00Z</dcterms:created>
  <dcterms:modified xsi:type="dcterms:W3CDTF">2018-03-20T09:55:00Z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