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55" w:rsidRDefault="009A4855"/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6702C1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6702C1" w:rsidRDefault="000150C4" w:rsidP="00D7330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6702C1" w:rsidRDefault="000150C4" w:rsidP="00D73301">
            <w:pPr>
              <w:jc w:val="center"/>
            </w:pPr>
            <w:r w:rsidRPr="006702C1">
              <w:rPr>
                <w:noProof/>
                <w:rtl/>
                <w:lang w:eastAsia="en-US"/>
              </w:rPr>
              <w:drawing>
                <wp:inline distT="0" distB="0" distL="0" distR="0" wp14:anchorId="4F871BFE" wp14:editId="0D49C508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0D5045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0D5045">
              <w:rPr>
                <w:rFonts w:cs="David" w:hint="cs"/>
                <w:rtl/>
              </w:rPr>
              <w:t>י"א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0D5045">
              <w:rPr>
                <w:rFonts w:cs="David" w:hint="cs"/>
                <w:rtl/>
              </w:rPr>
              <w:t>תמוז</w:t>
            </w:r>
            <w:r>
              <w:rPr>
                <w:rFonts w:cs="David"/>
                <w:rtl/>
              </w:rPr>
              <w:t xml:space="preserve">, </w:t>
            </w:r>
            <w:proofErr w:type="spellStart"/>
            <w:r>
              <w:rPr>
                <w:rFonts w:cs="David"/>
                <w:rtl/>
              </w:rPr>
              <w:t>התשע"</w:t>
            </w:r>
            <w:r w:rsidR="00655559">
              <w:rPr>
                <w:rFonts w:cs="David" w:hint="cs"/>
                <w:rtl/>
              </w:rPr>
              <w:t>ח</w:t>
            </w:r>
            <w:proofErr w:type="spellEnd"/>
          </w:p>
          <w:p w:rsidR="000150C4" w:rsidRPr="006702C1" w:rsidRDefault="000150C4" w:rsidP="000D5045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655559">
              <w:rPr>
                <w:rFonts w:cs="David" w:hint="cs"/>
                <w:rtl/>
              </w:rPr>
              <w:t>2</w:t>
            </w:r>
            <w:r w:rsidR="000D5045">
              <w:rPr>
                <w:rFonts w:cs="David" w:hint="cs"/>
                <w:rtl/>
              </w:rPr>
              <w:t>4</w:t>
            </w:r>
            <w:r w:rsidRPr="006702C1">
              <w:rPr>
                <w:rFonts w:cs="David"/>
                <w:rtl/>
              </w:rPr>
              <w:t xml:space="preserve"> </w:t>
            </w:r>
            <w:r w:rsidR="000D5045">
              <w:rPr>
                <w:rFonts w:cs="David" w:hint="cs"/>
                <w:rtl/>
              </w:rPr>
              <w:t>ביוני</w:t>
            </w:r>
            <w:r w:rsidRPr="006702C1">
              <w:rPr>
                <w:rFonts w:cs="David"/>
                <w:rtl/>
              </w:rPr>
              <w:t xml:space="preserve"> 201</w:t>
            </w:r>
            <w:r w:rsidR="00655559">
              <w:rPr>
                <w:rFonts w:cs="David" w:hint="cs"/>
                <w:rtl/>
              </w:rPr>
              <w:t>8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0150C4" w:rsidRDefault="000150C4" w:rsidP="000150C4">
      <w:pPr>
        <w:pStyle w:val="ad"/>
        <w:rPr>
          <w:u w:val="none"/>
          <w:rtl/>
        </w:rPr>
      </w:pPr>
    </w:p>
    <w:p w:rsidR="00BB4BBF" w:rsidRDefault="00673D6C" w:rsidP="000D5045">
      <w:pPr>
        <w:pStyle w:val="ad"/>
        <w:rPr>
          <w:u w:val="none"/>
          <w:rtl/>
        </w:rPr>
      </w:pPr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655559">
        <w:rPr>
          <w:rFonts w:hint="cs"/>
          <w:u w:val="none"/>
          <w:rtl/>
        </w:rPr>
        <w:t>ר</w:t>
      </w:r>
      <w:r w:rsidR="000D5045">
        <w:rPr>
          <w:rFonts w:hint="cs"/>
          <w:u w:val="none"/>
          <w:rtl/>
        </w:rPr>
        <w:t>אשון</w:t>
      </w:r>
      <w:r w:rsidR="005B6F96" w:rsidRPr="00FE10AB">
        <w:rPr>
          <w:rFonts w:hint="cs"/>
          <w:u w:val="none"/>
          <w:rtl/>
        </w:rPr>
        <w:t xml:space="preserve"> </w:t>
      </w:r>
      <w:r w:rsidR="00E74D0C" w:rsidRPr="00FE10AB">
        <w:rPr>
          <w:rFonts w:hint="cs"/>
          <w:u w:val="none"/>
          <w:rtl/>
        </w:rPr>
        <w:t>201</w:t>
      </w:r>
      <w:r w:rsidR="000D5045">
        <w:rPr>
          <w:rFonts w:hint="cs"/>
          <w:u w:val="none"/>
          <w:rtl/>
        </w:rPr>
        <w:t>8</w:t>
      </w:r>
    </w:p>
    <w:p w:rsidR="00DC15F9" w:rsidRPr="009433F4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753653" w:rsidRPr="006B7B56" w:rsidRDefault="001F24CE" w:rsidP="00AD1C0D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6B7B56">
        <w:rPr>
          <w:rFonts w:ascii="Arial" w:hAnsi="Arial" w:cs="David" w:hint="cs"/>
          <w:b/>
          <w:bCs/>
          <w:rtl/>
        </w:rPr>
        <w:t>יתרת</w:t>
      </w:r>
      <w:r w:rsidR="00ED12E8" w:rsidRPr="006B7B56">
        <w:rPr>
          <w:rFonts w:ascii="Arial" w:hAnsi="Arial" w:cs="David" w:hint="cs"/>
          <w:b/>
          <w:bCs/>
          <w:rtl/>
        </w:rPr>
        <w:t xml:space="preserve"> הנכסים של תושבי ישראל </w:t>
      </w:r>
      <w:r w:rsidR="00DF2C6B" w:rsidRPr="006B7B56">
        <w:rPr>
          <w:rFonts w:ascii="Arial" w:hAnsi="Arial" w:cs="David" w:hint="cs"/>
          <w:b/>
          <w:bCs/>
          <w:rtl/>
        </w:rPr>
        <w:t>בחו"ל</w:t>
      </w:r>
      <w:r w:rsidR="00B61E59" w:rsidRPr="006B7B56">
        <w:rPr>
          <w:rFonts w:ascii="Arial" w:hAnsi="Arial" w:cs="David" w:hint="cs"/>
          <w:b/>
          <w:bCs/>
          <w:rtl/>
        </w:rPr>
        <w:t xml:space="preserve"> </w:t>
      </w:r>
      <w:r w:rsidR="00A313A0" w:rsidRPr="006B7B56">
        <w:rPr>
          <w:rFonts w:ascii="Arial" w:hAnsi="Arial" w:cs="David" w:hint="cs"/>
          <w:b/>
          <w:bCs/>
          <w:rtl/>
        </w:rPr>
        <w:t>על</w:t>
      </w:r>
      <w:r w:rsidRPr="006B7B56">
        <w:rPr>
          <w:rFonts w:ascii="Arial" w:hAnsi="Arial" w:cs="David" w:hint="cs"/>
          <w:b/>
          <w:bCs/>
          <w:rtl/>
        </w:rPr>
        <w:t>ת</w:t>
      </w:r>
      <w:r w:rsidR="00A313A0" w:rsidRPr="006B7B56">
        <w:rPr>
          <w:rFonts w:ascii="Arial" w:hAnsi="Arial" w:cs="David" w:hint="cs"/>
          <w:b/>
          <w:bCs/>
          <w:rtl/>
        </w:rPr>
        <w:t xml:space="preserve">ה </w:t>
      </w:r>
      <w:r w:rsidR="00B61E59" w:rsidRPr="006B7B56">
        <w:rPr>
          <w:rFonts w:ascii="Arial" w:hAnsi="Arial" w:cs="David" w:hint="cs"/>
          <w:b/>
          <w:bCs/>
          <w:rtl/>
        </w:rPr>
        <w:t xml:space="preserve">ברביע </w:t>
      </w:r>
      <w:r w:rsidR="00AD1C0D" w:rsidRPr="006B7B56">
        <w:rPr>
          <w:rFonts w:ascii="Arial" w:hAnsi="Arial" w:cs="David" w:hint="cs"/>
          <w:b/>
          <w:bCs/>
          <w:rtl/>
        </w:rPr>
        <w:t>הראשון</w:t>
      </w:r>
      <w:r w:rsidR="007F449E" w:rsidRPr="006B7B56">
        <w:rPr>
          <w:rFonts w:ascii="Arial" w:hAnsi="Arial" w:cs="David" w:hint="cs"/>
          <w:b/>
          <w:bCs/>
          <w:rtl/>
        </w:rPr>
        <w:t xml:space="preserve"> של שנת 201</w:t>
      </w:r>
      <w:r w:rsidR="00AD1C0D" w:rsidRPr="006B7B56">
        <w:rPr>
          <w:rFonts w:ascii="Arial" w:hAnsi="Arial" w:cs="David" w:hint="cs"/>
          <w:b/>
          <w:bCs/>
          <w:rtl/>
        </w:rPr>
        <w:t>8</w:t>
      </w:r>
      <w:r w:rsidR="007F449E" w:rsidRPr="006B7B56">
        <w:rPr>
          <w:rFonts w:ascii="Arial" w:hAnsi="Arial" w:cs="David" w:hint="cs"/>
          <w:b/>
          <w:bCs/>
          <w:rtl/>
        </w:rPr>
        <w:t xml:space="preserve"> ב-</w:t>
      </w:r>
      <w:r w:rsidR="00AD1C0D" w:rsidRPr="006B7B56">
        <w:rPr>
          <w:rFonts w:ascii="Arial" w:hAnsi="Arial" w:cs="David" w:hint="cs"/>
          <w:b/>
          <w:bCs/>
          <w:rtl/>
        </w:rPr>
        <w:t>5.7</w:t>
      </w:r>
      <w:r w:rsidR="007F449E" w:rsidRPr="006B7B56">
        <w:rPr>
          <w:rFonts w:ascii="Arial" w:hAnsi="Arial" w:cs="David" w:hint="cs"/>
          <w:b/>
          <w:bCs/>
          <w:rtl/>
        </w:rPr>
        <w:t xml:space="preserve"> מיליארדי דולרים (</w:t>
      </w:r>
      <w:r w:rsidR="00AD1C0D" w:rsidRPr="006B7B56">
        <w:rPr>
          <w:rFonts w:ascii="Arial" w:hAnsi="Arial" w:cs="David" w:hint="cs"/>
          <w:b/>
          <w:bCs/>
          <w:rtl/>
        </w:rPr>
        <w:t>1.3</w:t>
      </w:r>
      <w:r w:rsidR="007F449E" w:rsidRPr="006B7B56">
        <w:rPr>
          <w:rFonts w:ascii="Arial" w:hAnsi="Arial" w:cs="David" w:hint="cs"/>
          <w:b/>
          <w:bCs/>
          <w:rtl/>
        </w:rPr>
        <w:t xml:space="preserve">%): </w:t>
      </w:r>
      <w:r w:rsidR="00AD1C0D" w:rsidRPr="006B7B56">
        <w:rPr>
          <w:rFonts w:ascii="Arial" w:hAnsi="Arial" w:cs="David" w:hint="cs"/>
          <w:b/>
          <w:bCs/>
          <w:rtl/>
        </w:rPr>
        <w:t xml:space="preserve">השקעות נטו בהון מניות (פיננסיות וישירות) שקוזזו בחלקן על ידי משיכת מפיקדונות של תושבי ישראל בחו"ל. </w:t>
      </w:r>
    </w:p>
    <w:p w:rsidR="001F24CE" w:rsidRPr="006B7B56" w:rsidRDefault="007F449E" w:rsidP="00AD1C0D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6B7B56">
        <w:rPr>
          <w:rFonts w:ascii="Arial" w:hAnsi="Arial" w:cs="David" w:hint="cs"/>
          <w:b/>
          <w:bCs/>
          <w:rtl/>
        </w:rPr>
        <w:t xml:space="preserve">יתרת ההתחייבויות של המשק לחו"ל עלתה במהלך הרביע </w:t>
      </w:r>
      <w:r w:rsidR="00AD1C0D" w:rsidRPr="006B7B56">
        <w:rPr>
          <w:rFonts w:ascii="Arial" w:hAnsi="Arial" w:cs="David" w:hint="cs"/>
          <w:b/>
          <w:bCs/>
          <w:rtl/>
        </w:rPr>
        <w:t>הראשון</w:t>
      </w:r>
      <w:r w:rsidRPr="006B7B56">
        <w:rPr>
          <w:rFonts w:ascii="Arial" w:hAnsi="Arial" w:cs="David" w:hint="cs"/>
          <w:b/>
          <w:bCs/>
          <w:rtl/>
        </w:rPr>
        <w:t xml:space="preserve"> ב-</w:t>
      </w:r>
      <w:r w:rsidR="00AD1C0D" w:rsidRPr="006B7B56">
        <w:rPr>
          <w:rFonts w:ascii="Arial" w:hAnsi="Arial" w:cs="David" w:hint="cs"/>
          <w:b/>
          <w:bCs/>
          <w:rtl/>
        </w:rPr>
        <w:t>4.7</w:t>
      </w:r>
      <w:r w:rsidRPr="006B7B56">
        <w:rPr>
          <w:rFonts w:ascii="Arial" w:hAnsi="Arial" w:cs="David" w:hint="cs"/>
          <w:b/>
          <w:bCs/>
          <w:rtl/>
        </w:rPr>
        <w:t xml:space="preserve"> מיליארדי דולרים (</w:t>
      </w:r>
      <w:r w:rsidR="00AD1C0D" w:rsidRPr="006B7B56">
        <w:rPr>
          <w:rFonts w:ascii="Arial" w:hAnsi="Arial" w:cs="David" w:hint="cs"/>
          <w:b/>
          <w:bCs/>
          <w:rtl/>
        </w:rPr>
        <w:t>1.6</w:t>
      </w:r>
      <w:r w:rsidRPr="006B7B56">
        <w:rPr>
          <w:rFonts w:ascii="Arial" w:hAnsi="Arial" w:cs="David" w:hint="cs"/>
          <w:b/>
          <w:bCs/>
          <w:rtl/>
        </w:rPr>
        <w:t xml:space="preserve">%): השקעות </w:t>
      </w:r>
      <w:r w:rsidR="00AD1C0D" w:rsidRPr="006B7B56">
        <w:rPr>
          <w:rFonts w:ascii="Arial" w:hAnsi="Arial" w:cs="David" w:hint="cs"/>
          <w:b/>
          <w:bCs/>
          <w:rtl/>
        </w:rPr>
        <w:t>נטו של תושבי חוץ בהון מניות (</w:t>
      </w:r>
      <w:r w:rsidRPr="006B7B56">
        <w:rPr>
          <w:rFonts w:ascii="Arial" w:hAnsi="Arial" w:cs="David" w:hint="cs"/>
          <w:b/>
          <w:bCs/>
          <w:rtl/>
        </w:rPr>
        <w:t>ישירות</w:t>
      </w:r>
      <w:r w:rsidR="00AD1C0D" w:rsidRPr="006B7B56">
        <w:rPr>
          <w:rFonts w:ascii="Arial" w:hAnsi="Arial" w:cs="David" w:hint="cs"/>
          <w:b/>
          <w:bCs/>
          <w:rtl/>
        </w:rPr>
        <w:t xml:space="preserve"> ופיננסיות)</w:t>
      </w:r>
      <w:r w:rsidRPr="006B7B56">
        <w:rPr>
          <w:rFonts w:ascii="Arial" w:hAnsi="Arial" w:cs="David" w:hint="cs"/>
          <w:b/>
          <w:bCs/>
          <w:rtl/>
        </w:rPr>
        <w:t xml:space="preserve"> </w:t>
      </w:r>
      <w:r w:rsidR="00AD1C0D" w:rsidRPr="006B7B56">
        <w:rPr>
          <w:rFonts w:ascii="Arial" w:hAnsi="Arial" w:cs="David" w:hint="cs"/>
          <w:b/>
          <w:bCs/>
          <w:rtl/>
        </w:rPr>
        <w:t>ובאג"ח</w:t>
      </w:r>
      <w:r w:rsidRPr="006B7B56">
        <w:rPr>
          <w:rFonts w:ascii="Arial" w:hAnsi="Arial" w:cs="David" w:hint="cs"/>
          <w:b/>
          <w:bCs/>
          <w:rtl/>
        </w:rPr>
        <w:t xml:space="preserve"> ישראליות אשר קוזזו בחלקן על ידי ירידה </w:t>
      </w:r>
      <w:r w:rsidR="00AD1C0D" w:rsidRPr="006B7B56">
        <w:rPr>
          <w:rFonts w:ascii="Arial" w:hAnsi="Arial" w:cs="David" w:hint="cs"/>
          <w:b/>
          <w:bCs/>
          <w:rtl/>
        </w:rPr>
        <w:t>במחירי המניות הישראליות</w:t>
      </w:r>
      <w:r w:rsidRPr="006B7B56">
        <w:rPr>
          <w:rFonts w:ascii="Arial" w:hAnsi="Arial" w:cs="David" w:hint="cs"/>
          <w:b/>
          <w:bCs/>
          <w:rtl/>
        </w:rPr>
        <w:t>.</w:t>
      </w:r>
    </w:p>
    <w:p w:rsidR="007F449E" w:rsidRPr="006B7B56" w:rsidRDefault="007F449E" w:rsidP="00F26A11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6B7B56">
        <w:rPr>
          <w:rFonts w:ascii="Arial" w:hAnsi="Arial" w:cs="David" w:hint="cs"/>
          <w:b/>
          <w:bCs/>
          <w:rtl/>
        </w:rPr>
        <w:t xml:space="preserve">היחס שבין החוב החיצוני ברוטו לתמ"ג </w:t>
      </w:r>
      <w:r w:rsidR="00AD1C0D" w:rsidRPr="006B7B56">
        <w:rPr>
          <w:rFonts w:ascii="Arial" w:hAnsi="Arial" w:cs="David" w:hint="cs"/>
          <w:b/>
          <w:bCs/>
          <w:rtl/>
        </w:rPr>
        <w:t>עלה</w:t>
      </w:r>
      <w:r w:rsidRPr="006B7B56">
        <w:rPr>
          <w:rFonts w:ascii="Arial" w:hAnsi="Arial" w:cs="David" w:hint="cs"/>
          <w:b/>
          <w:bCs/>
          <w:rtl/>
        </w:rPr>
        <w:t xml:space="preserve"> במהלך הרביע </w:t>
      </w:r>
      <w:r w:rsidR="00AD1C0D" w:rsidRPr="006B7B56">
        <w:rPr>
          <w:rFonts w:ascii="Arial" w:hAnsi="Arial" w:cs="David" w:hint="cs"/>
          <w:b/>
          <w:bCs/>
          <w:rtl/>
        </w:rPr>
        <w:t>הראשון</w:t>
      </w:r>
      <w:r w:rsidRPr="006B7B56">
        <w:rPr>
          <w:rFonts w:ascii="Arial" w:hAnsi="Arial" w:cs="David" w:hint="cs"/>
          <w:b/>
          <w:bCs/>
          <w:rtl/>
        </w:rPr>
        <w:t xml:space="preserve"> </w:t>
      </w:r>
      <w:r w:rsidR="00F26A11">
        <w:rPr>
          <w:rFonts w:ascii="Arial" w:hAnsi="Arial" w:cs="David" w:hint="cs"/>
          <w:b/>
          <w:bCs/>
          <w:rtl/>
        </w:rPr>
        <w:t xml:space="preserve">ב-0.8 נקודות האחוז </w:t>
      </w:r>
      <w:r w:rsidRPr="006B7B56">
        <w:rPr>
          <w:rFonts w:ascii="Arial" w:hAnsi="Arial" w:cs="David" w:hint="cs"/>
          <w:b/>
          <w:bCs/>
          <w:rtl/>
        </w:rPr>
        <w:t xml:space="preserve">ועמד בסוף </w:t>
      </w:r>
      <w:r w:rsidR="00AD1C0D" w:rsidRPr="006B7B56">
        <w:rPr>
          <w:rFonts w:ascii="Arial" w:hAnsi="Arial" w:cs="David" w:hint="cs"/>
          <w:b/>
          <w:bCs/>
          <w:rtl/>
        </w:rPr>
        <w:t>מרץ</w:t>
      </w:r>
      <w:r w:rsidRPr="006B7B56">
        <w:rPr>
          <w:rFonts w:ascii="Arial" w:hAnsi="Arial" w:cs="David" w:hint="cs"/>
          <w:b/>
          <w:bCs/>
          <w:rtl/>
        </w:rPr>
        <w:t xml:space="preserve"> על 25%. </w:t>
      </w:r>
      <w:r w:rsidR="00AD1C0D" w:rsidRPr="006B7B56">
        <w:rPr>
          <w:rFonts w:ascii="Arial" w:hAnsi="Arial" w:cs="David" w:hint="cs"/>
          <w:b/>
          <w:bCs/>
          <w:rtl/>
        </w:rPr>
        <w:t>העלייה</w:t>
      </w:r>
      <w:r w:rsidRPr="006B7B56">
        <w:rPr>
          <w:rFonts w:ascii="Arial" w:hAnsi="Arial" w:cs="David" w:hint="cs"/>
          <w:b/>
          <w:bCs/>
          <w:rtl/>
        </w:rPr>
        <w:t xml:space="preserve"> ביחס החוב לתוצר שיקפה </w:t>
      </w:r>
      <w:r w:rsidR="00AD1C0D" w:rsidRPr="006B7B56">
        <w:rPr>
          <w:rFonts w:ascii="Arial" w:hAnsi="Arial" w:cs="David" w:hint="cs"/>
          <w:b/>
          <w:bCs/>
          <w:rtl/>
        </w:rPr>
        <w:t>עלייה</w:t>
      </w:r>
      <w:r w:rsidRPr="006B7B56">
        <w:rPr>
          <w:rFonts w:ascii="Arial" w:hAnsi="Arial" w:cs="David" w:hint="cs"/>
          <w:b/>
          <w:bCs/>
          <w:rtl/>
        </w:rPr>
        <w:t xml:space="preserve"> ביתרת החוב החיצוני ברוטו ב</w:t>
      </w:r>
      <w:r w:rsidR="00AD1C0D" w:rsidRPr="006B7B56">
        <w:rPr>
          <w:rFonts w:ascii="Arial" w:hAnsi="Arial" w:cs="David" w:hint="cs"/>
          <w:b/>
          <w:bCs/>
          <w:rtl/>
        </w:rPr>
        <w:t>שיעור הגבוה משיעור ה</w:t>
      </w:r>
      <w:r w:rsidRPr="006B7B56">
        <w:rPr>
          <w:rFonts w:ascii="Arial" w:hAnsi="Arial" w:cs="David" w:hint="cs"/>
          <w:b/>
          <w:bCs/>
          <w:rtl/>
        </w:rPr>
        <w:t>עלייה בתוצר.</w:t>
      </w:r>
    </w:p>
    <w:p w:rsidR="00036848" w:rsidRPr="006B7B56" w:rsidRDefault="007F449E" w:rsidP="00AD1C0D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6B7B56">
        <w:rPr>
          <w:rFonts w:ascii="Arial" w:hAnsi="Arial" w:cs="David" w:hint="cs"/>
          <w:b/>
          <w:bCs/>
          <w:rtl/>
        </w:rPr>
        <w:t xml:space="preserve"> </w:t>
      </w:r>
      <w:r w:rsidR="0084099E" w:rsidRPr="006B7B56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עלה במהלך הרביע </w:t>
      </w:r>
      <w:r w:rsidR="00AD1C0D" w:rsidRPr="006B7B56">
        <w:rPr>
          <w:rFonts w:ascii="Arial" w:hAnsi="Arial" w:cs="David" w:hint="cs"/>
          <w:b/>
          <w:bCs/>
          <w:rtl/>
        </w:rPr>
        <w:t>הראשון</w:t>
      </w:r>
      <w:r w:rsidR="0084099E" w:rsidRPr="006B7B56">
        <w:rPr>
          <w:rFonts w:ascii="Arial" w:hAnsi="Arial" w:cs="David" w:hint="cs"/>
          <w:b/>
          <w:bCs/>
          <w:rtl/>
        </w:rPr>
        <w:t xml:space="preserve"> ב-</w:t>
      </w:r>
      <w:r w:rsidR="00AD1C0D" w:rsidRPr="006B7B56">
        <w:rPr>
          <w:rFonts w:ascii="Arial" w:hAnsi="Arial" w:cs="David" w:hint="cs"/>
          <w:b/>
          <w:bCs/>
          <w:rtl/>
        </w:rPr>
        <w:t>0.9</w:t>
      </w:r>
      <w:r w:rsidR="0084099E" w:rsidRPr="006B7B56">
        <w:rPr>
          <w:rFonts w:ascii="Arial" w:hAnsi="Arial" w:cs="David" w:hint="cs"/>
          <w:b/>
          <w:bCs/>
          <w:rtl/>
        </w:rPr>
        <w:t xml:space="preserve"> מיליארדי דולרים (</w:t>
      </w:r>
      <w:r w:rsidR="00AD1C0D" w:rsidRPr="006B7B56">
        <w:rPr>
          <w:rFonts w:ascii="Arial" w:hAnsi="Arial" w:cs="David" w:hint="cs"/>
          <w:b/>
          <w:bCs/>
          <w:rtl/>
        </w:rPr>
        <w:t>0.6</w:t>
      </w:r>
      <w:r w:rsidR="0084099E" w:rsidRPr="006B7B56">
        <w:rPr>
          <w:rFonts w:ascii="Arial" w:hAnsi="Arial" w:cs="David" w:hint="cs"/>
          <w:b/>
          <w:bCs/>
          <w:rtl/>
        </w:rPr>
        <w:t xml:space="preserve">%) ועמד בסוף </w:t>
      </w:r>
      <w:r w:rsidR="00AD1C0D" w:rsidRPr="006B7B56">
        <w:rPr>
          <w:rFonts w:ascii="Arial" w:hAnsi="Arial" w:cs="David" w:hint="cs"/>
          <w:b/>
          <w:bCs/>
          <w:rtl/>
        </w:rPr>
        <w:t>מרץ</w:t>
      </w:r>
      <w:r w:rsidR="0084099E" w:rsidRPr="006B7B56">
        <w:rPr>
          <w:rFonts w:ascii="Arial" w:hAnsi="Arial" w:cs="David" w:hint="cs"/>
          <w:b/>
          <w:bCs/>
          <w:rtl/>
        </w:rPr>
        <w:t xml:space="preserve"> על 142 מיליארדים</w:t>
      </w:r>
      <w:r w:rsidR="00036848" w:rsidRPr="006B7B56">
        <w:rPr>
          <w:rFonts w:ascii="Arial" w:hAnsi="Arial" w:cs="David" w:hint="cs"/>
          <w:b/>
          <w:bCs/>
          <w:rtl/>
        </w:rPr>
        <w:t>, בעיקר כתוצאה מ</w:t>
      </w:r>
      <w:r w:rsidR="00AD1C0D" w:rsidRPr="006B7B56">
        <w:rPr>
          <w:rFonts w:ascii="Arial" w:hAnsi="Arial" w:cs="David" w:hint="cs"/>
          <w:b/>
          <w:bCs/>
          <w:rtl/>
        </w:rPr>
        <w:t>ירידה</w:t>
      </w:r>
      <w:r w:rsidR="00036848" w:rsidRPr="006B7B56">
        <w:rPr>
          <w:rFonts w:ascii="Arial" w:hAnsi="Arial" w:cs="David" w:hint="cs"/>
          <w:b/>
          <w:bCs/>
          <w:rtl/>
        </w:rPr>
        <w:t xml:space="preserve"> במחירי המניות </w:t>
      </w:r>
      <w:r w:rsidR="00AD1C0D" w:rsidRPr="006B7B56">
        <w:rPr>
          <w:rFonts w:ascii="Arial" w:hAnsi="Arial" w:cs="David" w:hint="cs"/>
          <w:b/>
          <w:bCs/>
          <w:rtl/>
        </w:rPr>
        <w:t>הישראליות</w:t>
      </w:r>
      <w:r w:rsidR="0084099E" w:rsidRPr="006B7B56">
        <w:rPr>
          <w:rFonts w:ascii="Arial" w:hAnsi="Arial" w:cs="David" w:hint="cs"/>
          <w:b/>
          <w:bCs/>
          <w:rtl/>
        </w:rPr>
        <w:t xml:space="preserve"> שמחזיקים תושבי </w:t>
      </w:r>
      <w:r w:rsidR="00AD1C0D" w:rsidRPr="006B7B56">
        <w:rPr>
          <w:rFonts w:ascii="Arial" w:hAnsi="Arial" w:cs="David" w:hint="cs"/>
          <w:b/>
          <w:bCs/>
          <w:rtl/>
        </w:rPr>
        <w:t>חוץ</w:t>
      </w:r>
      <w:r w:rsidR="0084099E" w:rsidRPr="006B7B56">
        <w:rPr>
          <w:rFonts w:ascii="Arial" w:hAnsi="Arial" w:cs="David" w:hint="cs"/>
          <w:b/>
          <w:bCs/>
          <w:rtl/>
        </w:rPr>
        <w:t xml:space="preserve">. </w:t>
      </w:r>
    </w:p>
    <w:p w:rsidR="002D5576" w:rsidRDefault="0084099E" w:rsidP="00AD1C0D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u w:val="single"/>
          <w:rtl/>
        </w:rPr>
      </w:pPr>
      <w:r w:rsidRPr="006B7B56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</w:t>
      </w:r>
      <w:r w:rsidR="00AD1C0D" w:rsidRPr="006B7B56">
        <w:rPr>
          <w:rFonts w:ascii="Arial" w:hAnsi="Arial" w:cs="David" w:hint="cs"/>
          <w:b/>
          <w:bCs/>
          <w:rtl/>
        </w:rPr>
        <w:t>לא השתנה</w:t>
      </w:r>
      <w:r w:rsidRPr="006B7B56">
        <w:rPr>
          <w:rFonts w:ascii="Arial" w:hAnsi="Arial" w:cs="David" w:hint="cs"/>
          <w:b/>
          <w:bCs/>
          <w:rtl/>
        </w:rPr>
        <w:t xml:space="preserve"> ברביע </w:t>
      </w:r>
      <w:r w:rsidR="00AD1C0D" w:rsidRPr="006B7B56">
        <w:rPr>
          <w:rFonts w:ascii="Arial" w:hAnsi="Arial" w:cs="David" w:hint="cs"/>
          <w:b/>
          <w:bCs/>
          <w:rtl/>
        </w:rPr>
        <w:t>הראשון</w:t>
      </w:r>
      <w:r w:rsidRPr="006B7B56">
        <w:rPr>
          <w:rFonts w:ascii="Arial" w:hAnsi="Arial" w:cs="David" w:hint="cs"/>
          <w:b/>
          <w:bCs/>
          <w:rtl/>
        </w:rPr>
        <w:t xml:space="preserve"> </w:t>
      </w:r>
      <w:r w:rsidR="00AD1C0D" w:rsidRPr="006B7B56">
        <w:rPr>
          <w:rFonts w:ascii="Arial" w:hAnsi="Arial" w:cs="David" w:hint="cs"/>
          <w:b/>
          <w:bCs/>
          <w:rtl/>
        </w:rPr>
        <w:t>ונותר</w:t>
      </w:r>
      <w:r w:rsidRPr="006B7B56">
        <w:rPr>
          <w:rFonts w:ascii="Arial" w:hAnsi="Arial" w:cs="David" w:hint="cs"/>
          <w:b/>
          <w:bCs/>
          <w:rtl/>
        </w:rPr>
        <w:t xml:space="preserve"> </w:t>
      </w:r>
      <w:r w:rsidR="00AD1C0D" w:rsidRPr="006B7B56">
        <w:rPr>
          <w:rFonts w:ascii="Arial" w:hAnsi="Arial" w:cs="David" w:hint="cs"/>
          <w:b/>
          <w:bCs/>
          <w:rtl/>
        </w:rPr>
        <w:t>ברמה של</w:t>
      </w:r>
      <w:r w:rsidRPr="006B7B56">
        <w:rPr>
          <w:rFonts w:ascii="Arial" w:hAnsi="Arial" w:cs="David" w:hint="cs"/>
          <w:b/>
          <w:bCs/>
          <w:rtl/>
        </w:rPr>
        <w:t xml:space="preserve"> כ-</w:t>
      </w:r>
      <w:r w:rsidR="00AD1C0D" w:rsidRPr="006B7B56">
        <w:rPr>
          <w:rFonts w:ascii="Arial" w:hAnsi="Arial" w:cs="David" w:hint="cs"/>
          <w:b/>
          <w:bCs/>
          <w:rtl/>
        </w:rPr>
        <w:t>165 מיליארדי דולרים</w:t>
      </w:r>
      <w:r w:rsidRPr="006B7B56">
        <w:rPr>
          <w:rFonts w:ascii="Arial" w:hAnsi="Arial" w:cs="David" w:hint="cs"/>
          <w:b/>
          <w:bCs/>
          <w:rtl/>
        </w:rPr>
        <w:t>.</w:t>
      </w:r>
      <w:r w:rsidR="002D5576"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FE10AB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>יתרות הנכסים וההתחייבויות והשינויים בהם</w:t>
      </w:r>
    </w:p>
    <w:p w:rsidR="008B17A5" w:rsidRPr="00041FB7" w:rsidRDefault="0056598D" w:rsidP="008964DB">
      <w:pPr>
        <w:spacing w:after="360" w:line="360" w:lineRule="auto"/>
        <w:jc w:val="center"/>
        <w:rPr>
          <w:rtl/>
        </w:rPr>
      </w:pPr>
      <w:r w:rsidRPr="0056598D">
        <w:rPr>
          <w:noProof/>
          <w:lang w:eastAsia="en-US"/>
        </w:rPr>
        <w:drawing>
          <wp:inline distT="0" distB="0" distL="0" distR="0" wp14:anchorId="59115F15" wp14:editId="0A799E1F">
            <wp:extent cx="4904024" cy="3093963"/>
            <wp:effectExtent l="19050" t="19050" r="11430" b="11430"/>
            <wp:docPr id="1" name="תמונה 1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0658" cy="309814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95D04" w:rsidRPr="00FE10AB" w:rsidRDefault="00E95D04" w:rsidP="00E95D04">
      <w:pPr>
        <w:pStyle w:val="1"/>
        <w:rPr>
          <w:rStyle w:val="12"/>
          <w:b/>
          <w:bCs/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t xml:space="preserve">שווי תיק הנכסים של תושבי ישראל בחו"ל  </w:t>
      </w:r>
    </w:p>
    <w:p w:rsidR="00E95D04" w:rsidRDefault="00E95D04" w:rsidP="0056598D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 xml:space="preserve">שווי תיק הנכסים של תושבי ישראל בחו"ל </w:t>
      </w:r>
      <w:r w:rsidRPr="00AF6E37">
        <w:rPr>
          <w:rFonts w:ascii="Arial" w:hAnsi="Arial" w:cs="David" w:hint="cs"/>
          <w:rtl/>
        </w:rPr>
        <w:t xml:space="preserve">עלה </w:t>
      </w:r>
      <w:r>
        <w:rPr>
          <w:rFonts w:ascii="Arial" w:hAnsi="Arial" w:cs="David" w:hint="cs"/>
          <w:rtl/>
        </w:rPr>
        <w:t xml:space="preserve">ברביע </w:t>
      </w:r>
      <w:r w:rsidR="00D70E5B">
        <w:rPr>
          <w:rFonts w:ascii="Arial" w:hAnsi="Arial" w:cs="David" w:hint="cs"/>
          <w:rtl/>
        </w:rPr>
        <w:t>ה</w:t>
      </w:r>
      <w:r w:rsidR="00D9019D">
        <w:rPr>
          <w:rFonts w:ascii="Arial" w:hAnsi="Arial" w:cs="David" w:hint="cs"/>
          <w:rtl/>
        </w:rPr>
        <w:t>ר</w:t>
      </w:r>
      <w:r w:rsidR="0056598D">
        <w:rPr>
          <w:rFonts w:ascii="Arial" w:hAnsi="Arial" w:cs="David" w:hint="cs"/>
          <w:rtl/>
        </w:rPr>
        <w:t>אשון</w:t>
      </w:r>
      <w:r>
        <w:rPr>
          <w:rFonts w:ascii="Arial" w:hAnsi="Arial" w:cs="David" w:hint="cs"/>
          <w:rtl/>
        </w:rPr>
        <w:t xml:space="preserve"> של </w:t>
      </w:r>
      <w:r w:rsidRPr="00AF6E37">
        <w:rPr>
          <w:rFonts w:ascii="Arial" w:hAnsi="Arial" w:cs="David" w:hint="cs"/>
          <w:rtl/>
        </w:rPr>
        <w:t xml:space="preserve">שנת </w:t>
      </w:r>
      <w:r>
        <w:rPr>
          <w:rFonts w:ascii="Arial" w:hAnsi="Arial" w:cs="David" w:hint="cs"/>
          <w:rtl/>
        </w:rPr>
        <w:t>201</w:t>
      </w:r>
      <w:r w:rsidR="0056598D">
        <w:rPr>
          <w:rFonts w:ascii="Arial" w:hAnsi="Arial" w:cs="David" w:hint="cs"/>
          <w:rtl/>
        </w:rPr>
        <w:t>8</w:t>
      </w:r>
      <w:r w:rsidRPr="00AF6E37">
        <w:rPr>
          <w:rFonts w:ascii="Arial" w:hAnsi="Arial" w:cs="David" w:hint="cs"/>
          <w:rtl/>
        </w:rPr>
        <w:t xml:space="preserve"> ב-</w:t>
      </w:r>
      <w:r w:rsidR="0056598D">
        <w:rPr>
          <w:rFonts w:ascii="Arial" w:hAnsi="Arial" w:cs="David" w:hint="cs"/>
          <w:rtl/>
        </w:rPr>
        <w:t>5.7</w:t>
      </w:r>
      <w:r>
        <w:rPr>
          <w:rFonts w:ascii="Arial" w:hAnsi="Arial" w:cs="David" w:hint="cs"/>
          <w:rtl/>
        </w:rPr>
        <w:t xml:space="preserve"> </w:t>
      </w:r>
      <w:r w:rsidRPr="00AF6E37">
        <w:rPr>
          <w:rFonts w:ascii="Arial" w:hAnsi="Arial" w:cs="David" w:hint="cs"/>
          <w:rtl/>
        </w:rPr>
        <w:t>מיליארדי דולרים (</w:t>
      </w:r>
      <w:r w:rsidR="0056598D">
        <w:rPr>
          <w:rFonts w:ascii="Arial" w:hAnsi="Arial" w:cs="David" w:hint="cs"/>
          <w:rtl/>
        </w:rPr>
        <w:t>1.3</w:t>
      </w:r>
      <w:r w:rsidRPr="00AF6E37">
        <w:rPr>
          <w:rFonts w:ascii="Arial" w:hAnsi="Arial" w:cs="David" w:hint="cs"/>
          <w:rtl/>
        </w:rPr>
        <w:t xml:space="preserve">%) ועמד בסוף </w:t>
      </w:r>
      <w:r w:rsidR="0056598D">
        <w:rPr>
          <w:rFonts w:ascii="Arial" w:hAnsi="Arial" w:cs="David" w:hint="cs"/>
          <w:rtl/>
        </w:rPr>
        <w:t>מרץ</w:t>
      </w:r>
      <w:r w:rsidRPr="00AF6E37">
        <w:rPr>
          <w:rFonts w:ascii="Arial" w:hAnsi="Arial" w:cs="David" w:hint="cs"/>
          <w:rtl/>
        </w:rPr>
        <w:t xml:space="preserve"> על כ-</w:t>
      </w:r>
      <w:r w:rsidR="00E90F70">
        <w:rPr>
          <w:rFonts w:ascii="Arial" w:hAnsi="Arial" w:cs="David" w:hint="cs"/>
          <w:rtl/>
        </w:rPr>
        <w:t>4</w:t>
      </w:r>
      <w:r w:rsidR="00D9019D">
        <w:rPr>
          <w:rFonts w:ascii="Arial" w:hAnsi="Arial" w:cs="David" w:hint="cs"/>
          <w:rtl/>
        </w:rPr>
        <w:t>3</w:t>
      </w:r>
      <w:r w:rsidR="0056598D">
        <w:rPr>
          <w:rFonts w:ascii="Arial" w:hAnsi="Arial" w:cs="David" w:hint="cs"/>
          <w:rtl/>
        </w:rPr>
        <w:t>8</w:t>
      </w:r>
      <w:r w:rsidRPr="00AF6E37">
        <w:rPr>
          <w:rFonts w:ascii="Arial" w:hAnsi="Arial" w:cs="David" w:hint="cs"/>
          <w:rtl/>
        </w:rPr>
        <w:t xml:space="preserve"> מיליארדי דולרים. </w:t>
      </w:r>
      <w:r>
        <w:rPr>
          <w:rFonts w:ascii="Arial" w:hAnsi="Arial" w:cs="David" w:hint="cs"/>
          <w:rtl/>
        </w:rPr>
        <w:t xml:space="preserve">עיקר </w:t>
      </w:r>
      <w:r w:rsidRPr="000E79EF">
        <w:rPr>
          <w:rFonts w:ascii="Arial" w:hAnsi="Arial" w:cs="David" w:hint="cs"/>
          <w:rtl/>
        </w:rPr>
        <w:t xml:space="preserve">הגידול בתיק הנכסים </w:t>
      </w:r>
      <w:r w:rsidR="00D46F81">
        <w:rPr>
          <w:rFonts w:ascii="Arial" w:hAnsi="Arial" w:cs="David" w:hint="cs"/>
          <w:rtl/>
        </w:rPr>
        <w:t>נבע</w:t>
      </w:r>
      <w:r w:rsidR="00D46F81" w:rsidRPr="000E79EF">
        <w:rPr>
          <w:rFonts w:ascii="Arial" w:hAnsi="Arial" w:cs="David" w:hint="cs"/>
          <w:rtl/>
        </w:rPr>
        <w:t xml:space="preserve"> </w:t>
      </w:r>
      <w:r w:rsidR="0056598D">
        <w:rPr>
          <w:rFonts w:ascii="Arial" w:hAnsi="Arial" w:cs="David" w:hint="cs"/>
          <w:rtl/>
        </w:rPr>
        <w:t xml:space="preserve">מהשקעות נטו בהון </w:t>
      </w:r>
      <w:r w:rsidR="00D9019D">
        <w:rPr>
          <w:rFonts w:ascii="Arial" w:hAnsi="Arial" w:cs="David" w:hint="cs"/>
          <w:rtl/>
        </w:rPr>
        <w:t>מניות</w:t>
      </w:r>
      <w:r w:rsidR="0056598D">
        <w:rPr>
          <w:rFonts w:ascii="Arial" w:hAnsi="Arial" w:cs="David" w:hint="cs"/>
          <w:rtl/>
        </w:rPr>
        <w:t xml:space="preserve"> זרות</w:t>
      </w:r>
      <w:r w:rsidR="00D9019D">
        <w:rPr>
          <w:rFonts w:ascii="Arial" w:hAnsi="Arial" w:cs="David" w:hint="cs"/>
          <w:rtl/>
        </w:rPr>
        <w:t xml:space="preserve"> </w:t>
      </w:r>
      <w:r w:rsidR="0056598D">
        <w:rPr>
          <w:rFonts w:ascii="Arial" w:hAnsi="Arial" w:cs="David" w:hint="cs"/>
          <w:rtl/>
        </w:rPr>
        <w:t>ומגידול בנכסי הרזרבה</w:t>
      </w:r>
      <w:r>
        <w:rPr>
          <w:rFonts w:ascii="Arial" w:hAnsi="Arial" w:cs="David" w:hint="cs"/>
          <w:rtl/>
        </w:rPr>
        <w:t>.</w:t>
      </w:r>
      <w:r w:rsidRPr="00C4262A">
        <w:rPr>
          <w:rFonts w:ascii="Arial" w:hAnsi="Arial" w:cs="David" w:hint="cs"/>
          <w:b/>
          <w:bCs/>
          <w:rtl/>
        </w:rPr>
        <w:t xml:space="preserve"> </w:t>
      </w:r>
    </w:p>
    <w:p w:rsidR="00D064D6" w:rsidRDefault="00B90A51" w:rsidP="00624395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ההשקעות הישירות</w:t>
      </w:r>
      <w:r>
        <w:rPr>
          <w:rFonts w:ascii="Arial" w:hAnsi="Arial" w:cs="David" w:hint="cs"/>
          <w:b/>
          <w:bCs/>
          <w:rtl/>
        </w:rPr>
        <w:t xml:space="preserve"> </w:t>
      </w:r>
      <w:r w:rsidR="00624395" w:rsidRPr="00624395">
        <w:rPr>
          <w:rFonts w:ascii="Arial" w:hAnsi="Arial" w:cs="David" w:hint="cs"/>
          <w:rtl/>
        </w:rPr>
        <w:t>עלה במהלך הרביע הראשון בכ-0.7 מיליארדי דולרים (0.7%) בעיקר כתוצאה מהשקעות ישירות נטו בהון מניות בהיקף של כמיליארד</w:t>
      </w:r>
      <w:r w:rsidR="00624395">
        <w:rPr>
          <w:rFonts w:ascii="Arial" w:hAnsi="Arial" w:cs="David" w:hint="cs"/>
          <w:rtl/>
        </w:rPr>
        <w:t xml:space="preserve"> דולרים.</w:t>
      </w:r>
    </w:p>
    <w:p w:rsidR="008964DB" w:rsidRPr="00617539" w:rsidRDefault="008964DB" w:rsidP="0017204C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tbl>
      <w:tblPr>
        <w:tblStyle w:val="af1"/>
        <w:bidiVisual/>
        <w:tblW w:w="10490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שווי תיק ההשקעות הפיננסיות"/>
        <w:tblDescription w:val="שווי תיק ההשקעות הפיננסיות"/>
      </w:tblPr>
      <w:tblGrid>
        <w:gridCol w:w="4664"/>
        <w:gridCol w:w="5826"/>
      </w:tblGrid>
      <w:tr w:rsidR="00B90A51" w:rsidTr="002B1F0F">
        <w:trPr>
          <w:trHeight w:val="3911"/>
          <w:tblHeader/>
        </w:trPr>
        <w:tc>
          <w:tcPr>
            <w:tcW w:w="4814" w:type="dxa"/>
          </w:tcPr>
          <w:p w:rsidR="00DD4C4E" w:rsidRDefault="00B90A51" w:rsidP="00624395">
            <w:pPr>
              <w:pStyle w:val="2"/>
              <w:rPr>
                <w:rtl/>
              </w:rPr>
            </w:pPr>
            <w:r w:rsidRPr="00907615">
              <w:rPr>
                <w:rFonts w:hint="cs"/>
                <w:b/>
                <w:bCs/>
                <w:rtl/>
              </w:rPr>
              <w:t>שווי תיק ההשקעות הפיננסיות</w:t>
            </w:r>
            <w:r>
              <w:rPr>
                <w:rFonts w:hint="cs"/>
                <w:rtl/>
              </w:rPr>
              <w:t xml:space="preserve"> עלה במהלך הרביע </w:t>
            </w:r>
            <w:r w:rsidR="0017204C">
              <w:rPr>
                <w:rFonts w:hint="cs"/>
                <w:rtl/>
              </w:rPr>
              <w:t>ה</w:t>
            </w:r>
            <w:r w:rsidR="00D21138">
              <w:rPr>
                <w:rFonts w:hint="cs"/>
                <w:rtl/>
              </w:rPr>
              <w:t>ר</w:t>
            </w:r>
            <w:r w:rsidR="0056598D">
              <w:rPr>
                <w:rFonts w:hint="cs"/>
                <w:rtl/>
              </w:rPr>
              <w:t>אשון</w:t>
            </w:r>
            <w:r>
              <w:rPr>
                <w:rFonts w:hint="cs"/>
                <w:rtl/>
              </w:rPr>
              <w:t xml:space="preserve"> בכ-</w:t>
            </w:r>
            <w:r w:rsidR="00624395">
              <w:rPr>
                <w:rFonts w:hint="cs"/>
                <w:rtl/>
              </w:rPr>
              <w:t>2</w:t>
            </w:r>
            <w:r w:rsidR="0056598D">
              <w:rPr>
                <w:rFonts w:hint="cs"/>
                <w:rtl/>
              </w:rPr>
              <w:t>.7</w:t>
            </w:r>
            <w:r>
              <w:rPr>
                <w:rFonts w:hint="cs"/>
                <w:rtl/>
              </w:rPr>
              <w:t xml:space="preserve"> מיליארדי דולרים</w:t>
            </w:r>
            <w:r w:rsidRPr="003F3174">
              <w:rPr>
                <w:rFonts w:hint="cs"/>
                <w:rtl/>
              </w:rPr>
              <w:t xml:space="preserve"> (</w:t>
            </w:r>
            <w:r w:rsidR="00624395">
              <w:rPr>
                <w:rFonts w:hint="cs"/>
                <w:rtl/>
              </w:rPr>
              <w:t>1.9</w:t>
            </w:r>
            <w:r w:rsidRPr="003F3174">
              <w:rPr>
                <w:rFonts w:hint="cs"/>
                <w:rtl/>
              </w:rPr>
              <w:t>%</w:t>
            </w:r>
            <w:r w:rsidR="00543858">
              <w:rPr>
                <w:rFonts w:hint="cs"/>
                <w:rtl/>
              </w:rPr>
              <w:t>)</w:t>
            </w:r>
            <w:r w:rsidRPr="003F317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בעיקר </w:t>
            </w:r>
            <w:r w:rsidR="00543858">
              <w:rPr>
                <w:rFonts w:hint="cs"/>
                <w:rtl/>
              </w:rPr>
              <w:t xml:space="preserve">כתוצאה </w:t>
            </w:r>
            <w:r w:rsidR="00D21138">
              <w:rPr>
                <w:rFonts w:ascii="Arial" w:hAnsi="Arial" w:hint="cs"/>
                <w:rtl/>
              </w:rPr>
              <w:t>מ</w:t>
            </w:r>
            <w:r w:rsidR="0056598D">
              <w:rPr>
                <w:rFonts w:ascii="Arial" w:hAnsi="Arial" w:hint="cs"/>
                <w:rtl/>
              </w:rPr>
              <w:t>השקעות נטו בהון</w:t>
            </w:r>
            <w:r w:rsidR="00D21138">
              <w:rPr>
                <w:rFonts w:ascii="Arial" w:hAnsi="Arial" w:hint="cs"/>
                <w:rtl/>
              </w:rPr>
              <w:t xml:space="preserve"> </w:t>
            </w:r>
            <w:r w:rsidR="00D21138" w:rsidRPr="00624395">
              <w:rPr>
                <w:rFonts w:ascii="Arial" w:hAnsi="Arial" w:hint="cs"/>
                <w:b/>
                <w:bCs/>
                <w:rtl/>
              </w:rPr>
              <w:t>מניות</w:t>
            </w:r>
            <w:r w:rsidR="00624395">
              <w:rPr>
                <w:rFonts w:ascii="Arial" w:hAnsi="Arial" w:hint="cs"/>
                <w:rtl/>
              </w:rPr>
              <w:t xml:space="preserve"> פיננסיות</w:t>
            </w:r>
            <w:r w:rsidR="00D21138">
              <w:rPr>
                <w:rFonts w:ascii="Arial" w:hAnsi="Arial" w:hint="cs"/>
                <w:rtl/>
              </w:rPr>
              <w:t xml:space="preserve"> </w:t>
            </w:r>
            <w:r w:rsidR="00624395">
              <w:rPr>
                <w:rFonts w:hint="cs"/>
                <w:rtl/>
              </w:rPr>
              <w:t xml:space="preserve">בהיקף של כ2.1 מיליארדים </w:t>
            </w:r>
            <w:r w:rsidR="00624395" w:rsidRPr="00624395">
              <w:rPr>
                <w:rFonts w:hint="cs"/>
                <w:b/>
                <w:bCs/>
                <w:rtl/>
              </w:rPr>
              <w:t>ובאג"ח</w:t>
            </w:r>
            <w:r w:rsidR="00624395">
              <w:rPr>
                <w:rFonts w:hint="cs"/>
                <w:rtl/>
              </w:rPr>
              <w:t xml:space="preserve"> זרות בהיקף של כ-0.8 מיליארדים.</w:t>
            </w:r>
            <w:r w:rsidR="00DD4C4E">
              <w:rPr>
                <w:rFonts w:hint="cs"/>
                <w:rtl/>
              </w:rPr>
              <w:t xml:space="preserve"> ההשקעות התבצעו על ידי המשקיעים המוסדיים ומשקי הבית.</w:t>
            </w:r>
          </w:p>
          <w:p w:rsidR="00B90A51" w:rsidRPr="00933151" w:rsidRDefault="00DD4C4E" w:rsidP="001E6C92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ההשקעות נטו במניות ובאג"ח</w:t>
            </w:r>
            <w:r w:rsidR="00624395">
              <w:rPr>
                <w:rFonts w:hint="cs"/>
                <w:rtl/>
              </w:rPr>
              <w:t xml:space="preserve"> קוזזו בחלקן על ידי </w:t>
            </w:r>
            <w:r>
              <w:rPr>
                <w:rFonts w:hint="cs"/>
                <w:rtl/>
              </w:rPr>
              <w:t xml:space="preserve">מימושים של המגזר הבנקאי באג"ח זרות ועל ידי </w:t>
            </w:r>
            <w:r w:rsidR="00624395">
              <w:rPr>
                <w:rFonts w:hint="cs"/>
                <w:rtl/>
              </w:rPr>
              <w:t>ירידה במחירי המניות הזרות.</w:t>
            </w:r>
            <w:r w:rsidR="00D21138">
              <w:rPr>
                <w:rFonts w:hint="cs"/>
                <w:rtl/>
              </w:rPr>
              <w:t xml:space="preserve"> </w:t>
            </w:r>
          </w:p>
        </w:tc>
        <w:tc>
          <w:tcPr>
            <w:tcW w:w="5676" w:type="dxa"/>
          </w:tcPr>
          <w:p w:rsidR="00B90A51" w:rsidRDefault="00624395" w:rsidP="00933151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198B8C34" wp14:editId="198E70EC">
                  <wp:extent cx="3562842" cy="2424251"/>
                  <wp:effectExtent l="0" t="0" r="0" b="0"/>
                  <wp:docPr id="4" name="תמונה 4" descr="התרשים מתאר את ההשקעות הפיננסיות של תושבי ישראל בחו&quot;ל בחלוקה למגזר העסקי, המשקיעים המוסדיים, משקי הבית והמגזר הבנקאי. ניתן למצוא את התרשים בקובץ האקסל המצורף להודעה זו בגיליון &quot;תרשים1&quot;." title="תרשים 1: השקעות פיננסיות של תושבי ישראל בחו&quot;ל, לפי מגז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3818" cy="2424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151" w:rsidRPr="00C340A4" w:rsidRDefault="00933151" w:rsidP="00933151">
      <w:pPr>
        <w:pStyle w:val="2"/>
        <w:rPr>
          <w:rtl/>
        </w:rPr>
      </w:pPr>
    </w:p>
    <w:p w:rsidR="00D064D6" w:rsidRPr="005A0B34" w:rsidRDefault="00E95D04" w:rsidP="00491CD9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ההשקעות האחרות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</w:t>
      </w:r>
      <w:r w:rsidR="00D64EF3">
        <w:rPr>
          <w:rFonts w:ascii="Arial" w:hAnsi="Arial" w:cs="David" w:hint="cs"/>
          <w:rtl/>
        </w:rPr>
        <w:t>לא השתנה</w:t>
      </w:r>
      <w:r>
        <w:rPr>
          <w:rFonts w:ascii="Arial" w:hAnsi="Arial" w:cs="David" w:hint="cs"/>
          <w:rtl/>
        </w:rPr>
        <w:t xml:space="preserve"> </w:t>
      </w:r>
      <w:r w:rsidR="00491CD9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 xml:space="preserve">רביע </w:t>
      </w:r>
      <w:r w:rsidR="008610A8">
        <w:rPr>
          <w:rFonts w:ascii="Arial" w:hAnsi="Arial" w:cs="David" w:hint="cs"/>
          <w:rtl/>
        </w:rPr>
        <w:t>ה</w:t>
      </w:r>
      <w:r w:rsidR="005918F3">
        <w:rPr>
          <w:rFonts w:ascii="Arial" w:hAnsi="Arial" w:cs="David" w:hint="cs"/>
          <w:rtl/>
        </w:rPr>
        <w:t>ר</w:t>
      </w:r>
      <w:r w:rsidR="00D64EF3">
        <w:rPr>
          <w:rFonts w:ascii="Arial" w:hAnsi="Arial" w:cs="David" w:hint="cs"/>
          <w:rtl/>
        </w:rPr>
        <w:t>אשון:</w:t>
      </w:r>
      <w:r w:rsidR="008610A8">
        <w:rPr>
          <w:rFonts w:ascii="Arial" w:hAnsi="Arial" w:cs="David" w:hint="cs"/>
          <w:rtl/>
        </w:rPr>
        <w:t xml:space="preserve"> </w:t>
      </w:r>
      <w:r w:rsidR="00D64EF3">
        <w:rPr>
          <w:rFonts w:ascii="Arial" w:hAnsi="Arial" w:cs="David" w:hint="cs"/>
          <w:rtl/>
        </w:rPr>
        <w:t xml:space="preserve">נרשמו משיכות מפיקדונות תושבי ישראל בחו"ל בהיקף של כ-1.2 מיליארדים וירידה באשראי הלקוחות בהיקף של כ-0.7 מיליארדים אשר קוזזו במלואן על ידי עלייה ביתרת הנכסים האחרים של תושבי ישראל בחו"ל בהיקף של כ-1.3 מיליארדים, ועלייה ביתרת ההלוואות שנתנו תושבי ישראל לתושבי חוץ בהיקף של כ-0.6 מיליארדים. </w:t>
      </w:r>
    </w:p>
    <w:p w:rsidR="00595D2C" w:rsidRPr="00595D2C" w:rsidRDefault="00D064D6" w:rsidP="00940AD0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EC7480">
        <w:rPr>
          <w:rStyle w:val="20"/>
          <w:rFonts w:hint="cs"/>
          <w:b/>
          <w:bCs/>
          <w:rtl/>
        </w:rPr>
        <w:lastRenderedPageBreak/>
        <w:t>הרכב התיק בחו"ל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/>
          <w:rtl/>
        </w:rPr>
        <w:t>–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 w:hint="cs"/>
          <w:rtl/>
        </w:rPr>
        <w:t xml:space="preserve">כתוצאה מהעלייה בשווי ההשקעות </w:t>
      </w:r>
      <w:r w:rsidR="002247AE">
        <w:rPr>
          <w:rFonts w:ascii="Arial" w:hAnsi="Arial" w:cs="David" w:hint="cs"/>
          <w:rtl/>
        </w:rPr>
        <w:t>במניות זרות (נכס הון)</w:t>
      </w:r>
      <w:r w:rsidR="00595D2C">
        <w:rPr>
          <w:rFonts w:ascii="Arial" w:hAnsi="Arial" w:cs="David" w:hint="cs"/>
          <w:rtl/>
        </w:rPr>
        <w:t xml:space="preserve">, בשילוב עם </w:t>
      </w:r>
      <w:r w:rsidR="002247AE">
        <w:rPr>
          <w:rFonts w:ascii="Arial" w:hAnsi="Arial" w:cs="David" w:hint="cs"/>
          <w:rtl/>
        </w:rPr>
        <w:t xml:space="preserve">העלייה בשווי יתרת ההשקעות </w:t>
      </w:r>
      <w:r w:rsidR="00940AD0">
        <w:rPr>
          <w:rFonts w:ascii="Arial" w:hAnsi="Arial" w:cs="David" w:hint="cs"/>
          <w:rtl/>
        </w:rPr>
        <w:t>באג"ח</w:t>
      </w:r>
      <w:r w:rsidR="002247AE">
        <w:rPr>
          <w:rFonts w:ascii="Arial" w:hAnsi="Arial" w:cs="David" w:hint="cs"/>
          <w:rtl/>
        </w:rPr>
        <w:t xml:space="preserve"> (נכסי חוב)</w:t>
      </w:r>
      <w:r w:rsidR="00595D2C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="002247AE">
        <w:rPr>
          <w:rFonts w:ascii="Arial" w:hAnsi="Arial" w:cs="David" w:hint="cs"/>
          <w:rtl/>
        </w:rPr>
        <w:t xml:space="preserve">לא חל שינוי מהותי בתמהיל נכסי ההון והחוב </w:t>
      </w:r>
      <w:r w:rsidR="00BB7ACD">
        <w:rPr>
          <w:rFonts w:ascii="Arial" w:hAnsi="Arial" w:cs="David" w:hint="cs"/>
          <w:rtl/>
        </w:rPr>
        <w:t>ב</w:t>
      </w:r>
      <w:r w:rsidR="002247AE">
        <w:rPr>
          <w:rFonts w:ascii="Arial" w:hAnsi="Arial" w:cs="David" w:hint="cs"/>
          <w:rtl/>
        </w:rPr>
        <w:t>תיק הנכסים של המשק בחו"ל.</w:t>
      </w:r>
    </w:p>
    <w:p w:rsidR="00B90A51" w:rsidRPr="008964DB" w:rsidRDefault="00E95D04" w:rsidP="00940AD0">
      <w:pPr>
        <w:spacing w:after="240" w:line="360" w:lineRule="auto"/>
        <w:ind w:right="426"/>
        <w:jc w:val="both"/>
        <w:rPr>
          <w:rFonts w:ascii="Arial" w:hAnsi="Arial" w:cs="David"/>
          <w:highlight w:val="lightGray"/>
          <w:rtl/>
        </w:rPr>
      </w:pPr>
      <w:r w:rsidRPr="00907615">
        <w:rPr>
          <w:rStyle w:val="20"/>
          <w:rFonts w:hint="cs"/>
          <w:b/>
          <w:bCs/>
          <w:rtl/>
        </w:rPr>
        <w:t xml:space="preserve">שווי יתרת רזרבות </w:t>
      </w:r>
      <w:proofErr w:type="spellStart"/>
      <w:r w:rsidRPr="00907615">
        <w:rPr>
          <w:rStyle w:val="20"/>
          <w:rFonts w:hint="cs"/>
          <w:b/>
          <w:bCs/>
          <w:rtl/>
        </w:rPr>
        <w:t>המט"ח</w:t>
      </w:r>
      <w:proofErr w:type="spellEnd"/>
      <w:r>
        <w:rPr>
          <w:rFonts w:ascii="Arial" w:hAnsi="Arial" w:cs="David" w:hint="cs"/>
          <w:rtl/>
        </w:rPr>
        <w:t xml:space="preserve"> עלה במהלך הרביע </w:t>
      </w:r>
      <w:r w:rsidR="0046284A">
        <w:rPr>
          <w:rFonts w:ascii="Arial" w:hAnsi="Arial" w:cs="David" w:hint="cs"/>
          <w:rtl/>
        </w:rPr>
        <w:t>ה</w:t>
      </w:r>
      <w:r w:rsidR="00BB7ACD">
        <w:rPr>
          <w:rFonts w:ascii="Arial" w:hAnsi="Arial" w:cs="David" w:hint="cs"/>
          <w:rtl/>
        </w:rPr>
        <w:t>ר</w:t>
      </w:r>
      <w:r w:rsidR="00940AD0">
        <w:rPr>
          <w:rFonts w:ascii="Arial" w:hAnsi="Arial" w:cs="David" w:hint="cs"/>
          <w:rtl/>
        </w:rPr>
        <w:t>אשון</w:t>
      </w:r>
      <w:r>
        <w:rPr>
          <w:rFonts w:ascii="Arial" w:hAnsi="Arial" w:cs="David" w:hint="cs"/>
          <w:rtl/>
        </w:rPr>
        <w:t xml:space="preserve"> בהיקף של כ-</w:t>
      </w:r>
      <w:r w:rsidR="00940AD0">
        <w:rPr>
          <w:rFonts w:ascii="Arial" w:hAnsi="Arial" w:cs="David" w:hint="cs"/>
          <w:rtl/>
        </w:rPr>
        <w:t>3.1</w:t>
      </w:r>
      <w:r>
        <w:rPr>
          <w:rFonts w:ascii="Arial" w:hAnsi="Arial" w:cs="David" w:hint="cs"/>
          <w:rtl/>
        </w:rPr>
        <w:t xml:space="preserve"> מיליארדי דולרים (</w:t>
      </w:r>
      <w:r w:rsidR="00940AD0">
        <w:rPr>
          <w:rFonts w:ascii="Arial" w:hAnsi="Arial" w:cs="David" w:hint="cs"/>
          <w:rtl/>
        </w:rPr>
        <w:t>2</w:t>
      </w:r>
      <w:r w:rsidR="00BB7ACD">
        <w:rPr>
          <w:rFonts w:ascii="Arial" w:hAnsi="Arial" w:cs="David" w:hint="cs"/>
          <w:rtl/>
        </w:rPr>
        <w:t>.8</w:t>
      </w:r>
      <w:r>
        <w:rPr>
          <w:rFonts w:ascii="Arial" w:hAnsi="Arial" w:cs="David" w:hint="cs"/>
          <w:rtl/>
        </w:rPr>
        <w:t xml:space="preserve">%) ועמד בסוף </w:t>
      </w:r>
      <w:r w:rsidRPr="000E7D7C">
        <w:rPr>
          <w:rFonts w:ascii="Arial" w:hAnsi="Arial" w:cs="David" w:hint="cs"/>
          <w:rtl/>
        </w:rPr>
        <w:t>הרביע על 1</w:t>
      </w:r>
      <w:r w:rsidR="0046284A">
        <w:rPr>
          <w:rFonts w:ascii="Arial" w:hAnsi="Arial" w:cs="David" w:hint="cs"/>
          <w:rtl/>
        </w:rPr>
        <w:t>1</w:t>
      </w:r>
      <w:r w:rsidR="00940AD0">
        <w:rPr>
          <w:rFonts w:ascii="Arial" w:hAnsi="Arial" w:cs="David" w:hint="cs"/>
          <w:rtl/>
        </w:rPr>
        <w:t>6</w:t>
      </w:r>
      <w:r w:rsidRPr="000E7D7C">
        <w:rPr>
          <w:rFonts w:ascii="Arial" w:hAnsi="Arial" w:cs="David" w:hint="cs"/>
          <w:rtl/>
        </w:rPr>
        <w:t xml:space="preserve"> מיליארדים.</w:t>
      </w:r>
    </w:p>
    <w:p w:rsidR="00890447" w:rsidRPr="00890447" w:rsidRDefault="00890447" w:rsidP="00890447">
      <w:pPr>
        <w:pStyle w:val="1"/>
        <w:rPr>
          <w:rtl/>
        </w:rPr>
      </w:pPr>
      <w:r w:rsidRPr="00890447">
        <w:rPr>
          <w:rStyle w:val="12"/>
          <w:rFonts w:hint="cs"/>
          <w:b/>
          <w:bCs/>
          <w:u w:val="none"/>
          <w:rtl/>
        </w:rPr>
        <w:t>יתרת ההתחייבויו</w:t>
      </w:r>
      <w:r w:rsidRPr="00890447">
        <w:rPr>
          <w:rStyle w:val="12"/>
          <w:rFonts w:hint="eastAsia"/>
          <w:b/>
          <w:bCs/>
          <w:u w:val="none"/>
          <w:rtl/>
        </w:rPr>
        <w:t>ת</w:t>
      </w:r>
      <w:r w:rsidRPr="00890447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890447">
        <w:rPr>
          <w:rFonts w:hint="cs"/>
          <w:rtl/>
        </w:rPr>
        <w:t xml:space="preserve"> </w:t>
      </w:r>
    </w:p>
    <w:p w:rsidR="00890447" w:rsidRDefault="00890447" w:rsidP="006301E0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EE168A">
        <w:rPr>
          <w:rFonts w:ascii="Arial" w:hAnsi="Arial" w:cs="David" w:hint="cs"/>
          <w:rtl/>
        </w:rPr>
        <w:t>עלתה</w:t>
      </w:r>
      <w:r w:rsidRPr="000E79EF">
        <w:rPr>
          <w:rFonts w:ascii="Arial" w:hAnsi="Arial" w:cs="David" w:hint="cs"/>
          <w:rtl/>
        </w:rPr>
        <w:t xml:space="preserve"> במהלך </w:t>
      </w:r>
      <w:r>
        <w:rPr>
          <w:rFonts w:ascii="Arial" w:hAnsi="Arial" w:cs="David" w:hint="cs"/>
          <w:rtl/>
        </w:rPr>
        <w:t xml:space="preserve">הרביע </w:t>
      </w:r>
      <w:r w:rsidR="0046284A">
        <w:rPr>
          <w:rFonts w:ascii="Arial" w:hAnsi="Arial" w:cs="David" w:hint="cs"/>
          <w:rtl/>
        </w:rPr>
        <w:t>ה</w:t>
      </w:r>
      <w:r w:rsidR="00EE168A">
        <w:rPr>
          <w:rFonts w:ascii="Arial" w:hAnsi="Arial" w:cs="David" w:hint="cs"/>
          <w:rtl/>
        </w:rPr>
        <w:t>ר</w:t>
      </w:r>
      <w:r w:rsidR="006301E0">
        <w:rPr>
          <w:rFonts w:ascii="Arial" w:hAnsi="Arial" w:cs="David" w:hint="cs"/>
          <w:rtl/>
        </w:rPr>
        <w:t>אשון</w:t>
      </w:r>
      <w:r>
        <w:rPr>
          <w:rFonts w:ascii="Arial" w:hAnsi="Arial" w:cs="David" w:hint="cs"/>
          <w:rtl/>
        </w:rPr>
        <w:t xml:space="preserve"> ב-</w:t>
      </w:r>
      <w:r w:rsidR="006301E0">
        <w:rPr>
          <w:rFonts w:ascii="Arial" w:hAnsi="Arial" w:cs="David" w:hint="cs"/>
          <w:rtl/>
        </w:rPr>
        <w:t>4.7</w:t>
      </w:r>
      <w:r>
        <w:rPr>
          <w:rFonts w:ascii="Arial" w:hAnsi="Arial" w:cs="David" w:hint="cs"/>
          <w:rtl/>
        </w:rPr>
        <w:t xml:space="preserve"> מיליארדי דולרים (</w:t>
      </w:r>
      <w:r w:rsidR="006301E0">
        <w:rPr>
          <w:rFonts w:ascii="Arial" w:hAnsi="Arial" w:cs="David" w:hint="cs"/>
          <w:rtl/>
        </w:rPr>
        <w:t>1.6</w:t>
      </w:r>
      <w:r w:rsidR="00EE168A">
        <w:rPr>
          <w:rFonts w:ascii="Arial" w:hAnsi="Arial" w:cs="David" w:hint="cs"/>
          <w:rtl/>
        </w:rPr>
        <w:t>%</w:t>
      </w:r>
      <w:r>
        <w:rPr>
          <w:rFonts w:ascii="Arial" w:hAnsi="Arial" w:cs="David" w:hint="cs"/>
          <w:rtl/>
        </w:rPr>
        <w:t>) ו</w:t>
      </w:r>
      <w:r w:rsidRPr="00672893">
        <w:rPr>
          <w:rFonts w:ascii="Arial" w:hAnsi="Arial" w:cs="David" w:hint="cs"/>
          <w:rtl/>
        </w:rPr>
        <w:t>עמד</w:t>
      </w:r>
      <w:r>
        <w:rPr>
          <w:rFonts w:ascii="Arial" w:hAnsi="Arial" w:cs="David" w:hint="cs"/>
          <w:rtl/>
        </w:rPr>
        <w:t>ה</w:t>
      </w:r>
      <w:r w:rsidRPr="00672893">
        <w:rPr>
          <w:rFonts w:ascii="Arial" w:hAnsi="Arial" w:cs="David" w:hint="cs"/>
          <w:rtl/>
        </w:rPr>
        <w:t xml:space="preserve"> בסוף </w:t>
      </w:r>
      <w:r w:rsidR="006301E0">
        <w:rPr>
          <w:rFonts w:ascii="Arial" w:hAnsi="Arial" w:cs="David" w:hint="cs"/>
          <w:rtl/>
        </w:rPr>
        <w:t>מרץ</w:t>
      </w:r>
      <w:r w:rsidRPr="00672893">
        <w:rPr>
          <w:rFonts w:ascii="Arial" w:hAnsi="Arial" w:cs="David" w:hint="cs"/>
          <w:rtl/>
        </w:rPr>
        <w:t xml:space="preserve"> </w:t>
      </w:r>
      <w:r w:rsidRPr="00AF6E37">
        <w:rPr>
          <w:rFonts w:ascii="Arial" w:hAnsi="Arial" w:cs="David" w:hint="cs"/>
          <w:rtl/>
        </w:rPr>
        <w:t>על כ-</w:t>
      </w:r>
      <w:r>
        <w:rPr>
          <w:rFonts w:ascii="Arial" w:hAnsi="Arial" w:cs="David" w:hint="cs"/>
          <w:rtl/>
        </w:rPr>
        <w:t>2</w:t>
      </w:r>
      <w:r w:rsidR="00EE168A">
        <w:rPr>
          <w:rFonts w:ascii="Arial" w:hAnsi="Arial" w:cs="David" w:hint="cs"/>
          <w:rtl/>
        </w:rPr>
        <w:t>9</w:t>
      </w:r>
      <w:r w:rsidR="006301E0">
        <w:rPr>
          <w:rFonts w:ascii="Arial" w:hAnsi="Arial" w:cs="David" w:hint="cs"/>
          <w:rtl/>
        </w:rPr>
        <w:t>6</w:t>
      </w:r>
      <w:r w:rsidRPr="00AF6E37">
        <w:rPr>
          <w:rFonts w:ascii="Arial" w:hAnsi="Arial" w:cs="David" w:hint="cs"/>
          <w:rtl/>
        </w:rPr>
        <w:t xml:space="preserve"> מיליארדי</w:t>
      </w:r>
      <w:r>
        <w:rPr>
          <w:rFonts w:ascii="Arial" w:hAnsi="Arial" w:cs="David" w:hint="cs"/>
          <w:rtl/>
        </w:rPr>
        <w:t>ם.</w:t>
      </w:r>
    </w:p>
    <w:p w:rsidR="00890447" w:rsidRDefault="00890447" w:rsidP="006301E0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>
        <w:rPr>
          <w:rFonts w:ascii="Arial" w:hAnsi="Arial" w:cs="David" w:hint="cs"/>
          <w:rtl/>
        </w:rPr>
        <w:t xml:space="preserve">הרביע </w:t>
      </w:r>
      <w:r w:rsidR="0046284A">
        <w:rPr>
          <w:rFonts w:ascii="Arial" w:hAnsi="Arial" w:cs="David" w:hint="cs"/>
          <w:rtl/>
        </w:rPr>
        <w:t>ה</w:t>
      </w:r>
      <w:r w:rsidR="00AD61B2">
        <w:rPr>
          <w:rFonts w:ascii="Arial" w:hAnsi="Arial" w:cs="David" w:hint="cs"/>
          <w:rtl/>
        </w:rPr>
        <w:t>ר</w:t>
      </w:r>
      <w:r w:rsidR="006301E0">
        <w:rPr>
          <w:rFonts w:ascii="Arial" w:hAnsi="Arial" w:cs="David" w:hint="cs"/>
          <w:rtl/>
        </w:rPr>
        <w:t>אשון</w:t>
      </w:r>
      <w:r>
        <w:rPr>
          <w:rFonts w:ascii="Arial" w:hAnsi="Arial" w:cs="David" w:hint="cs"/>
          <w:rtl/>
        </w:rPr>
        <w:t xml:space="preserve"> </w:t>
      </w:r>
      <w:proofErr w:type="spellStart"/>
      <w:r w:rsidR="0046284A">
        <w:rPr>
          <w:rFonts w:ascii="Arial" w:hAnsi="Arial" w:cs="David" w:hint="cs"/>
          <w:rtl/>
        </w:rPr>
        <w:t>בכ</w:t>
      </w:r>
      <w:proofErr w:type="spellEnd"/>
      <w:r w:rsidR="0046284A">
        <w:rPr>
          <w:rFonts w:ascii="Arial" w:hAnsi="Arial" w:cs="David" w:hint="cs"/>
          <w:rtl/>
        </w:rPr>
        <w:t>-</w:t>
      </w:r>
      <w:r w:rsidRPr="00D846D0">
        <w:rPr>
          <w:rFonts w:ascii="Arial" w:hAnsi="Arial" w:cs="David" w:hint="cs"/>
          <w:rtl/>
        </w:rPr>
        <w:t xml:space="preserve"> </w:t>
      </w:r>
      <w:r w:rsidR="006301E0">
        <w:rPr>
          <w:rFonts w:ascii="Arial" w:hAnsi="Arial" w:cs="David" w:hint="cs"/>
          <w:rtl/>
        </w:rPr>
        <w:t>4</w:t>
      </w:r>
      <w:r>
        <w:rPr>
          <w:rFonts w:ascii="Arial" w:hAnsi="Arial" w:cs="David" w:hint="cs"/>
          <w:rtl/>
        </w:rPr>
        <w:t xml:space="preserve"> </w:t>
      </w:r>
      <w:r w:rsidRPr="00D846D0">
        <w:rPr>
          <w:rFonts w:ascii="Arial" w:hAnsi="Arial" w:cs="David" w:hint="cs"/>
          <w:rtl/>
        </w:rPr>
        <w:t>מיליארדי דולרים (</w:t>
      </w:r>
      <w:r w:rsidR="006301E0">
        <w:rPr>
          <w:rFonts w:ascii="Arial" w:hAnsi="Arial" w:cs="David" w:hint="cs"/>
          <w:rtl/>
        </w:rPr>
        <w:t>3.2</w:t>
      </w:r>
      <w:r>
        <w:rPr>
          <w:rFonts w:ascii="Arial" w:hAnsi="Arial" w:cs="David" w:hint="cs"/>
          <w:rtl/>
        </w:rPr>
        <w:t xml:space="preserve">%). העלייה נבעה </w:t>
      </w:r>
      <w:r w:rsidR="0046284A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 xml:space="preserve">השקעות ישירות נטו </w:t>
      </w:r>
      <w:r w:rsidR="0046284A">
        <w:rPr>
          <w:rFonts w:ascii="Arial" w:hAnsi="Arial" w:cs="David" w:hint="cs"/>
          <w:rtl/>
        </w:rPr>
        <w:t xml:space="preserve">של תושבי חוץ </w:t>
      </w:r>
      <w:r w:rsidR="006301E0">
        <w:rPr>
          <w:rFonts w:ascii="Arial" w:hAnsi="Arial" w:cs="David" w:hint="cs"/>
          <w:rtl/>
        </w:rPr>
        <w:t>בהון מניות ישראליות. כשליש מההשקעות</w:t>
      </w:r>
      <w:r w:rsidR="00404A30">
        <w:rPr>
          <w:rFonts w:ascii="Arial" w:hAnsi="Arial" w:cs="David" w:hint="cs"/>
          <w:rtl/>
        </w:rPr>
        <w:t xml:space="preserve"> הושקעו בהונה של חברה אחת בענף </w:t>
      </w:r>
      <w:r w:rsidR="006301E0">
        <w:rPr>
          <w:rFonts w:ascii="Arial" w:hAnsi="Arial" w:cs="David" w:hint="cs"/>
          <w:rtl/>
        </w:rPr>
        <w:t>התרופות</w:t>
      </w:r>
      <w:r w:rsidR="00404A30">
        <w:rPr>
          <w:rFonts w:ascii="Arial" w:hAnsi="Arial" w:cs="David" w:hint="cs"/>
          <w:rtl/>
        </w:rPr>
        <w:t xml:space="preserve">. </w:t>
      </w:r>
    </w:p>
    <w:p w:rsidR="00695D66" w:rsidRPr="00D846D0" w:rsidRDefault="00695D66" w:rsidP="008F51E7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הפיננסיות (מניות ואג"ח)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="00684B23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>
        <w:rPr>
          <w:rFonts w:ascii="Arial" w:hAnsi="Arial" w:cs="David" w:hint="cs"/>
          <w:rtl/>
        </w:rPr>
        <w:t xml:space="preserve">הרביע </w:t>
      </w:r>
      <w:r w:rsidR="0046284A">
        <w:rPr>
          <w:rFonts w:ascii="Arial" w:hAnsi="Arial" w:cs="David" w:hint="cs"/>
          <w:rtl/>
        </w:rPr>
        <w:t>ה</w:t>
      </w:r>
      <w:r w:rsidR="00AD61B2">
        <w:rPr>
          <w:rFonts w:ascii="Arial" w:hAnsi="Arial" w:cs="David" w:hint="cs"/>
          <w:rtl/>
        </w:rPr>
        <w:t>ר</w:t>
      </w:r>
      <w:r w:rsidR="00684B23">
        <w:rPr>
          <w:rFonts w:ascii="Arial" w:hAnsi="Arial" w:cs="David" w:hint="cs"/>
          <w:rtl/>
        </w:rPr>
        <w:t>אשון</w:t>
      </w:r>
      <w:r w:rsidRPr="00D846D0">
        <w:rPr>
          <w:rFonts w:ascii="Arial" w:hAnsi="Arial" w:cs="David" w:hint="cs"/>
          <w:rtl/>
        </w:rPr>
        <w:t xml:space="preserve"> בהיקף של כ-</w:t>
      </w:r>
      <w:r w:rsidR="00AD61B2">
        <w:rPr>
          <w:rFonts w:ascii="Arial" w:hAnsi="Arial" w:cs="David" w:hint="cs"/>
          <w:rtl/>
        </w:rPr>
        <w:t>0.</w:t>
      </w:r>
      <w:r w:rsidR="00684B23">
        <w:rPr>
          <w:rFonts w:ascii="Arial" w:hAnsi="Arial" w:cs="David" w:hint="cs"/>
          <w:rtl/>
        </w:rPr>
        <w:t>5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AD61B2">
        <w:rPr>
          <w:rFonts w:ascii="Arial" w:hAnsi="Arial" w:cs="David" w:hint="cs"/>
          <w:rtl/>
        </w:rPr>
        <w:t>0.</w:t>
      </w:r>
      <w:r w:rsidR="00684B23">
        <w:rPr>
          <w:rFonts w:ascii="Arial" w:hAnsi="Arial" w:cs="David" w:hint="cs"/>
          <w:rtl/>
        </w:rPr>
        <w:t>4</w:t>
      </w:r>
      <w:r w:rsidR="00AD61B2">
        <w:rPr>
          <w:rFonts w:ascii="Arial" w:hAnsi="Arial" w:cs="David" w:hint="cs"/>
          <w:rtl/>
        </w:rPr>
        <w:t>%</w:t>
      </w:r>
      <w:r>
        <w:rPr>
          <w:rFonts w:ascii="Arial" w:hAnsi="Arial" w:cs="David" w:hint="cs"/>
          <w:rtl/>
        </w:rPr>
        <w:t xml:space="preserve">): </w:t>
      </w:r>
      <w:r w:rsidR="00684B23">
        <w:rPr>
          <w:rFonts w:ascii="Arial" w:hAnsi="Arial" w:cs="David" w:hint="cs"/>
          <w:rtl/>
        </w:rPr>
        <w:t>השקעות נטו של תושבי חוץ במניות ו</w:t>
      </w:r>
      <w:r w:rsidR="00BB7B1F">
        <w:rPr>
          <w:rFonts w:ascii="Arial" w:hAnsi="Arial" w:cs="David" w:hint="cs"/>
          <w:rtl/>
        </w:rPr>
        <w:t xml:space="preserve">השקעות נטו </w:t>
      </w:r>
      <w:r w:rsidR="008F51E7">
        <w:rPr>
          <w:rFonts w:ascii="Arial" w:hAnsi="Arial" w:cs="David" w:hint="cs"/>
          <w:rtl/>
        </w:rPr>
        <w:t xml:space="preserve">באג"ח ישראליות, </w:t>
      </w:r>
      <w:r w:rsidR="00BB7B1F">
        <w:rPr>
          <w:rFonts w:ascii="Arial" w:hAnsi="Arial" w:cs="David" w:hint="cs"/>
          <w:rtl/>
        </w:rPr>
        <w:t>בעיקר באג"ח ממשלתיות</w:t>
      </w:r>
      <w:r w:rsidR="008F51E7">
        <w:rPr>
          <w:rFonts w:ascii="Arial" w:hAnsi="Arial" w:cs="David" w:hint="cs"/>
          <w:rtl/>
        </w:rPr>
        <w:t>,</w:t>
      </w:r>
      <w:r w:rsidR="00BB7B1F">
        <w:rPr>
          <w:rFonts w:ascii="Arial" w:hAnsi="Arial" w:cs="David" w:hint="cs"/>
          <w:rtl/>
        </w:rPr>
        <w:t xml:space="preserve"> כתוצאה מהנפק</w:t>
      </w:r>
      <w:r w:rsidR="008F51E7">
        <w:rPr>
          <w:rFonts w:ascii="Arial" w:hAnsi="Arial" w:cs="David" w:hint="cs"/>
          <w:rtl/>
        </w:rPr>
        <w:t>ה בחו"ל בהיקף של 2 מיליארדי דולרים</w:t>
      </w:r>
      <w:r w:rsidR="00BB7B1F">
        <w:rPr>
          <w:rFonts w:ascii="Arial" w:hAnsi="Arial" w:cs="David" w:hint="cs"/>
          <w:rtl/>
        </w:rPr>
        <w:t xml:space="preserve"> שהתרחשה בינואר 2018</w:t>
      </w:r>
      <w:r w:rsidR="008F51E7">
        <w:rPr>
          <w:rFonts w:ascii="Arial" w:hAnsi="Arial" w:cs="David" w:hint="cs"/>
          <w:rtl/>
        </w:rPr>
        <w:t xml:space="preserve">. השקעות אלו </w:t>
      </w:r>
      <w:r w:rsidR="00684B23">
        <w:rPr>
          <w:rFonts w:ascii="Arial" w:hAnsi="Arial" w:cs="David" w:hint="cs"/>
          <w:rtl/>
        </w:rPr>
        <w:t>קוזזו ויותר על ידי ירידה במחירי המניות הישראליות</w:t>
      </w:r>
      <w:r w:rsidR="0046284A">
        <w:rPr>
          <w:rFonts w:ascii="Arial" w:hAnsi="Arial" w:cs="David" w:hint="cs"/>
          <w:rtl/>
        </w:rPr>
        <w:t>.</w:t>
      </w:r>
      <w:r w:rsidR="00404A30">
        <w:rPr>
          <w:rFonts w:ascii="Arial" w:hAnsi="Arial" w:cs="David" w:hint="cs"/>
          <w:rtl/>
        </w:rPr>
        <w:t xml:space="preserve"> </w:t>
      </w:r>
    </w:p>
    <w:p w:rsidR="008964DB" w:rsidRDefault="00890447" w:rsidP="00684B23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 xml:space="preserve">שווי התיק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 w:rsidR="008807BA">
        <w:rPr>
          <w:rFonts w:ascii="Arial" w:hAnsi="Arial" w:cs="David" w:hint="cs"/>
          <w:b/>
          <w:bCs/>
          <w:rtl/>
        </w:rPr>
        <w:t>,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="008807BA" w:rsidRPr="008807BA">
        <w:rPr>
          <w:rFonts w:ascii="Arial" w:hAnsi="Arial" w:cs="David" w:hint="cs"/>
          <w:rtl/>
        </w:rPr>
        <w:t>המהווה חלק מיתרת ההשקעות הפיננסיות של תושבי חוץ</w:t>
      </w:r>
      <w:r w:rsidR="008807BA">
        <w:rPr>
          <w:rFonts w:ascii="Arial" w:hAnsi="Arial" w:cs="David" w:hint="cs"/>
          <w:b/>
          <w:bCs/>
          <w:rtl/>
        </w:rPr>
        <w:t xml:space="preserve"> </w:t>
      </w:r>
      <w:r w:rsidR="008807BA" w:rsidRPr="008807BA">
        <w:rPr>
          <w:rFonts w:ascii="Arial" w:hAnsi="Arial" w:cs="David" w:hint="cs"/>
          <w:rtl/>
        </w:rPr>
        <w:t>במשק</w:t>
      </w:r>
      <w:r w:rsidR="008807BA">
        <w:rPr>
          <w:rFonts w:ascii="Arial" w:hAnsi="Arial" w:cs="David" w:hint="cs"/>
          <w:rtl/>
        </w:rPr>
        <w:t>,</w:t>
      </w:r>
      <w:r w:rsidR="008807BA" w:rsidRPr="008807BA">
        <w:rPr>
          <w:rFonts w:ascii="Arial" w:hAnsi="Arial" w:cs="David" w:hint="cs"/>
          <w:rtl/>
        </w:rPr>
        <w:t xml:space="preserve"> </w:t>
      </w:r>
      <w:r w:rsidR="00684B23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rtl/>
        </w:rPr>
        <w:t xml:space="preserve"> ברביע </w:t>
      </w:r>
      <w:r w:rsidR="00F30148">
        <w:rPr>
          <w:rFonts w:ascii="Arial" w:hAnsi="Arial" w:cs="David" w:hint="cs"/>
          <w:rtl/>
        </w:rPr>
        <w:t>ה</w:t>
      </w:r>
      <w:r w:rsidR="007E57C6">
        <w:rPr>
          <w:rFonts w:ascii="Arial" w:hAnsi="Arial" w:cs="David" w:hint="cs"/>
          <w:rtl/>
        </w:rPr>
        <w:t>ר</w:t>
      </w:r>
      <w:r w:rsidR="00684B23">
        <w:rPr>
          <w:rFonts w:ascii="Arial" w:hAnsi="Arial" w:cs="David" w:hint="cs"/>
          <w:rtl/>
        </w:rPr>
        <w:t>אשון</w:t>
      </w:r>
      <w:r>
        <w:rPr>
          <w:rFonts w:ascii="Arial" w:hAnsi="Arial" w:cs="David" w:hint="cs"/>
          <w:rtl/>
        </w:rPr>
        <w:t xml:space="preserve"> בכ-</w:t>
      </w:r>
      <w:r w:rsidR="00684B23">
        <w:rPr>
          <w:rFonts w:ascii="Arial" w:hAnsi="Arial" w:cs="David" w:hint="cs"/>
          <w:rtl/>
        </w:rPr>
        <w:t>0.2 מיליארדי דולרים</w:t>
      </w:r>
      <w:r>
        <w:rPr>
          <w:rFonts w:ascii="Arial" w:hAnsi="Arial" w:cs="David" w:hint="cs"/>
          <w:rtl/>
        </w:rPr>
        <w:t xml:space="preserve"> ועמד בסוף </w:t>
      </w:r>
      <w:r w:rsidR="00684B23">
        <w:rPr>
          <w:rFonts w:ascii="Arial" w:hAnsi="Arial" w:cs="David" w:hint="cs"/>
          <w:rtl/>
        </w:rPr>
        <w:t>מרץ</w:t>
      </w:r>
      <w:r>
        <w:rPr>
          <w:rFonts w:ascii="Arial" w:hAnsi="Arial" w:cs="David" w:hint="cs"/>
          <w:rtl/>
        </w:rPr>
        <w:t xml:space="preserve"> על </w:t>
      </w:r>
      <w:r w:rsidR="007E57C6">
        <w:rPr>
          <w:rFonts w:ascii="Arial" w:hAnsi="Arial" w:cs="David" w:hint="cs"/>
          <w:rtl/>
        </w:rPr>
        <w:t>41</w:t>
      </w:r>
      <w:r>
        <w:rPr>
          <w:rFonts w:ascii="Arial" w:hAnsi="Arial" w:cs="David" w:hint="cs"/>
          <w:rtl/>
        </w:rPr>
        <w:t xml:space="preserve"> מיליארדים. עיקר </w:t>
      </w:r>
      <w:r w:rsidR="00684B23">
        <w:rPr>
          <w:rFonts w:ascii="Arial" w:hAnsi="Arial" w:cs="David" w:hint="cs"/>
          <w:rtl/>
        </w:rPr>
        <w:t>הירידה</w:t>
      </w:r>
      <w:r>
        <w:rPr>
          <w:rFonts w:ascii="Arial" w:hAnsi="Arial" w:cs="David" w:hint="cs"/>
          <w:rtl/>
        </w:rPr>
        <w:t xml:space="preserve"> בשווי התיק הפיננסי ברביע </w:t>
      </w:r>
      <w:r w:rsidR="00F30148">
        <w:rPr>
          <w:rFonts w:ascii="Arial" w:hAnsi="Arial" w:cs="David" w:hint="cs"/>
          <w:rtl/>
        </w:rPr>
        <w:t>ה</w:t>
      </w:r>
      <w:r w:rsidR="007E57C6">
        <w:rPr>
          <w:rFonts w:ascii="Arial" w:hAnsi="Arial" w:cs="David" w:hint="cs"/>
          <w:rtl/>
        </w:rPr>
        <w:t>ר</w:t>
      </w:r>
      <w:r w:rsidR="00684B23">
        <w:rPr>
          <w:rFonts w:ascii="Arial" w:hAnsi="Arial" w:cs="David" w:hint="cs"/>
          <w:rtl/>
        </w:rPr>
        <w:t>אשון</w:t>
      </w:r>
      <w:r>
        <w:rPr>
          <w:rFonts w:ascii="Arial" w:hAnsi="Arial" w:cs="David" w:hint="cs"/>
          <w:rtl/>
        </w:rPr>
        <w:t xml:space="preserve"> מקורה ב</w:t>
      </w:r>
      <w:r w:rsidR="00684B23">
        <w:rPr>
          <w:rFonts w:ascii="Arial" w:hAnsi="Arial" w:cs="David" w:hint="cs"/>
          <w:rtl/>
        </w:rPr>
        <w:t>ירידה</w:t>
      </w:r>
      <w:r>
        <w:rPr>
          <w:rFonts w:ascii="Arial" w:hAnsi="Arial" w:cs="David" w:hint="cs"/>
          <w:rtl/>
        </w:rPr>
        <w:t xml:space="preserve"> בשווי יתרת </w:t>
      </w:r>
      <w:r w:rsidR="007E57C6">
        <w:rPr>
          <w:rFonts w:ascii="Arial" w:hAnsi="Arial" w:cs="David" w:hint="cs"/>
          <w:rtl/>
        </w:rPr>
        <w:t>ההשקעות הפיננסיות ב</w:t>
      </w:r>
      <w:r w:rsidR="00684B23">
        <w:rPr>
          <w:rFonts w:ascii="Arial" w:hAnsi="Arial" w:cs="David" w:hint="cs"/>
          <w:rtl/>
        </w:rPr>
        <w:t>אג"ח וב</w:t>
      </w:r>
      <w:r w:rsidR="007E57C6">
        <w:rPr>
          <w:rFonts w:ascii="Arial" w:hAnsi="Arial" w:cs="David" w:hint="cs"/>
          <w:rtl/>
        </w:rPr>
        <w:t>מניות כתוצאה מ</w:t>
      </w:r>
      <w:r w:rsidR="00BB7B1F">
        <w:rPr>
          <w:rFonts w:ascii="Arial" w:hAnsi="Arial" w:cs="David" w:hint="cs"/>
          <w:rtl/>
        </w:rPr>
        <w:t>מימושים נטו באג"ח ומ</w:t>
      </w:r>
      <w:r w:rsidR="00684B23">
        <w:rPr>
          <w:rFonts w:ascii="Arial" w:hAnsi="Arial" w:cs="David" w:hint="cs"/>
          <w:rtl/>
        </w:rPr>
        <w:t>ירידה</w:t>
      </w:r>
      <w:r w:rsidR="007E57C6">
        <w:rPr>
          <w:rFonts w:ascii="Arial" w:hAnsi="Arial" w:cs="David" w:hint="cs"/>
          <w:rtl/>
        </w:rPr>
        <w:t xml:space="preserve"> במחירי המניות שמחזיקים תושבי חוץ</w:t>
      </w:r>
      <w:r>
        <w:rPr>
          <w:rFonts w:ascii="Arial" w:hAnsi="Arial" w:cs="David" w:hint="cs"/>
          <w:rtl/>
        </w:rPr>
        <w:t xml:space="preserve">. </w:t>
      </w:r>
      <w:r w:rsidRPr="003F3174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2</w:t>
      </w:r>
      <w:r w:rsidR="00F30148">
        <w:rPr>
          <w:rFonts w:ascii="Arial" w:hAnsi="Arial" w:cs="David" w:hint="cs"/>
          <w:rtl/>
        </w:rPr>
        <w:t xml:space="preserve"> ותרשים 3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</w:t>
      </w:r>
    </w:p>
    <w:tbl>
      <w:tblPr>
        <w:tblStyle w:val="af1"/>
        <w:bidiVisual/>
        <w:tblW w:w="11357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תרשים 2 + תרשים 3"/>
      </w:tblPr>
      <w:tblGrid>
        <w:gridCol w:w="5766"/>
        <w:gridCol w:w="5707"/>
      </w:tblGrid>
      <w:tr w:rsidR="008261FD" w:rsidTr="002B1F0F">
        <w:trPr>
          <w:trHeight w:val="3543"/>
          <w:tblHeader/>
        </w:trPr>
        <w:tc>
          <w:tcPr>
            <w:tcW w:w="5676" w:type="dxa"/>
          </w:tcPr>
          <w:p w:rsidR="008261FD" w:rsidRPr="00933151" w:rsidRDefault="008F51E7" w:rsidP="008261FD">
            <w:pPr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9C52182" wp14:editId="7AA350DD">
                  <wp:extent cx="3517738" cy="2473036"/>
                  <wp:effectExtent l="0" t="0" r="6985" b="3810"/>
                  <wp:docPr id="3" name="תמונה 3" descr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title="תרשים 2: שווי תיק ניירות הערך של תושבי חוץ בבורסה בתל אבי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280" cy="247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</w:tcPr>
          <w:p w:rsidR="008261FD" w:rsidRDefault="008F51E7" w:rsidP="00A165D5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666229EA" wp14:editId="5EEEEAF8">
                  <wp:extent cx="3486871" cy="2431473"/>
                  <wp:effectExtent l="0" t="0" r="0" b="6985"/>
                  <wp:docPr id="5" name="תמונה 5" descr="התרשים מתאר את השקעות תושבי חוץ בבורסה בתל אביב לאורך זמן, בחלוקה למכשירים. ניתן למצוא את התרשים בקובץ האקסל המצורף להודעה זו בגיליון &quot;תרשים3&quot;." title="תרשים 3: השקעות תושבי חוץ בבורסה בתל אביב, לפי מכשי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185" cy="2437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4DB" w:rsidRDefault="008964DB" w:rsidP="00C75881">
      <w:pPr>
        <w:spacing w:line="360" w:lineRule="auto"/>
        <w:jc w:val="both"/>
        <w:rPr>
          <w:rtl/>
        </w:rPr>
      </w:pPr>
    </w:p>
    <w:p w:rsidR="00695D66" w:rsidRDefault="00695D66" w:rsidP="008F51E7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ההשקעות האחרות במשק</w:t>
      </w:r>
      <w:r w:rsidRPr="00633A72">
        <w:rPr>
          <w:rFonts w:ascii="Arial" w:hAnsi="Arial" w:cs="David" w:hint="cs"/>
          <w:b/>
          <w:bCs/>
          <w:rtl/>
        </w:rPr>
        <w:t xml:space="preserve"> </w:t>
      </w:r>
      <w:r w:rsidR="008F51E7">
        <w:rPr>
          <w:rFonts w:ascii="Arial" w:hAnsi="Arial" w:cs="David" w:hint="cs"/>
          <w:rtl/>
        </w:rPr>
        <w:t>עלה</w:t>
      </w:r>
      <w:r w:rsidRPr="00633A72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במהלך הרביע </w:t>
      </w:r>
      <w:r w:rsidR="008F51E7">
        <w:rPr>
          <w:rFonts w:ascii="Arial" w:hAnsi="Arial" w:cs="David" w:hint="cs"/>
          <w:rtl/>
        </w:rPr>
        <w:t>הראשון</w:t>
      </w:r>
      <w:r w:rsidRPr="00633A72">
        <w:rPr>
          <w:rFonts w:ascii="Arial" w:hAnsi="Arial" w:cs="David" w:hint="cs"/>
          <w:rtl/>
        </w:rPr>
        <w:t xml:space="preserve"> בכ-</w:t>
      </w:r>
      <w:r w:rsidR="008F51E7">
        <w:rPr>
          <w:rFonts w:ascii="Arial" w:hAnsi="Arial" w:cs="David" w:hint="cs"/>
          <w:rtl/>
        </w:rPr>
        <w:t>1.1</w:t>
      </w:r>
      <w:r>
        <w:rPr>
          <w:rFonts w:ascii="Arial" w:hAnsi="Arial" w:cs="David" w:hint="cs"/>
          <w:rtl/>
        </w:rPr>
        <w:t xml:space="preserve"> </w:t>
      </w:r>
      <w:r w:rsidRPr="00633A72">
        <w:rPr>
          <w:rFonts w:ascii="Arial" w:hAnsi="Arial" w:cs="David" w:hint="cs"/>
          <w:rtl/>
        </w:rPr>
        <w:t>מיל</w:t>
      </w:r>
      <w:r>
        <w:rPr>
          <w:rFonts w:ascii="Arial" w:hAnsi="Arial" w:cs="David" w:hint="cs"/>
          <w:rtl/>
        </w:rPr>
        <w:t>יארדי</w:t>
      </w:r>
      <w:r w:rsidRPr="00633A72">
        <w:rPr>
          <w:rFonts w:ascii="Arial" w:hAnsi="Arial" w:cs="David" w:hint="cs"/>
          <w:rtl/>
        </w:rPr>
        <w:t xml:space="preserve"> דולרים (</w:t>
      </w:r>
      <w:r w:rsidR="008F51E7">
        <w:rPr>
          <w:rFonts w:ascii="Arial" w:hAnsi="Arial" w:cs="David" w:hint="cs"/>
          <w:rtl/>
        </w:rPr>
        <w:t>2.3</w:t>
      </w:r>
      <w:r>
        <w:rPr>
          <w:rFonts w:ascii="Arial" w:hAnsi="Arial" w:cs="David" w:hint="cs"/>
          <w:rtl/>
        </w:rPr>
        <w:t>%</w:t>
      </w:r>
      <w:r w:rsidRPr="00633A72">
        <w:rPr>
          <w:rFonts w:ascii="Arial" w:hAnsi="Arial" w:cs="David" w:hint="cs"/>
          <w:rtl/>
        </w:rPr>
        <w:t xml:space="preserve">): </w:t>
      </w:r>
      <w:r>
        <w:rPr>
          <w:rFonts w:ascii="Arial" w:hAnsi="Arial" w:cs="David" w:hint="cs"/>
          <w:rtl/>
        </w:rPr>
        <w:t xml:space="preserve">בעיקר </w:t>
      </w:r>
      <w:r w:rsidR="008A3008">
        <w:rPr>
          <w:rFonts w:ascii="Arial" w:hAnsi="Arial" w:cs="David" w:hint="cs"/>
          <w:rtl/>
        </w:rPr>
        <w:t>כתוצאה מ</w:t>
      </w:r>
      <w:r w:rsidR="008F51E7">
        <w:rPr>
          <w:rFonts w:ascii="Arial" w:hAnsi="Arial" w:cs="David" w:hint="cs"/>
          <w:rtl/>
        </w:rPr>
        <w:t>גידול באשראי הספקים</w:t>
      </w:r>
      <w:r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שקיבלו תושבי ישראל מתושבי חוץ</w:t>
      </w:r>
      <w:r w:rsidR="007E755F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בהיקף של כ-</w:t>
      </w:r>
      <w:r w:rsidR="008F51E7">
        <w:rPr>
          <w:rFonts w:ascii="Arial" w:hAnsi="Arial" w:cs="David" w:hint="cs"/>
          <w:rtl/>
        </w:rPr>
        <w:t>1.2</w:t>
      </w:r>
      <w:r>
        <w:rPr>
          <w:rFonts w:ascii="Arial" w:hAnsi="Arial" w:cs="David" w:hint="cs"/>
          <w:rtl/>
        </w:rPr>
        <w:t xml:space="preserve"> מיליארדים</w:t>
      </w:r>
      <w:r w:rsidR="008F51E7">
        <w:rPr>
          <w:rFonts w:ascii="Arial" w:hAnsi="Arial" w:cs="David" w:hint="cs"/>
          <w:rtl/>
        </w:rPr>
        <w:t>.</w:t>
      </w:r>
    </w:p>
    <w:p w:rsidR="00695D66" w:rsidRPr="003F3174" w:rsidRDefault="00695D66" w:rsidP="008F51E7">
      <w:pPr>
        <w:spacing w:line="360" w:lineRule="auto"/>
        <w:jc w:val="both"/>
        <w:rPr>
          <w:rFonts w:ascii="Arial" w:hAnsi="Arial" w:cs="David"/>
          <w:rtl/>
        </w:rPr>
      </w:pPr>
      <w:r w:rsidRPr="00695D66">
        <w:rPr>
          <w:rFonts w:ascii="Arial" w:hAnsi="Arial" w:cs="David" w:hint="cs"/>
          <w:b/>
          <w:bCs/>
          <w:rtl/>
        </w:rPr>
        <w:t>יתרת ההתחייבויות במכשירי חוב בלבד</w:t>
      </w:r>
      <w:r>
        <w:rPr>
          <w:rFonts w:ascii="Arial" w:hAnsi="Arial" w:cs="David" w:hint="cs"/>
          <w:rtl/>
        </w:rPr>
        <w:t xml:space="preserve"> המהווה את </w:t>
      </w: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>
        <w:rPr>
          <w:rFonts w:ascii="Arial" w:hAnsi="Arial" w:cs="David" w:hint="cs"/>
          <w:b/>
          <w:bCs/>
          <w:rtl/>
        </w:rPr>
        <w:t xml:space="preserve"> של המשק</w:t>
      </w:r>
      <w:r w:rsidRPr="003F3174"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עלת</w:t>
      </w:r>
      <w:bookmarkStart w:id="0" w:name="_GoBack"/>
      <w:bookmarkEnd w:id="0"/>
      <w:r w:rsidR="008F51E7">
        <w:rPr>
          <w:rFonts w:ascii="Arial" w:hAnsi="Arial" w:cs="David" w:hint="cs"/>
          <w:rtl/>
        </w:rPr>
        <w:t>ה</w:t>
      </w:r>
      <w:r>
        <w:rPr>
          <w:rFonts w:ascii="Arial" w:hAnsi="Arial" w:cs="David" w:hint="cs"/>
          <w:rtl/>
        </w:rPr>
        <w:t xml:space="preserve"> </w:t>
      </w:r>
      <w:r w:rsidRPr="00645BE1">
        <w:rPr>
          <w:rFonts w:ascii="Arial" w:hAnsi="Arial" w:cs="David" w:hint="cs"/>
          <w:rtl/>
        </w:rPr>
        <w:t xml:space="preserve">במהלך הרביע </w:t>
      </w:r>
      <w:r w:rsidR="008F51E7">
        <w:rPr>
          <w:rFonts w:ascii="Arial" w:hAnsi="Arial" w:cs="David" w:hint="cs"/>
          <w:rtl/>
        </w:rPr>
        <w:t>הראשון</w:t>
      </w:r>
      <w:r>
        <w:rPr>
          <w:rFonts w:ascii="Arial" w:hAnsi="Arial" w:cs="David" w:hint="cs"/>
          <w:b/>
          <w:bCs/>
          <w:rtl/>
        </w:rPr>
        <w:t xml:space="preserve"> </w:t>
      </w:r>
      <w:r w:rsidRPr="0094002E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>כ-</w:t>
      </w:r>
      <w:r w:rsidR="008F51E7">
        <w:rPr>
          <w:rFonts w:ascii="Arial" w:hAnsi="Arial" w:cs="David" w:hint="cs"/>
          <w:rtl/>
        </w:rPr>
        <w:t>2.6</w:t>
      </w:r>
      <w:r w:rsidRPr="009400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מיליארדי </w:t>
      </w:r>
      <w:r w:rsidRPr="0094002E">
        <w:rPr>
          <w:rFonts w:ascii="Arial" w:hAnsi="Arial" w:cs="David" w:hint="cs"/>
          <w:rtl/>
        </w:rPr>
        <w:t>דולרים</w:t>
      </w:r>
      <w:r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8F51E7">
        <w:rPr>
          <w:rFonts w:ascii="Arial" w:hAnsi="Arial" w:cs="David" w:hint="cs"/>
          <w:rtl/>
        </w:rPr>
        <w:t>2</w:t>
      </w:r>
      <w:r w:rsidR="00AE5180">
        <w:rPr>
          <w:rFonts w:ascii="Arial" w:hAnsi="Arial" w:cs="David" w:hint="cs"/>
          <w:rtl/>
        </w:rPr>
        <w:t>.9</w:t>
      </w:r>
      <w:r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והגיעה לרמה של כ-</w:t>
      </w:r>
      <w:r w:rsidR="008F51E7">
        <w:rPr>
          <w:rFonts w:ascii="Arial" w:hAnsi="Arial" w:cs="David" w:hint="cs"/>
          <w:rtl/>
        </w:rPr>
        <w:t>91</w:t>
      </w:r>
      <w:r>
        <w:rPr>
          <w:rFonts w:ascii="Arial" w:hAnsi="Arial" w:cs="David" w:hint="cs"/>
          <w:rtl/>
        </w:rPr>
        <w:t xml:space="preserve"> מיליארדים, בעיקר </w:t>
      </w:r>
      <w:r w:rsidR="00BE4078">
        <w:rPr>
          <w:rFonts w:ascii="Arial" w:hAnsi="Arial" w:cs="David" w:hint="cs"/>
          <w:rtl/>
        </w:rPr>
        <w:t xml:space="preserve">כתוצאה </w:t>
      </w:r>
      <w:r w:rsidR="00C75881">
        <w:rPr>
          <w:rFonts w:ascii="Arial" w:hAnsi="Arial" w:cs="David" w:hint="cs"/>
          <w:rtl/>
        </w:rPr>
        <w:t>מ</w:t>
      </w:r>
      <w:r w:rsidR="008F51E7">
        <w:rPr>
          <w:rFonts w:ascii="Arial" w:hAnsi="Arial" w:cs="David" w:hint="cs"/>
          <w:rtl/>
        </w:rPr>
        <w:t>גידול</w:t>
      </w:r>
      <w:r w:rsidR="00AE5180">
        <w:rPr>
          <w:rFonts w:ascii="Arial" w:hAnsi="Arial" w:cs="David" w:hint="cs"/>
          <w:rtl/>
        </w:rPr>
        <w:t xml:space="preserve"> </w:t>
      </w:r>
      <w:r w:rsidR="00C75881">
        <w:rPr>
          <w:rFonts w:ascii="Arial" w:hAnsi="Arial" w:cs="David" w:hint="cs"/>
          <w:rtl/>
        </w:rPr>
        <w:t xml:space="preserve">ביתרת </w:t>
      </w:r>
      <w:r w:rsidR="008F51E7">
        <w:rPr>
          <w:rFonts w:ascii="Arial" w:hAnsi="Arial" w:cs="David" w:hint="cs"/>
          <w:rtl/>
        </w:rPr>
        <w:t>אשראי</w:t>
      </w:r>
      <w:r w:rsidR="00C75881">
        <w:rPr>
          <w:rFonts w:ascii="Arial" w:hAnsi="Arial" w:cs="David" w:hint="cs"/>
          <w:rtl/>
        </w:rPr>
        <w:t xml:space="preserve"> ה</w:t>
      </w:r>
      <w:r w:rsidR="008F51E7">
        <w:rPr>
          <w:rFonts w:ascii="Arial" w:hAnsi="Arial" w:cs="David" w:hint="cs"/>
          <w:rtl/>
        </w:rPr>
        <w:t xml:space="preserve">ספקים וביתרת </w:t>
      </w:r>
      <w:proofErr w:type="spellStart"/>
      <w:r w:rsidR="008F51E7">
        <w:rPr>
          <w:rFonts w:ascii="Arial" w:hAnsi="Arial" w:cs="David" w:hint="cs"/>
          <w:rtl/>
        </w:rPr>
        <w:t>האג"</w:t>
      </w:r>
      <w:r w:rsidR="00C53DE0">
        <w:rPr>
          <w:rFonts w:ascii="Arial" w:hAnsi="Arial" w:cs="David" w:hint="cs"/>
          <w:rtl/>
        </w:rPr>
        <w:t>ח</w:t>
      </w:r>
      <w:proofErr w:type="spellEnd"/>
      <w:r w:rsidR="00C53DE0"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הישראליות שמחזיקים תושבי חוץ</w:t>
      </w:r>
      <w:r w:rsidR="00C75881">
        <w:rPr>
          <w:rFonts w:ascii="Arial" w:hAnsi="Arial" w:cs="David" w:hint="cs"/>
          <w:rtl/>
        </w:rPr>
        <w:t>.</w:t>
      </w:r>
    </w:p>
    <w:p w:rsidR="00695D66" w:rsidRDefault="00695D66" w:rsidP="000621A9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lastRenderedPageBreak/>
        <w:t xml:space="preserve">היחס שבין החוב החיצוני </w:t>
      </w:r>
      <w:r w:rsidR="00BE4078">
        <w:rPr>
          <w:rFonts w:ascii="Arial" w:hAnsi="Arial" w:cs="David" w:hint="cs"/>
          <w:b/>
          <w:bCs/>
          <w:rtl/>
        </w:rPr>
        <w:t xml:space="preserve">ברוטו </w:t>
      </w:r>
      <w:r w:rsidRPr="00172330">
        <w:rPr>
          <w:rFonts w:ascii="Arial" w:hAnsi="Arial" w:cs="David" w:hint="cs"/>
          <w:b/>
          <w:bCs/>
          <w:rtl/>
        </w:rPr>
        <w:t>לתמ"ג</w:t>
      </w:r>
      <w:r w:rsidRPr="00C30766"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rtl/>
        </w:rPr>
        <w:t xml:space="preserve"> במהלך</w:t>
      </w:r>
      <w:r w:rsidRPr="00C30766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הרביע </w:t>
      </w:r>
      <w:r w:rsidR="008F51E7">
        <w:rPr>
          <w:rFonts w:ascii="Arial" w:hAnsi="Arial" w:cs="David" w:hint="cs"/>
          <w:rtl/>
        </w:rPr>
        <w:t>הראשון</w:t>
      </w:r>
      <w:r w:rsidRPr="00C30766">
        <w:rPr>
          <w:rFonts w:ascii="Arial" w:hAnsi="Arial" w:cs="David" w:hint="cs"/>
          <w:rtl/>
        </w:rPr>
        <w:t xml:space="preserve"> </w:t>
      </w:r>
      <w:r w:rsidR="00F26A11">
        <w:rPr>
          <w:rFonts w:ascii="Arial" w:hAnsi="Arial" w:cs="David" w:hint="cs"/>
          <w:rtl/>
        </w:rPr>
        <w:t xml:space="preserve">ב-0.8 נקודות האחוז </w:t>
      </w:r>
      <w:r>
        <w:rPr>
          <w:rFonts w:ascii="Arial" w:hAnsi="Arial" w:cs="David" w:hint="cs"/>
          <w:rtl/>
        </w:rPr>
        <w:t xml:space="preserve">ועמד בסוף </w:t>
      </w:r>
      <w:r w:rsidR="000621A9">
        <w:rPr>
          <w:rFonts w:ascii="Arial" w:hAnsi="Arial" w:cs="David" w:hint="cs"/>
          <w:rtl/>
        </w:rPr>
        <w:t>מרץ</w:t>
      </w:r>
      <w:r w:rsidR="00AE5180">
        <w:rPr>
          <w:rFonts w:ascii="Arial" w:hAnsi="Arial" w:cs="David" w:hint="cs"/>
          <w:rtl/>
        </w:rPr>
        <w:t xml:space="preserve"> על 25</w:t>
      </w:r>
      <w:r w:rsidRPr="00C30766">
        <w:rPr>
          <w:rFonts w:ascii="Arial" w:hAnsi="Arial" w:cs="David" w:hint="cs"/>
          <w:rtl/>
        </w:rPr>
        <w:t>%</w:t>
      </w:r>
      <w:r w:rsidR="00F92B7D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העלייה</w:t>
      </w:r>
      <w:r w:rsidRPr="0070503C">
        <w:rPr>
          <w:rFonts w:ascii="Arial" w:hAnsi="Arial" w:cs="David" w:hint="cs"/>
          <w:rtl/>
        </w:rPr>
        <w:t xml:space="preserve"> ביחס החוב לתוצר </w:t>
      </w:r>
      <w:r w:rsidR="0076362E">
        <w:rPr>
          <w:rFonts w:ascii="Arial" w:hAnsi="Arial" w:cs="David" w:hint="cs"/>
          <w:rtl/>
        </w:rPr>
        <w:t>שיקפה</w:t>
      </w:r>
      <w:r w:rsidR="0076362E" w:rsidRPr="0070503C"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עלייה</w:t>
      </w:r>
      <w:r w:rsidR="007636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="00C75881">
        <w:rPr>
          <w:rFonts w:ascii="Arial" w:hAnsi="Arial" w:cs="David" w:hint="cs"/>
          <w:rtl/>
        </w:rPr>
        <w:t xml:space="preserve">יתרת החוב החיצוני ברוטו </w:t>
      </w:r>
      <w:r w:rsidR="00AE5180">
        <w:rPr>
          <w:rFonts w:ascii="Arial" w:hAnsi="Arial" w:cs="David" w:hint="cs"/>
          <w:rtl/>
        </w:rPr>
        <w:t>ב</w:t>
      </w:r>
      <w:r w:rsidR="008F51E7">
        <w:rPr>
          <w:rFonts w:ascii="Arial" w:hAnsi="Arial" w:cs="David" w:hint="cs"/>
          <w:rtl/>
        </w:rPr>
        <w:t>שיעור גבוה מה</w:t>
      </w:r>
      <w:r w:rsidR="00C75881">
        <w:rPr>
          <w:rFonts w:ascii="Arial" w:hAnsi="Arial" w:cs="David" w:hint="cs"/>
          <w:rtl/>
        </w:rPr>
        <w:t>עלייה בתוצר</w:t>
      </w:r>
      <w:r>
        <w:rPr>
          <w:rFonts w:ascii="Arial" w:hAnsi="Arial" w:cs="David" w:hint="cs"/>
          <w:rtl/>
        </w:rPr>
        <w:t>.</w:t>
      </w:r>
      <w:r w:rsidRPr="00AD79F3">
        <w:rPr>
          <w:rFonts w:ascii="Arial" w:hAnsi="Arial" w:cs="David" w:hint="cs"/>
          <w:rtl/>
        </w:rPr>
        <w:t xml:space="preserve"> </w:t>
      </w:r>
      <w:r w:rsidRPr="00C30766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4</w:t>
      </w:r>
      <w:r w:rsidRPr="00C30766">
        <w:rPr>
          <w:rFonts w:ascii="Arial" w:hAnsi="Arial" w:cs="David" w:hint="cs"/>
          <w:rtl/>
        </w:rPr>
        <w:t xml:space="preserve">). </w:t>
      </w:r>
      <w:r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tl/>
        </w:rPr>
      </w:pPr>
    </w:p>
    <w:p w:rsidR="00695D66" w:rsidRDefault="008F51E7" w:rsidP="0034171E">
      <w:pPr>
        <w:spacing w:after="240"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B6DF2FB">
            <wp:extent cx="4232564" cy="2582660"/>
            <wp:effectExtent l="0" t="0" r="0" b="8255"/>
            <wp:docPr id="6" name="תמונה 6" descr=" 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25" cy="258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922388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5E7A76">
        <w:rPr>
          <w:rFonts w:ascii="Arial" w:hAnsi="Arial" w:cs="David" w:hint="cs"/>
          <w:rtl/>
        </w:rPr>
        <w:t>עלה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922388">
        <w:rPr>
          <w:rFonts w:ascii="Arial" w:hAnsi="Arial" w:cs="David" w:hint="cs"/>
          <w:rtl/>
        </w:rPr>
        <w:t>הראשון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922388">
        <w:rPr>
          <w:rFonts w:ascii="Arial" w:hAnsi="Arial" w:cs="David" w:hint="cs"/>
          <w:rtl/>
        </w:rPr>
        <w:t>0.9</w:t>
      </w:r>
      <w:r w:rsidR="00ED0781">
        <w:rPr>
          <w:rFonts w:ascii="Arial" w:hAnsi="Arial" w:cs="David" w:hint="cs"/>
          <w:rtl/>
        </w:rPr>
        <w:t xml:space="preserve">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922388">
        <w:rPr>
          <w:rFonts w:ascii="Arial" w:hAnsi="Arial" w:cs="David" w:hint="cs"/>
          <w:rtl/>
        </w:rPr>
        <w:t>0.6</w:t>
      </w:r>
      <w:r w:rsidR="008708DF">
        <w:rPr>
          <w:rFonts w:ascii="Arial" w:hAnsi="Arial" w:cs="David" w:hint="cs"/>
          <w:rtl/>
        </w:rPr>
        <w:t>%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922388">
        <w:rPr>
          <w:rFonts w:ascii="Arial" w:hAnsi="Arial" w:cs="David" w:hint="cs"/>
          <w:rtl/>
        </w:rPr>
        <w:t>מרץ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98161E">
        <w:rPr>
          <w:rFonts w:ascii="Arial" w:hAnsi="Arial" w:cs="David" w:hint="cs"/>
          <w:rtl/>
        </w:rPr>
        <w:t>142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036848">
        <w:rPr>
          <w:rFonts w:ascii="Arial" w:hAnsi="Arial" w:cs="David" w:hint="cs"/>
          <w:rtl/>
        </w:rPr>
        <w:t xml:space="preserve"> </w:t>
      </w:r>
      <w:r w:rsidR="00036848" w:rsidRPr="003F3174">
        <w:rPr>
          <w:rFonts w:ascii="Arial" w:hAnsi="Arial" w:cs="David" w:hint="cs"/>
          <w:rtl/>
        </w:rPr>
        <w:t xml:space="preserve">(תרשים </w:t>
      </w:r>
      <w:r w:rsidR="00036848">
        <w:rPr>
          <w:rFonts w:ascii="Arial" w:hAnsi="Arial" w:cs="David" w:hint="cs"/>
          <w:rtl/>
        </w:rPr>
        <w:t>5)</w:t>
      </w:r>
      <w:r w:rsidR="007057B4" w:rsidRPr="003F3174">
        <w:rPr>
          <w:rFonts w:ascii="Arial" w:hAnsi="Arial" w:cs="David" w:hint="cs"/>
          <w:rtl/>
        </w:rPr>
        <w:t xml:space="preserve">. </w:t>
      </w:r>
    </w:p>
    <w:p w:rsidR="00A23889" w:rsidRDefault="00A23889" w:rsidP="00922388">
      <w:pPr>
        <w:spacing w:line="360" w:lineRule="auto"/>
        <w:ind w:right="426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עיקר הגידול בעודף </w:t>
      </w:r>
      <w:r w:rsidR="00922388">
        <w:rPr>
          <w:rFonts w:ascii="Arial" w:hAnsi="Arial" w:cs="David" w:hint="cs"/>
          <w:rtl/>
        </w:rPr>
        <w:t xml:space="preserve">הנכסים </w:t>
      </w:r>
      <w:r>
        <w:rPr>
          <w:rFonts w:ascii="Arial" w:hAnsi="Arial" w:cs="David" w:hint="cs"/>
          <w:rtl/>
        </w:rPr>
        <w:t xml:space="preserve">מקורו </w:t>
      </w:r>
      <w:r w:rsidR="0098161E">
        <w:rPr>
          <w:rFonts w:ascii="Arial" w:hAnsi="Arial" w:cs="David" w:hint="cs"/>
          <w:rtl/>
        </w:rPr>
        <w:t>ב</w:t>
      </w:r>
      <w:r w:rsidR="00922388">
        <w:rPr>
          <w:rFonts w:ascii="Arial" w:hAnsi="Arial" w:cs="David" w:hint="cs"/>
          <w:rtl/>
        </w:rPr>
        <w:t>ירידה</w:t>
      </w:r>
      <w:r w:rsidR="0098161E">
        <w:rPr>
          <w:rFonts w:ascii="Arial" w:hAnsi="Arial" w:cs="David" w:hint="cs"/>
          <w:rtl/>
        </w:rPr>
        <w:t xml:space="preserve"> </w:t>
      </w:r>
      <w:r w:rsidR="00036848">
        <w:rPr>
          <w:rFonts w:ascii="Arial" w:hAnsi="Arial" w:cs="David" w:hint="cs"/>
          <w:rtl/>
        </w:rPr>
        <w:t xml:space="preserve">במחירי המניות </w:t>
      </w:r>
      <w:r w:rsidR="00922388">
        <w:rPr>
          <w:rFonts w:ascii="Arial" w:hAnsi="Arial" w:cs="David" w:hint="cs"/>
          <w:rtl/>
        </w:rPr>
        <w:t>הישראליות</w:t>
      </w:r>
      <w:r w:rsidR="0098161E">
        <w:rPr>
          <w:rFonts w:ascii="Arial" w:hAnsi="Arial" w:cs="David" w:hint="cs"/>
          <w:rtl/>
        </w:rPr>
        <w:t xml:space="preserve"> שמחזיקים תושבי </w:t>
      </w:r>
      <w:r w:rsidR="00922388">
        <w:rPr>
          <w:rFonts w:ascii="Arial" w:hAnsi="Arial" w:cs="David" w:hint="cs"/>
          <w:rtl/>
        </w:rPr>
        <w:t>חוץ</w:t>
      </w:r>
      <w:r w:rsidR="00036848">
        <w:rPr>
          <w:rFonts w:ascii="Arial" w:hAnsi="Arial" w:cs="David" w:hint="cs"/>
          <w:rtl/>
        </w:rPr>
        <w:t xml:space="preserve"> אשר </w:t>
      </w:r>
      <w:r w:rsidR="00922388">
        <w:rPr>
          <w:rFonts w:ascii="Arial" w:hAnsi="Arial" w:cs="David" w:hint="cs"/>
          <w:rtl/>
        </w:rPr>
        <w:t>הקטינה</w:t>
      </w:r>
      <w:r w:rsidR="00036848">
        <w:rPr>
          <w:rFonts w:ascii="Arial" w:hAnsi="Arial" w:cs="David" w:hint="cs"/>
          <w:rtl/>
        </w:rPr>
        <w:t xml:space="preserve"> את </w:t>
      </w:r>
      <w:r w:rsidR="00922388">
        <w:rPr>
          <w:rFonts w:ascii="Arial" w:hAnsi="Arial" w:cs="David" w:hint="cs"/>
          <w:rtl/>
        </w:rPr>
        <w:t xml:space="preserve">יתרת ההתחייבויות. </w:t>
      </w:r>
    </w:p>
    <w:p w:rsidR="008964DB" w:rsidRPr="00036848" w:rsidRDefault="008964DB" w:rsidP="008964DB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B516A1" w:rsidRDefault="00922388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4D067CDB">
            <wp:extent cx="4461163" cy="2722149"/>
            <wp:effectExtent l="0" t="0" r="0" b="2540"/>
            <wp:docPr id="7" name="תמונה 7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5&quot;." title="תרשים 5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410" cy="27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4DB" w:rsidRPr="0034171E" w:rsidRDefault="008964DB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</w:p>
    <w:p w:rsidR="008964DB" w:rsidRPr="00FE10AB" w:rsidRDefault="008964DB" w:rsidP="008964DB">
      <w:pPr>
        <w:pStyle w:val="1"/>
        <w:rPr>
          <w:rtl/>
        </w:rPr>
      </w:pPr>
      <w:r w:rsidRPr="00FE10AB">
        <w:rPr>
          <w:rFonts w:hint="cs"/>
          <w:rtl/>
        </w:rPr>
        <w:t xml:space="preserve">החוב החיצוני נטו </w:t>
      </w:r>
    </w:p>
    <w:p w:rsidR="001F545C" w:rsidRPr="00690E6A" w:rsidRDefault="001F545C" w:rsidP="00922388">
      <w:pPr>
        <w:spacing w:line="360" w:lineRule="auto"/>
        <w:jc w:val="both"/>
        <w:rPr>
          <w:rFonts w:ascii="Arial" w:hAnsi="Arial" w:cs="David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922388">
        <w:rPr>
          <w:rFonts w:ascii="Arial" w:hAnsi="Arial" w:cs="David" w:hint="cs"/>
          <w:rtl/>
        </w:rPr>
        <w:t>לא השתנה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 xml:space="preserve">ברביע </w:t>
      </w:r>
      <w:r w:rsidR="0034171E">
        <w:rPr>
          <w:rFonts w:ascii="Arial" w:hAnsi="Arial" w:cs="David" w:hint="cs"/>
          <w:rtl/>
        </w:rPr>
        <w:t>ה</w:t>
      </w:r>
      <w:r w:rsidR="00681C9A">
        <w:rPr>
          <w:rFonts w:ascii="Arial" w:hAnsi="Arial" w:cs="David" w:hint="cs"/>
          <w:rtl/>
        </w:rPr>
        <w:t>ר</w:t>
      </w:r>
      <w:r w:rsidR="00922388">
        <w:rPr>
          <w:rFonts w:ascii="Arial" w:hAnsi="Arial" w:cs="David" w:hint="cs"/>
          <w:rtl/>
        </w:rPr>
        <w:t>אשון ועמד בסוף מרץ על</w:t>
      </w:r>
      <w:r w:rsidR="00EA0CA3">
        <w:rPr>
          <w:rFonts w:ascii="Arial" w:hAnsi="Arial" w:cs="David" w:hint="cs"/>
          <w:rtl/>
        </w:rPr>
        <w:t xml:space="preserve"> </w:t>
      </w:r>
      <w:r w:rsidR="00922388">
        <w:rPr>
          <w:rFonts w:ascii="Arial" w:hAnsi="Arial" w:cs="David" w:hint="cs"/>
          <w:rtl/>
        </w:rPr>
        <w:t>165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</w:t>
      </w:r>
      <w:r w:rsidR="00172E92" w:rsidRPr="00690E6A">
        <w:rPr>
          <w:rFonts w:ascii="Arial" w:hAnsi="Arial" w:cs="David" w:hint="cs"/>
          <w:rtl/>
        </w:rPr>
        <w:t xml:space="preserve">(תרשים </w:t>
      </w:r>
      <w:r w:rsidR="00212D62">
        <w:rPr>
          <w:rFonts w:ascii="Arial" w:hAnsi="Arial" w:cs="David" w:hint="cs"/>
          <w:rtl/>
        </w:rPr>
        <w:t>6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922388">
      <w:pPr>
        <w:spacing w:line="360" w:lineRule="auto"/>
        <w:jc w:val="both"/>
        <w:rPr>
          <w:rFonts w:ascii="Arial" w:hAnsi="Arial" w:cs="David"/>
          <w:rtl/>
        </w:rPr>
      </w:pPr>
      <w:r w:rsidRPr="00BD0A6B">
        <w:rPr>
          <w:rFonts w:ascii="Arial" w:hAnsi="Arial" w:cs="David" w:hint="cs"/>
          <w:b/>
          <w:bCs/>
          <w:rtl/>
        </w:rPr>
        <w:lastRenderedPageBreak/>
        <w:t>יתרת הנכסים במכשירי חוב לזמן קצר</w:t>
      </w:r>
      <w:r w:rsidR="00C27D8A">
        <w:rPr>
          <w:rFonts w:ascii="Arial" w:hAnsi="Arial" w:cs="David" w:hint="cs"/>
          <w:rtl/>
        </w:rPr>
        <w:t xml:space="preserve"> (פירעון/מימוש תוך שנה),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922388">
        <w:rPr>
          <w:rFonts w:ascii="Arial" w:hAnsi="Arial" w:cs="David" w:hint="cs"/>
          <w:rtl/>
        </w:rPr>
        <w:t>מרץ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34171E">
        <w:rPr>
          <w:rFonts w:ascii="Arial" w:hAnsi="Arial" w:cs="David" w:hint="cs"/>
          <w:rtl/>
        </w:rPr>
        <w:t>1</w:t>
      </w:r>
      <w:r w:rsidR="00922388">
        <w:rPr>
          <w:rFonts w:ascii="Arial" w:hAnsi="Arial" w:cs="David" w:hint="cs"/>
          <w:rtl/>
        </w:rPr>
        <w:t>70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E73CFA">
        <w:rPr>
          <w:rFonts w:ascii="Arial" w:hAnsi="Arial" w:cs="David" w:hint="cs"/>
          <w:rtl/>
        </w:rPr>
        <w:t xml:space="preserve"> בבנק ישראל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FD38AF">
        <w:rPr>
          <w:rFonts w:ascii="Arial" w:hAnsi="Arial" w:cs="David" w:hint="cs"/>
          <w:rtl/>
        </w:rPr>
        <w:t>4</w:t>
      </w:r>
      <w:r w:rsidR="0034171E">
        <w:rPr>
          <w:rFonts w:ascii="Arial" w:hAnsi="Arial" w:cs="David" w:hint="cs"/>
          <w:rtl/>
        </w:rPr>
        <w:t>.</w:t>
      </w:r>
      <w:r w:rsidR="00922388">
        <w:rPr>
          <w:rFonts w:ascii="Arial" w:hAnsi="Arial" w:cs="David" w:hint="cs"/>
          <w:rtl/>
        </w:rPr>
        <w:t>4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353187">
        <w:rPr>
          <w:rFonts w:ascii="Arial" w:hAnsi="Arial" w:cs="David" w:hint="cs"/>
          <w:rtl/>
        </w:rPr>
        <w:t>.</w:t>
      </w:r>
      <w:r w:rsidR="006E70F9" w:rsidRPr="00BD0A6B"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Fonts w:ascii="Arial" w:hAnsi="Arial" w:cs="David"/>
          <w:rtl/>
        </w:rPr>
      </w:pPr>
    </w:p>
    <w:p w:rsidR="00164CA6" w:rsidRDefault="00922388" w:rsidP="0034171E">
      <w:pPr>
        <w:spacing w:after="480"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31900E0E">
            <wp:extent cx="4904509" cy="2992673"/>
            <wp:effectExtent l="0" t="0" r="0" b="0"/>
            <wp:docPr id="8" name="תמונה 8" descr="התרשים מתאר את התפתחות החוב החיצוני השלילי של המשק, לאורך זמן. את התרשים ניתן למצוא בקובץ האקסל המצורף להודעה זו בגיליון &quot;תרשים6&quot;." title="תרשים 6: החוב החיצוני השלי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825" cy="299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2B1F0F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7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8"/>
      <w:footerReference w:type="default" r:id="rId19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16" w:rsidRDefault="001C1516">
      <w:r>
        <w:separator/>
      </w:r>
    </w:p>
  </w:endnote>
  <w:endnote w:type="continuationSeparator" w:id="0">
    <w:p w:rsidR="001C1516" w:rsidRDefault="001C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0150C4" w:rsidRDefault="00D45CC6" w:rsidP="00A004E7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8610A8">
      <w:rPr>
        <w:rFonts w:cs="David" w:hint="cs"/>
        <w:rtl/>
      </w:rPr>
      <w:t>ה</w:t>
    </w:r>
    <w:r w:rsidR="00C2327C">
      <w:rPr>
        <w:rFonts w:cs="David" w:hint="cs"/>
        <w:rtl/>
      </w:rPr>
      <w:t>ר</w:t>
    </w:r>
    <w:r w:rsidR="00A004E7">
      <w:rPr>
        <w:rFonts w:cs="David" w:hint="cs"/>
        <w:rtl/>
      </w:rPr>
      <w:t>אשון</w:t>
    </w:r>
    <w:r w:rsidRPr="00A105AE">
      <w:rPr>
        <w:rFonts w:cs="David" w:hint="cs"/>
        <w:rtl/>
      </w:rPr>
      <w:t xml:space="preserve"> של שנת </w:t>
    </w:r>
    <w:r w:rsidR="00C72855" w:rsidRPr="00A105AE">
      <w:rPr>
        <w:rFonts w:cs="David" w:hint="cs"/>
        <w:rtl/>
      </w:rPr>
      <w:t>20</w:t>
    </w:r>
    <w:r w:rsidR="00A004E7">
      <w:rPr>
        <w:rFonts w:cs="David" w:hint="cs"/>
        <w:rtl/>
      </w:rPr>
      <w:t>18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2B1F0F">
      <w:rPr>
        <w:rFonts w:cs="David"/>
        <w:b/>
        <w:bCs/>
        <w:noProof/>
        <w:rtl/>
      </w:rPr>
      <w:t>3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2B1F0F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16" w:rsidRDefault="001C1516">
      <w:r>
        <w:separator/>
      </w:r>
    </w:p>
  </w:footnote>
  <w:footnote w:type="continuationSeparator" w:id="0">
    <w:p w:rsidR="001C1516" w:rsidRDefault="001C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7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1FB7"/>
    <w:rsid w:val="00042106"/>
    <w:rsid w:val="0004432B"/>
    <w:rsid w:val="00044505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1A9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2ABB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41"/>
    <w:rsid w:val="000C3098"/>
    <w:rsid w:val="000C34DE"/>
    <w:rsid w:val="000C4143"/>
    <w:rsid w:val="000C4221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5045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DCA"/>
    <w:rsid w:val="001B1C19"/>
    <w:rsid w:val="001B3C77"/>
    <w:rsid w:val="001B5E81"/>
    <w:rsid w:val="001B60EB"/>
    <w:rsid w:val="001B65E4"/>
    <w:rsid w:val="001B6796"/>
    <w:rsid w:val="001B6CCF"/>
    <w:rsid w:val="001B6E49"/>
    <w:rsid w:val="001B763A"/>
    <w:rsid w:val="001C1516"/>
    <w:rsid w:val="001C18D8"/>
    <w:rsid w:val="001C282E"/>
    <w:rsid w:val="001C2DA6"/>
    <w:rsid w:val="001C4F8A"/>
    <w:rsid w:val="001C731D"/>
    <w:rsid w:val="001C7A6F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E6C92"/>
    <w:rsid w:val="001F0C06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5E6E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0F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EBF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171E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722A"/>
    <w:rsid w:val="003C00A0"/>
    <w:rsid w:val="003C0CDF"/>
    <w:rsid w:val="003C1113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42EC"/>
    <w:rsid w:val="003D4CAA"/>
    <w:rsid w:val="003D54FC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4A30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7A05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1CD9"/>
    <w:rsid w:val="00492221"/>
    <w:rsid w:val="00492477"/>
    <w:rsid w:val="0049277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014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087E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93"/>
    <w:rsid w:val="005353B3"/>
    <w:rsid w:val="00536DFD"/>
    <w:rsid w:val="00537605"/>
    <w:rsid w:val="0053772E"/>
    <w:rsid w:val="005413A0"/>
    <w:rsid w:val="00542A8B"/>
    <w:rsid w:val="00543858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6598D"/>
    <w:rsid w:val="00566FD6"/>
    <w:rsid w:val="0057281B"/>
    <w:rsid w:val="00572E61"/>
    <w:rsid w:val="00572E7B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EDC"/>
    <w:rsid w:val="005918F3"/>
    <w:rsid w:val="00592141"/>
    <w:rsid w:val="005921B0"/>
    <w:rsid w:val="00595077"/>
    <w:rsid w:val="0059552E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395"/>
    <w:rsid w:val="0062473C"/>
    <w:rsid w:val="00625A5B"/>
    <w:rsid w:val="006262EC"/>
    <w:rsid w:val="006264D5"/>
    <w:rsid w:val="0062686E"/>
    <w:rsid w:val="006301E0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64C"/>
    <w:rsid w:val="006527F9"/>
    <w:rsid w:val="00653878"/>
    <w:rsid w:val="00654804"/>
    <w:rsid w:val="00655559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1C9A"/>
    <w:rsid w:val="00683371"/>
    <w:rsid w:val="00683FF7"/>
    <w:rsid w:val="00684B23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5D66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B7B5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55A9"/>
    <w:rsid w:val="006E62AF"/>
    <w:rsid w:val="006E6ABF"/>
    <w:rsid w:val="006E70F9"/>
    <w:rsid w:val="006E7885"/>
    <w:rsid w:val="006F0211"/>
    <w:rsid w:val="006F046D"/>
    <w:rsid w:val="006F1437"/>
    <w:rsid w:val="006F1E66"/>
    <w:rsid w:val="006F234A"/>
    <w:rsid w:val="006F280F"/>
    <w:rsid w:val="006F2A0F"/>
    <w:rsid w:val="006F3332"/>
    <w:rsid w:val="006F38F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1A1C"/>
    <w:rsid w:val="007E2533"/>
    <w:rsid w:val="007E2737"/>
    <w:rsid w:val="007E3168"/>
    <w:rsid w:val="007E4158"/>
    <w:rsid w:val="007E4451"/>
    <w:rsid w:val="007E457E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B15"/>
    <w:rsid w:val="00832BAD"/>
    <w:rsid w:val="008341F5"/>
    <w:rsid w:val="00834251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3B22"/>
    <w:rsid w:val="00853E21"/>
    <w:rsid w:val="00854096"/>
    <w:rsid w:val="00856481"/>
    <w:rsid w:val="008565B0"/>
    <w:rsid w:val="008571E3"/>
    <w:rsid w:val="00857BD6"/>
    <w:rsid w:val="00857D91"/>
    <w:rsid w:val="008610A8"/>
    <w:rsid w:val="00861C59"/>
    <w:rsid w:val="00861E02"/>
    <w:rsid w:val="00862A15"/>
    <w:rsid w:val="008637F8"/>
    <w:rsid w:val="00864EA9"/>
    <w:rsid w:val="00864F15"/>
    <w:rsid w:val="00865562"/>
    <w:rsid w:val="008677EF"/>
    <w:rsid w:val="00867E70"/>
    <w:rsid w:val="0087007C"/>
    <w:rsid w:val="008708DF"/>
    <w:rsid w:val="00870DB4"/>
    <w:rsid w:val="00871B0D"/>
    <w:rsid w:val="0087208C"/>
    <w:rsid w:val="0087334E"/>
    <w:rsid w:val="00873827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44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7883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1B3A"/>
    <w:rsid w:val="00922388"/>
    <w:rsid w:val="00922702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151"/>
    <w:rsid w:val="0093344B"/>
    <w:rsid w:val="009342A6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3F76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61E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55BF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1D3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D52"/>
    <w:rsid w:val="00A26E38"/>
    <w:rsid w:val="00A30B5D"/>
    <w:rsid w:val="00A30C05"/>
    <w:rsid w:val="00A313A0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1F61"/>
    <w:rsid w:val="00A4221A"/>
    <w:rsid w:val="00A426EC"/>
    <w:rsid w:val="00A4283A"/>
    <w:rsid w:val="00A43387"/>
    <w:rsid w:val="00A43A32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969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C0D"/>
    <w:rsid w:val="00AD1E60"/>
    <w:rsid w:val="00AD2397"/>
    <w:rsid w:val="00AD2C76"/>
    <w:rsid w:val="00AD2FE4"/>
    <w:rsid w:val="00AD4C5B"/>
    <w:rsid w:val="00AD56CC"/>
    <w:rsid w:val="00AD5FCC"/>
    <w:rsid w:val="00AD61B2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887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47A7A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6657"/>
    <w:rsid w:val="00BB7169"/>
    <w:rsid w:val="00BB7ACD"/>
    <w:rsid w:val="00BB7B1F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920"/>
    <w:rsid w:val="00C534F9"/>
    <w:rsid w:val="00C53A37"/>
    <w:rsid w:val="00C53C33"/>
    <w:rsid w:val="00C53DE0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44A5"/>
    <w:rsid w:val="00CA54B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C0410"/>
    <w:rsid w:val="00CC0765"/>
    <w:rsid w:val="00CC089B"/>
    <w:rsid w:val="00CC0B70"/>
    <w:rsid w:val="00CC1B0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138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61C2"/>
    <w:rsid w:val="00D665D6"/>
    <w:rsid w:val="00D671D0"/>
    <w:rsid w:val="00D70743"/>
    <w:rsid w:val="00D70E5B"/>
    <w:rsid w:val="00D71C55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A67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4C4E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40D9"/>
    <w:rsid w:val="00E461C6"/>
    <w:rsid w:val="00E465F4"/>
    <w:rsid w:val="00E46FD8"/>
    <w:rsid w:val="00E47276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70"/>
    <w:rsid w:val="00E91B53"/>
    <w:rsid w:val="00E91CAF"/>
    <w:rsid w:val="00E91D66"/>
    <w:rsid w:val="00E93F6D"/>
    <w:rsid w:val="00E946BC"/>
    <w:rsid w:val="00E9538C"/>
    <w:rsid w:val="00E95830"/>
    <w:rsid w:val="00E95A20"/>
    <w:rsid w:val="00E95D04"/>
    <w:rsid w:val="00EA094B"/>
    <w:rsid w:val="00EA0CA3"/>
    <w:rsid w:val="00EA129E"/>
    <w:rsid w:val="00EA148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4062"/>
    <w:rsid w:val="00EC43B9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68A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5E8"/>
    <w:rsid w:val="00F14803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481C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B89"/>
    <w:rsid w:val="00F3344C"/>
    <w:rsid w:val="00F35045"/>
    <w:rsid w:val="00F354FF"/>
    <w:rsid w:val="00F35736"/>
    <w:rsid w:val="00F358B1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2F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2B7D"/>
    <w:rsid w:val="00F93CFB"/>
    <w:rsid w:val="00F946D9"/>
    <w:rsid w:val="00F94DA7"/>
    <w:rsid w:val="00F9624C"/>
    <w:rsid w:val="00F965A6"/>
    <w:rsid w:val="00F968C5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31D8"/>
    <w:rsid w:val="00FF3A00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.boi.org.il/he/DataAndStatistics/Pages/MainPage.aspx?Level=2&amp;Sid=27&amp;SubjectType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2F298C-11A0-4D5F-8BE0-AA9726FEF660}"/>
</file>

<file path=customXml/itemProps2.xml><?xml version="1.0" encoding="utf-8"?>
<ds:datastoreItem xmlns:ds="http://schemas.openxmlformats.org/officeDocument/2006/customXml" ds:itemID="{CA9FAA58-4C6E-4BEB-B0B9-99B1C092E2FE}"/>
</file>

<file path=customXml/itemProps3.xml><?xml version="1.0" encoding="utf-8"?>
<ds:datastoreItem xmlns:ds="http://schemas.openxmlformats.org/officeDocument/2006/customXml" ds:itemID="{1D539D34-D50B-423B-A8C6-C04311A69651}"/>
</file>

<file path=customXml/itemProps4.xml><?xml version="1.0" encoding="utf-8"?>
<ds:datastoreItem xmlns:ds="http://schemas.openxmlformats.org/officeDocument/2006/customXml" ds:itemID="{EB44D632-1DAE-48B8-A7EC-2C9A1D0D7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4996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2018-06-24T08:51:00Z</dcterms:created>
  <dcterms:modified xsi:type="dcterms:W3CDTF">2018-06-26T11:30:00Z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