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C0050" w:rsidRPr="00DB1CBC" w:rsidTr="00483897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050" w:rsidRDefault="003C0050" w:rsidP="003C0050">
            <w:pPr>
              <w:spacing w:after="0"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3C0050" w:rsidRDefault="003C0050" w:rsidP="003C0050">
            <w:pPr>
              <w:spacing w:after="0"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3C0050" w:rsidRDefault="003C0050" w:rsidP="003C005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554CE14" wp14:editId="11729B8D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050" w:rsidRDefault="003C0050" w:rsidP="00C030E4">
            <w:pPr>
              <w:spacing w:after="0"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C030E4">
              <w:rPr>
                <w:rFonts w:cs="David" w:hint="cs"/>
                <w:sz w:val="24"/>
                <w:szCs w:val="24"/>
                <w:rtl/>
              </w:rPr>
              <w:t>כ"א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באלול</w:t>
            </w:r>
            <w:r>
              <w:rPr>
                <w:rFonts w:cs="David"/>
                <w:sz w:val="24"/>
                <w:szCs w:val="24"/>
                <w:rtl/>
              </w:rPr>
              <w:t>, תשע"ג</w:t>
            </w:r>
          </w:p>
          <w:p w:rsidR="003C0050" w:rsidRPr="00DF107C" w:rsidRDefault="003C0050" w:rsidP="00C030E4">
            <w:pPr>
              <w:bidi w:val="0"/>
              <w:spacing w:after="0"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030E4">
              <w:rPr>
                <w:rFonts w:cs="David" w:hint="cs"/>
                <w:sz w:val="24"/>
                <w:szCs w:val="24"/>
                <w:rtl/>
              </w:rPr>
              <w:t>27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באוגוסט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3C0050" w:rsidRDefault="003C0050" w:rsidP="003C0050">
      <w:pPr>
        <w:spacing w:after="0"/>
        <w:rPr>
          <w:rtl/>
        </w:rPr>
      </w:pPr>
    </w:p>
    <w:p w:rsidR="003C0050" w:rsidRDefault="003C0050" w:rsidP="003C0050">
      <w:pPr>
        <w:spacing w:after="0"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C0050" w:rsidRDefault="003C0050" w:rsidP="003C0050">
      <w:pPr>
        <w:spacing w:after="0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6312A4" w:rsidRDefault="00D205C1" w:rsidP="003C0050">
      <w:pPr>
        <w:spacing w:after="0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מחקר: ענפי טכנולוגיית המידע - </w:t>
      </w:r>
      <w:r w:rsidR="006312A4" w:rsidRPr="00D205C1">
        <w:rPr>
          <w:rFonts w:cs="David" w:hint="cs"/>
          <w:b/>
          <w:bCs/>
          <w:sz w:val="24"/>
          <w:szCs w:val="24"/>
          <w:u w:val="single"/>
          <w:rtl/>
        </w:rPr>
        <w:t>עובדים שכר והתמודדות עם זעזועים</w:t>
      </w:r>
    </w:p>
    <w:p w:rsidR="003C0050" w:rsidRPr="00D205C1" w:rsidRDefault="003C0050" w:rsidP="003C0050">
      <w:pPr>
        <w:spacing w:after="0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E9657F" w:rsidRDefault="00E9657F" w:rsidP="00722A28">
      <w:pPr>
        <w:pStyle w:val="a5"/>
        <w:numPr>
          <w:ilvl w:val="0"/>
          <w:numId w:val="2"/>
        </w:numPr>
        <w:spacing w:after="0" w:line="360" w:lineRule="auto"/>
        <w:ind w:left="509" w:hanging="425"/>
        <w:jc w:val="both"/>
        <w:rPr>
          <w:rFonts w:cs="David"/>
          <w:sz w:val="24"/>
          <w:szCs w:val="24"/>
        </w:rPr>
      </w:pPr>
      <w:r w:rsidRPr="00D205C1">
        <w:rPr>
          <w:rFonts w:cs="David" w:hint="cs"/>
          <w:sz w:val="24"/>
          <w:szCs w:val="24"/>
          <w:rtl/>
        </w:rPr>
        <w:t>ההון האנושי של המועסקים בענפי טכנולוגיית המידע הוא ייחו</w:t>
      </w:r>
      <w:r w:rsidR="00743065">
        <w:rPr>
          <w:rFonts w:cs="David" w:hint="cs"/>
          <w:sz w:val="24"/>
          <w:szCs w:val="24"/>
          <w:rtl/>
        </w:rPr>
        <w:t xml:space="preserve">די, ומאז 1995 ייחודיותו התעצמה. </w:t>
      </w:r>
      <w:r w:rsidR="000A7078" w:rsidRPr="00D205C1">
        <w:rPr>
          <w:rFonts w:cs="David" w:hint="cs"/>
          <w:sz w:val="24"/>
          <w:szCs w:val="24"/>
          <w:rtl/>
        </w:rPr>
        <w:t xml:space="preserve">בשנת 2011 הועסקו </w:t>
      </w:r>
      <w:r w:rsidRPr="00D205C1">
        <w:rPr>
          <w:rFonts w:cs="David" w:hint="cs"/>
          <w:sz w:val="24"/>
          <w:szCs w:val="24"/>
          <w:rtl/>
        </w:rPr>
        <w:t xml:space="preserve">כשני שלישים </w:t>
      </w:r>
      <w:bookmarkStart w:id="0" w:name="_GoBack"/>
      <w:bookmarkEnd w:id="0"/>
      <w:r w:rsidR="00A03E0B" w:rsidRPr="00D205C1">
        <w:rPr>
          <w:rFonts w:cs="David" w:hint="cs"/>
          <w:sz w:val="24"/>
          <w:szCs w:val="24"/>
          <w:rtl/>
        </w:rPr>
        <w:t>מבעלי משלח-י</w:t>
      </w:r>
      <w:r w:rsidRPr="00D205C1">
        <w:rPr>
          <w:rFonts w:cs="David" w:hint="cs"/>
          <w:sz w:val="24"/>
          <w:szCs w:val="24"/>
          <w:rtl/>
        </w:rPr>
        <w:t>ד אקדמי במדעי המחשב, מהנדסי מחשבים, מהנדסי חשמל ואלקטרוניקה, והנדסאי מחשב ומתכנתים</w:t>
      </w:r>
      <w:r w:rsidR="00A03E0B" w:rsidRPr="00D205C1">
        <w:rPr>
          <w:rFonts w:cs="David" w:hint="cs"/>
          <w:sz w:val="24"/>
          <w:szCs w:val="24"/>
          <w:rtl/>
        </w:rPr>
        <w:t xml:space="preserve"> </w:t>
      </w:r>
      <w:r w:rsidR="000A7078" w:rsidRPr="00D205C1">
        <w:rPr>
          <w:rFonts w:cs="David" w:hint="cs"/>
          <w:sz w:val="24"/>
          <w:szCs w:val="24"/>
          <w:rtl/>
        </w:rPr>
        <w:t>במשק</w:t>
      </w:r>
      <w:r w:rsidR="009B39BA" w:rsidRPr="00D205C1">
        <w:rPr>
          <w:rFonts w:cs="David" w:hint="cs"/>
          <w:sz w:val="24"/>
          <w:szCs w:val="24"/>
          <w:rtl/>
        </w:rPr>
        <w:t xml:space="preserve"> </w:t>
      </w:r>
      <w:r w:rsidR="00A03E0B" w:rsidRPr="00D205C1">
        <w:rPr>
          <w:rFonts w:cs="David" w:hint="cs"/>
          <w:sz w:val="24"/>
          <w:szCs w:val="24"/>
          <w:rtl/>
        </w:rPr>
        <w:t>בענפי טכנולוגיית המידע ורק כשליש מהם הועסקו בשאר ענפי המשק</w:t>
      </w:r>
      <w:r w:rsidRPr="00D205C1">
        <w:rPr>
          <w:rFonts w:cs="David" w:hint="cs"/>
          <w:sz w:val="24"/>
          <w:szCs w:val="24"/>
          <w:rtl/>
        </w:rPr>
        <w:t xml:space="preserve">. </w:t>
      </w:r>
    </w:p>
    <w:p w:rsidR="003C0050" w:rsidRPr="003C0050" w:rsidRDefault="003C0050" w:rsidP="00722A28">
      <w:pPr>
        <w:spacing w:after="0" w:line="360" w:lineRule="auto"/>
        <w:ind w:left="84"/>
        <w:jc w:val="both"/>
        <w:rPr>
          <w:rFonts w:cs="David"/>
          <w:sz w:val="24"/>
          <w:szCs w:val="24"/>
        </w:rPr>
      </w:pPr>
    </w:p>
    <w:p w:rsidR="00A03E0B" w:rsidRDefault="000A7078" w:rsidP="00722A28">
      <w:pPr>
        <w:pStyle w:val="a5"/>
        <w:numPr>
          <w:ilvl w:val="0"/>
          <w:numId w:val="2"/>
        </w:numPr>
        <w:spacing w:after="0" w:line="360" w:lineRule="auto"/>
        <w:ind w:left="509" w:hanging="425"/>
        <w:jc w:val="both"/>
        <w:rPr>
          <w:rFonts w:cs="David"/>
          <w:sz w:val="24"/>
          <w:szCs w:val="24"/>
        </w:rPr>
      </w:pPr>
      <w:r w:rsidRPr="00D205C1">
        <w:rPr>
          <w:rFonts w:cs="David" w:hint="cs"/>
          <w:sz w:val="24"/>
          <w:szCs w:val="24"/>
          <w:rtl/>
        </w:rPr>
        <w:t xml:space="preserve">בשל </w:t>
      </w:r>
      <w:r w:rsidR="00D205C1" w:rsidRPr="00D205C1">
        <w:rPr>
          <w:rFonts w:cs="David" w:hint="cs"/>
          <w:sz w:val="24"/>
          <w:szCs w:val="24"/>
          <w:rtl/>
        </w:rPr>
        <w:t>ייחודיות</w:t>
      </w:r>
      <w:r w:rsidRPr="00D205C1">
        <w:rPr>
          <w:rFonts w:cs="David" w:hint="cs"/>
          <w:sz w:val="24"/>
          <w:szCs w:val="24"/>
          <w:rtl/>
        </w:rPr>
        <w:t xml:space="preserve"> ההון האנושי</w:t>
      </w:r>
      <w:r w:rsidR="00A03E0B" w:rsidRPr="00D205C1">
        <w:rPr>
          <w:rFonts w:cs="David" w:hint="cs"/>
          <w:sz w:val="24"/>
          <w:szCs w:val="24"/>
          <w:rtl/>
        </w:rPr>
        <w:t xml:space="preserve">, גידול </w:t>
      </w:r>
      <w:r w:rsidRPr="00D205C1">
        <w:rPr>
          <w:rFonts w:cs="David" w:hint="cs"/>
          <w:sz w:val="24"/>
          <w:szCs w:val="24"/>
          <w:rtl/>
        </w:rPr>
        <w:t>בתעסוקה</w:t>
      </w:r>
      <w:r w:rsidR="00A03E0B" w:rsidRPr="00D205C1">
        <w:rPr>
          <w:rFonts w:cs="David" w:hint="cs"/>
          <w:sz w:val="24"/>
          <w:szCs w:val="24"/>
          <w:rtl/>
        </w:rPr>
        <w:t xml:space="preserve"> בענפי טכנולוגיית המידע מבוסס בעיקר על </w:t>
      </w:r>
      <w:r w:rsidRPr="00D205C1">
        <w:rPr>
          <w:rFonts w:cs="David" w:hint="cs"/>
          <w:sz w:val="24"/>
          <w:szCs w:val="24"/>
          <w:rtl/>
        </w:rPr>
        <w:t>קליטת</w:t>
      </w:r>
      <w:r w:rsidR="00A03E0B" w:rsidRPr="00D205C1">
        <w:rPr>
          <w:rFonts w:cs="David" w:hint="cs"/>
          <w:sz w:val="24"/>
          <w:szCs w:val="24"/>
          <w:rtl/>
        </w:rPr>
        <w:t xml:space="preserve"> עובדים צעירים</w:t>
      </w:r>
      <w:r w:rsidR="00357FBE" w:rsidRPr="00D205C1">
        <w:rPr>
          <w:rFonts w:cs="David" w:hint="cs"/>
          <w:sz w:val="24"/>
          <w:szCs w:val="24"/>
          <w:rtl/>
        </w:rPr>
        <w:t xml:space="preserve"> מסיימי תואר ראשון בהנדסה או במחשבים</w:t>
      </w:r>
      <w:r w:rsidR="00A03E0B" w:rsidRPr="00D205C1">
        <w:rPr>
          <w:rFonts w:cs="David" w:hint="cs"/>
          <w:sz w:val="24"/>
          <w:szCs w:val="24"/>
          <w:rtl/>
        </w:rPr>
        <w:t xml:space="preserve">, </w:t>
      </w:r>
      <w:r w:rsidR="00357FBE" w:rsidRPr="00D205C1">
        <w:rPr>
          <w:rFonts w:cs="David" w:hint="cs"/>
          <w:sz w:val="24"/>
          <w:szCs w:val="24"/>
          <w:rtl/>
        </w:rPr>
        <w:t>או מסיימי קורסים בתכנות</w:t>
      </w:r>
      <w:r w:rsidR="00A03E0B" w:rsidRPr="00D205C1">
        <w:rPr>
          <w:rFonts w:cs="David" w:hint="cs"/>
          <w:sz w:val="24"/>
          <w:szCs w:val="24"/>
          <w:rtl/>
        </w:rPr>
        <w:t xml:space="preserve">. </w:t>
      </w:r>
      <w:r w:rsidR="00357FBE" w:rsidRPr="00D205C1">
        <w:rPr>
          <w:rFonts w:cs="David" w:hint="cs"/>
          <w:sz w:val="24"/>
          <w:szCs w:val="24"/>
          <w:rtl/>
        </w:rPr>
        <w:t>זמן</w:t>
      </w:r>
      <w:r w:rsidR="00A03E0B" w:rsidRPr="00D205C1">
        <w:rPr>
          <w:rFonts w:cs="David" w:hint="cs"/>
          <w:sz w:val="24"/>
          <w:szCs w:val="24"/>
          <w:rtl/>
        </w:rPr>
        <w:t xml:space="preserve"> </w:t>
      </w:r>
      <w:r w:rsidR="00357FBE" w:rsidRPr="00D205C1">
        <w:rPr>
          <w:rFonts w:cs="David" w:hint="cs"/>
          <w:sz w:val="24"/>
          <w:szCs w:val="24"/>
          <w:rtl/>
        </w:rPr>
        <w:t xml:space="preserve">הלימודים </w:t>
      </w:r>
      <w:r w:rsidR="009B39BA" w:rsidRPr="00D205C1">
        <w:rPr>
          <w:rFonts w:cs="David" w:hint="cs"/>
          <w:sz w:val="24"/>
          <w:szCs w:val="24"/>
          <w:rtl/>
        </w:rPr>
        <w:t xml:space="preserve">הארוך </w:t>
      </w:r>
      <w:r w:rsidR="00357FBE" w:rsidRPr="00D205C1">
        <w:rPr>
          <w:rFonts w:cs="David" w:hint="cs"/>
          <w:sz w:val="24"/>
          <w:szCs w:val="24"/>
          <w:rtl/>
        </w:rPr>
        <w:t>יוצר פער בין עיתוי הגידול בביקוש לעבודה לגידול בהיצע העובדים.</w:t>
      </w:r>
    </w:p>
    <w:p w:rsidR="003C0050" w:rsidRPr="003C0050" w:rsidRDefault="003C0050" w:rsidP="00722A28">
      <w:pPr>
        <w:spacing w:after="0" w:line="360" w:lineRule="auto"/>
        <w:ind w:left="84"/>
        <w:jc w:val="both"/>
        <w:rPr>
          <w:rFonts w:cs="David"/>
          <w:sz w:val="24"/>
          <w:szCs w:val="24"/>
        </w:rPr>
      </w:pPr>
    </w:p>
    <w:p w:rsidR="00E9657F" w:rsidRDefault="00357FBE" w:rsidP="00EE4B55">
      <w:pPr>
        <w:pStyle w:val="a5"/>
        <w:numPr>
          <w:ilvl w:val="0"/>
          <w:numId w:val="2"/>
        </w:numPr>
        <w:spacing w:after="0" w:line="360" w:lineRule="auto"/>
        <w:ind w:left="509" w:hanging="425"/>
        <w:jc w:val="both"/>
        <w:rPr>
          <w:rFonts w:cs="David"/>
          <w:sz w:val="24"/>
          <w:szCs w:val="24"/>
        </w:rPr>
      </w:pPr>
      <w:r w:rsidRPr="00D205C1">
        <w:rPr>
          <w:rFonts w:cs="David" w:hint="cs"/>
          <w:sz w:val="24"/>
          <w:szCs w:val="24"/>
          <w:rtl/>
        </w:rPr>
        <w:t xml:space="preserve">ייחודיות ההון האנושי </w:t>
      </w:r>
      <w:r w:rsidR="000A7078" w:rsidRPr="00D205C1">
        <w:rPr>
          <w:rFonts w:cs="David" w:hint="cs"/>
          <w:sz w:val="24"/>
          <w:szCs w:val="24"/>
          <w:rtl/>
        </w:rPr>
        <w:t xml:space="preserve">הנדרש </w:t>
      </w:r>
      <w:r w:rsidRPr="00D205C1">
        <w:rPr>
          <w:rFonts w:cs="David" w:hint="cs"/>
          <w:sz w:val="24"/>
          <w:szCs w:val="24"/>
          <w:rtl/>
        </w:rPr>
        <w:t xml:space="preserve">בענפי טכנולוגיית המידע והתרכזותם של מרבית </w:t>
      </w:r>
      <w:r w:rsidR="000A7078" w:rsidRPr="00D205C1">
        <w:rPr>
          <w:rFonts w:cs="David" w:hint="cs"/>
          <w:sz w:val="24"/>
          <w:szCs w:val="24"/>
          <w:rtl/>
        </w:rPr>
        <w:t xml:space="preserve">המועסקים </w:t>
      </w:r>
      <w:r w:rsidRPr="00D205C1">
        <w:rPr>
          <w:rFonts w:cs="David" w:hint="cs"/>
          <w:sz w:val="24"/>
          <w:szCs w:val="24"/>
          <w:rtl/>
        </w:rPr>
        <w:t xml:space="preserve">בעלי הון האנושי </w:t>
      </w:r>
      <w:r w:rsidR="000A7078" w:rsidRPr="00D205C1">
        <w:rPr>
          <w:rFonts w:cs="David" w:hint="cs"/>
          <w:sz w:val="24"/>
          <w:szCs w:val="24"/>
          <w:rtl/>
        </w:rPr>
        <w:t xml:space="preserve">מסוג זה </w:t>
      </w:r>
      <w:r w:rsidRPr="00D205C1">
        <w:rPr>
          <w:rFonts w:cs="David" w:hint="cs"/>
          <w:sz w:val="24"/>
          <w:szCs w:val="24"/>
          <w:rtl/>
        </w:rPr>
        <w:t xml:space="preserve">בענפים אלו </w:t>
      </w:r>
      <w:r w:rsidR="000A7078" w:rsidRPr="00D205C1">
        <w:rPr>
          <w:rFonts w:cs="David" w:hint="cs"/>
          <w:sz w:val="24"/>
          <w:szCs w:val="24"/>
          <w:rtl/>
        </w:rPr>
        <w:t>עשויה להגדיל</w:t>
      </w:r>
      <w:r w:rsidRPr="00D205C1">
        <w:rPr>
          <w:rFonts w:cs="David" w:hint="cs"/>
          <w:sz w:val="24"/>
          <w:szCs w:val="24"/>
          <w:rtl/>
        </w:rPr>
        <w:t xml:space="preserve"> </w:t>
      </w:r>
      <w:r w:rsidR="000A7078" w:rsidRPr="00D205C1">
        <w:rPr>
          <w:rFonts w:cs="David" w:hint="cs"/>
          <w:sz w:val="24"/>
          <w:szCs w:val="24"/>
          <w:rtl/>
        </w:rPr>
        <w:t>את רגישות</w:t>
      </w:r>
      <w:r w:rsidRPr="00D205C1">
        <w:rPr>
          <w:rFonts w:cs="David" w:hint="cs"/>
          <w:sz w:val="24"/>
          <w:szCs w:val="24"/>
          <w:rtl/>
        </w:rPr>
        <w:t xml:space="preserve"> השכר </w:t>
      </w:r>
      <w:r w:rsidR="000A7078" w:rsidRPr="00D205C1">
        <w:rPr>
          <w:rFonts w:cs="David" w:hint="cs"/>
          <w:sz w:val="24"/>
          <w:szCs w:val="24"/>
          <w:rtl/>
        </w:rPr>
        <w:t>בענפים אלה</w:t>
      </w:r>
      <w:r w:rsidRPr="00D205C1">
        <w:rPr>
          <w:rFonts w:cs="David" w:hint="cs"/>
          <w:sz w:val="24"/>
          <w:szCs w:val="24"/>
          <w:rtl/>
        </w:rPr>
        <w:t xml:space="preserve"> לזעזועים</w:t>
      </w:r>
      <w:r w:rsidR="000A7078" w:rsidRPr="00D205C1">
        <w:rPr>
          <w:rFonts w:cs="David" w:hint="cs"/>
          <w:sz w:val="24"/>
          <w:szCs w:val="24"/>
          <w:rtl/>
        </w:rPr>
        <w:t xml:space="preserve"> חיצוניים</w:t>
      </w:r>
      <w:r w:rsidRPr="00D205C1">
        <w:rPr>
          <w:rFonts w:cs="David" w:hint="cs"/>
          <w:sz w:val="24"/>
          <w:szCs w:val="24"/>
          <w:rtl/>
        </w:rPr>
        <w:t>. כך למשל, ב</w:t>
      </w:r>
      <w:r w:rsidR="002D3EF3" w:rsidRPr="00D205C1">
        <w:rPr>
          <w:rFonts w:cs="David" w:hint="cs"/>
          <w:sz w:val="24"/>
          <w:szCs w:val="24"/>
          <w:rtl/>
        </w:rPr>
        <w:t>זמן המשבר ב</w:t>
      </w:r>
      <w:r w:rsidRPr="00D205C1">
        <w:rPr>
          <w:rFonts w:cs="David" w:hint="cs"/>
          <w:sz w:val="24"/>
          <w:szCs w:val="24"/>
          <w:rtl/>
        </w:rPr>
        <w:t>שנים 2008 ו- 2009, כאשר נרשמה האטה בסחר העולמי וייסוף ריאלי</w:t>
      </w:r>
      <w:r w:rsidR="005E0B16" w:rsidRPr="00D205C1">
        <w:rPr>
          <w:rFonts w:cs="David" w:hint="cs"/>
          <w:sz w:val="24"/>
          <w:szCs w:val="24"/>
          <w:rtl/>
        </w:rPr>
        <w:t>, התמודדות הפירמות בענף התאפשרה</w:t>
      </w:r>
      <w:r w:rsidR="000F2580" w:rsidRPr="00D205C1">
        <w:rPr>
          <w:rFonts w:cs="David" w:hint="cs"/>
          <w:sz w:val="24"/>
          <w:szCs w:val="24"/>
          <w:rtl/>
        </w:rPr>
        <w:t>,</w:t>
      </w:r>
      <w:r w:rsidR="005E0B16" w:rsidRPr="00D205C1">
        <w:rPr>
          <w:rFonts w:cs="David" w:hint="cs"/>
          <w:sz w:val="24"/>
          <w:szCs w:val="24"/>
          <w:rtl/>
        </w:rPr>
        <w:t xml:space="preserve"> </w:t>
      </w:r>
      <w:r w:rsidR="000F2580" w:rsidRPr="00D205C1">
        <w:rPr>
          <w:rFonts w:cs="David" w:hint="cs"/>
          <w:sz w:val="24"/>
          <w:szCs w:val="24"/>
          <w:rtl/>
        </w:rPr>
        <w:t>בין היתר,</w:t>
      </w:r>
      <w:r w:rsidR="003C0050">
        <w:rPr>
          <w:rFonts w:cs="David" w:hint="cs"/>
          <w:sz w:val="24"/>
          <w:szCs w:val="24"/>
          <w:rtl/>
        </w:rPr>
        <w:t xml:space="preserve"> על ידי ירידה </w:t>
      </w:r>
      <w:r w:rsidR="000F2580" w:rsidRPr="00D205C1">
        <w:rPr>
          <w:rFonts w:cs="David" w:hint="cs"/>
          <w:sz w:val="24"/>
          <w:szCs w:val="24"/>
          <w:rtl/>
        </w:rPr>
        <w:t>ב</w:t>
      </w:r>
      <w:r w:rsidRPr="00D205C1">
        <w:rPr>
          <w:rFonts w:cs="David" w:hint="cs"/>
          <w:sz w:val="24"/>
          <w:szCs w:val="24"/>
          <w:rtl/>
        </w:rPr>
        <w:t>שכר הריאלי בשיעור מצטבר של קרוב ל-7 אחוזים</w:t>
      </w:r>
      <w:r w:rsidR="002D3EF3" w:rsidRPr="00D205C1">
        <w:rPr>
          <w:rFonts w:cs="David" w:hint="cs"/>
          <w:sz w:val="24"/>
          <w:szCs w:val="24"/>
          <w:rtl/>
        </w:rPr>
        <w:t xml:space="preserve">, </w:t>
      </w:r>
      <w:r w:rsidR="000F2580" w:rsidRPr="00D205C1">
        <w:rPr>
          <w:rFonts w:cs="David" w:hint="cs"/>
          <w:sz w:val="24"/>
          <w:szCs w:val="24"/>
          <w:rtl/>
        </w:rPr>
        <w:t xml:space="preserve">זאת לעומת </w:t>
      </w:r>
      <w:r w:rsidR="002D3EF3" w:rsidRPr="00D205C1">
        <w:rPr>
          <w:rFonts w:cs="David" w:hint="cs"/>
          <w:sz w:val="24"/>
          <w:szCs w:val="24"/>
          <w:rtl/>
        </w:rPr>
        <w:t xml:space="preserve">2.2 אחוזים בלבד </w:t>
      </w:r>
      <w:r w:rsidR="00D205C1" w:rsidRPr="00D205C1">
        <w:rPr>
          <w:rFonts w:cs="David" w:hint="cs"/>
          <w:sz w:val="24"/>
          <w:szCs w:val="24"/>
          <w:rtl/>
        </w:rPr>
        <w:t>בתעשייה</w:t>
      </w:r>
      <w:r w:rsidRPr="00D205C1">
        <w:rPr>
          <w:rFonts w:cs="David" w:hint="cs"/>
          <w:sz w:val="24"/>
          <w:szCs w:val="24"/>
          <w:rtl/>
        </w:rPr>
        <w:t>.</w:t>
      </w:r>
    </w:p>
    <w:p w:rsidR="003C0050" w:rsidRPr="003C0050" w:rsidRDefault="003C0050" w:rsidP="00722A28">
      <w:pPr>
        <w:spacing w:after="0" w:line="360" w:lineRule="auto"/>
        <w:ind w:left="84"/>
        <w:jc w:val="both"/>
        <w:rPr>
          <w:rFonts w:cs="David"/>
          <w:sz w:val="24"/>
          <w:szCs w:val="24"/>
          <w:rtl/>
        </w:rPr>
      </w:pPr>
    </w:p>
    <w:p w:rsidR="00D10E67" w:rsidRPr="00D205C1" w:rsidRDefault="00CB220E" w:rsidP="00722A2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D205C1">
        <w:rPr>
          <w:rFonts w:cs="David" w:hint="cs"/>
          <w:sz w:val="24"/>
          <w:szCs w:val="24"/>
          <w:rtl/>
        </w:rPr>
        <w:t xml:space="preserve">מאמר </w:t>
      </w:r>
      <w:r w:rsidR="0062181F" w:rsidRPr="00D205C1">
        <w:rPr>
          <w:rFonts w:cs="David" w:hint="cs"/>
          <w:sz w:val="24"/>
          <w:szCs w:val="24"/>
          <w:rtl/>
        </w:rPr>
        <w:t xml:space="preserve">שכתב </w:t>
      </w:r>
      <w:r w:rsidR="00937A4D" w:rsidRPr="00D205C1">
        <w:rPr>
          <w:rFonts w:cs="David" w:hint="cs"/>
          <w:sz w:val="24"/>
          <w:szCs w:val="24"/>
          <w:rtl/>
        </w:rPr>
        <w:t xml:space="preserve">ד"ר יואב פרידמן מחטיבת המחקר בבנק ישראל מתאר ומנתח את ההתפתחויות של התעסוקה, השכר והרווחיות בענפי טכנולוגיית המידע </w:t>
      </w:r>
      <w:r w:rsidR="006163BF" w:rsidRPr="00D205C1">
        <w:rPr>
          <w:rFonts w:cs="David" w:hint="cs"/>
          <w:sz w:val="24"/>
          <w:szCs w:val="24"/>
          <w:rtl/>
        </w:rPr>
        <w:t xml:space="preserve">בישראל </w:t>
      </w:r>
      <w:r w:rsidR="00584EB8" w:rsidRPr="00D205C1">
        <w:rPr>
          <w:rFonts w:cs="David"/>
          <w:sz w:val="24"/>
          <w:szCs w:val="24"/>
          <w:rtl/>
        </w:rPr>
        <w:t>–</w:t>
      </w:r>
      <w:r w:rsidR="00584EB8" w:rsidRPr="00D205C1">
        <w:rPr>
          <w:rFonts w:cs="David" w:hint="cs"/>
          <w:sz w:val="24"/>
          <w:szCs w:val="24"/>
          <w:rtl/>
        </w:rPr>
        <w:t xml:space="preserve"> תעשיית האלקטרוניקה ושירותי תוכנה ו</w:t>
      </w:r>
      <w:r w:rsidR="00EE4B55">
        <w:rPr>
          <w:rFonts w:cs="David" w:hint="cs"/>
          <w:sz w:val="24"/>
          <w:szCs w:val="24"/>
          <w:rtl/>
        </w:rPr>
        <w:t xml:space="preserve">מחקר </w:t>
      </w:r>
      <w:r w:rsidR="00EE4B55" w:rsidRPr="00262A66">
        <w:rPr>
          <w:rFonts w:cs="David" w:hint="cs"/>
          <w:sz w:val="24"/>
          <w:szCs w:val="24"/>
          <w:rtl/>
        </w:rPr>
        <w:t>ו</w:t>
      </w:r>
      <w:r w:rsidR="00584EB8" w:rsidRPr="00262A66">
        <w:rPr>
          <w:rFonts w:cs="David" w:hint="cs"/>
          <w:sz w:val="24"/>
          <w:szCs w:val="24"/>
          <w:rtl/>
        </w:rPr>
        <w:t>פיתוח</w:t>
      </w:r>
      <w:r w:rsidR="00584EB8" w:rsidRPr="00D205C1">
        <w:rPr>
          <w:rFonts w:cs="David" w:hint="cs"/>
          <w:sz w:val="24"/>
          <w:szCs w:val="24"/>
          <w:rtl/>
        </w:rPr>
        <w:t xml:space="preserve"> </w:t>
      </w:r>
      <w:r w:rsidR="00A07FF3" w:rsidRPr="00D205C1">
        <w:rPr>
          <w:rFonts w:cs="David" w:hint="cs"/>
          <w:sz w:val="24"/>
          <w:szCs w:val="24"/>
          <w:rtl/>
        </w:rPr>
        <w:t>(</w:t>
      </w:r>
      <w:r w:rsidR="00584EB8" w:rsidRPr="00D205C1">
        <w:rPr>
          <w:rFonts w:cs="David" w:hint="cs"/>
          <w:sz w:val="24"/>
          <w:szCs w:val="24"/>
          <w:rtl/>
        </w:rPr>
        <w:t>ללא ענף התקשורת</w:t>
      </w:r>
      <w:r w:rsidR="00A07FF3" w:rsidRPr="00D205C1">
        <w:rPr>
          <w:rFonts w:cs="David" w:hint="cs"/>
          <w:sz w:val="24"/>
          <w:szCs w:val="24"/>
          <w:rtl/>
        </w:rPr>
        <w:t>)</w:t>
      </w:r>
      <w:r w:rsidR="00584EB8" w:rsidRPr="00D205C1">
        <w:rPr>
          <w:rFonts w:cs="David" w:hint="cs"/>
          <w:sz w:val="24"/>
          <w:szCs w:val="24"/>
          <w:rtl/>
        </w:rPr>
        <w:t xml:space="preserve"> -</w:t>
      </w:r>
      <w:r w:rsidR="00B53220" w:rsidRPr="00D205C1">
        <w:rPr>
          <w:rFonts w:cs="David" w:hint="cs"/>
          <w:sz w:val="24"/>
          <w:szCs w:val="24"/>
          <w:rtl/>
        </w:rPr>
        <w:t xml:space="preserve"> </w:t>
      </w:r>
      <w:r w:rsidR="00360E72" w:rsidRPr="00D205C1">
        <w:rPr>
          <w:rFonts w:cs="David" w:hint="cs"/>
          <w:sz w:val="24"/>
          <w:szCs w:val="24"/>
          <w:rtl/>
        </w:rPr>
        <w:t>ב-15</w:t>
      </w:r>
      <w:r w:rsidR="00937A4D" w:rsidRPr="00D205C1">
        <w:rPr>
          <w:rFonts w:cs="David" w:hint="cs"/>
          <w:sz w:val="24"/>
          <w:szCs w:val="24"/>
          <w:rtl/>
        </w:rPr>
        <w:t xml:space="preserve"> השנים האחרונות. </w:t>
      </w:r>
      <w:r w:rsidR="00D10E67" w:rsidRPr="00D205C1">
        <w:rPr>
          <w:rFonts w:cs="David" w:hint="cs"/>
          <w:sz w:val="24"/>
          <w:szCs w:val="24"/>
          <w:rtl/>
        </w:rPr>
        <w:t xml:space="preserve">בענפי טכנולוגיית המידע </w:t>
      </w:r>
      <w:r w:rsidR="006163BF" w:rsidRPr="00D205C1">
        <w:rPr>
          <w:rFonts w:cs="David" w:hint="cs"/>
          <w:sz w:val="24"/>
          <w:szCs w:val="24"/>
          <w:rtl/>
        </w:rPr>
        <w:t>הועסקו בשנת 2011</w:t>
      </w:r>
      <w:r w:rsidR="00D10E67" w:rsidRPr="00D205C1">
        <w:rPr>
          <w:rFonts w:cs="David" w:hint="cs"/>
          <w:sz w:val="24"/>
          <w:szCs w:val="24"/>
          <w:rtl/>
        </w:rPr>
        <w:t xml:space="preserve"> יותר מ-190 אלף עובדים המהווים קרוב ל-9 אחוזים מהמועסקים במגזר העסקי</w:t>
      </w:r>
      <w:r w:rsidR="006163BF" w:rsidRPr="00D205C1">
        <w:rPr>
          <w:rFonts w:cs="David" w:hint="cs"/>
          <w:sz w:val="24"/>
          <w:szCs w:val="24"/>
          <w:rtl/>
        </w:rPr>
        <w:t xml:space="preserve">, </w:t>
      </w:r>
      <w:r w:rsidR="00D10E67" w:rsidRPr="00D205C1">
        <w:rPr>
          <w:rFonts w:cs="David" w:hint="cs"/>
          <w:sz w:val="24"/>
          <w:szCs w:val="24"/>
          <w:rtl/>
        </w:rPr>
        <w:t xml:space="preserve"> קרוב למחצית</w:t>
      </w:r>
      <w:r w:rsidR="006163BF" w:rsidRPr="00D205C1">
        <w:rPr>
          <w:rFonts w:cs="David" w:hint="cs"/>
          <w:sz w:val="24"/>
          <w:szCs w:val="24"/>
          <w:rtl/>
        </w:rPr>
        <w:t>ם</w:t>
      </w:r>
      <w:r w:rsidR="00D10E67" w:rsidRPr="00D205C1">
        <w:rPr>
          <w:rFonts w:cs="David" w:hint="cs"/>
          <w:sz w:val="24"/>
          <w:szCs w:val="24"/>
          <w:rtl/>
        </w:rPr>
        <w:t xml:space="preserve"> בענף שירותי </w:t>
      </w:r>
      <w:r w:rsidR="006163BF" w:rsidRPr="00D205C1">
        <w:rPr>
          <w:rFonts w:cs="David" w:hint="cs"/>
          <w:sz w:val="24"/>
          <w:szCs w:val="24"/>
          <w:rtl/>
        </w:rPr>
        <w:t>ה</w:t>
      </w:r>
      <w:r w:rsidR="00D10E67" w:rsidRPr="00D205C1">
        <w:rPr>
          <w:rFonts w:cs="David" w:hint="cs"/>
          <w:sz w:val="24"/>
          <w:szCs w:val="24"/>
          <w:rtl/>
        </w:rPr>
        <w:t xml:space="preserve">מחשוב שהוא הענף הגדול מבין ענפי טכנולוגיית המידע. </w:t>
      </w:r>
      <w:r w:rsidR="00B53220" w:rsidRPr="00D205C1">
        <w:rPr>
          <w:rFonts w:cs="David" w:hint="cs"/>
          <w:sz w:val="24"/>
          <w:szCs w:val="24"/>
          <w:rtl/>
        </w:rPr>
        <w:t>הגידול במספר המועסקים</w:t>
      </w:r>
      <w:r w:rsidR="00D10E67" w:rsidRPr="00D205C1">
        <w:rPr>
          <w:rFonts w:cs="David" w:hint="cs"/>
          <w:sz w:val="24"/>
          <w:szCs w:val="24"/>
          <w:rtl/>
        </w:rPr>
        <w:t xml:space="preserve"> </w:t>
      </w:r>
      <w:r w:rsidR="00B53220" w:rsidRPr="00D205C1">
        <w:rPr>
          <w:rFonts w:cs="David" w:hint="cs"/>
          <w:sz w:val="24"/>
          <w:szCs w:val="24"/>
          <w:rtl/>
        </w:rPr>
        <w:t xml:space="preserve">ובתוצר </w:t>
      </w:r>
      <w:r w:rsidR="00D10E67" w:rsidRPr="00D205C1">
        <w:rPr>
          <w:rFonts w:cs="David" w:hint="cs"/>
          <w:sz w:val="24"/>
          <w:szCs w:val="24"/>
          <w:rtl/>
        </w:rPr>
        <w:t xml:space="preserve">של ענף שירותי המחשוב </w:t>
      </w:r>
      <w:r w:rsidR="00B53220" w:rsidRPr="00D205C1">
        <w:rPr>
          <w:rFonts w:cs="David" w:hint="cs"/>
          <w:sz w:val="24"/>
          <w:szCs w:val="24"/>
          <w:rtl/>
        </w:rPr>
        <w:t>ומחקר ופיתוח ב</w:t>
      </w:r>
      <w:r w:rsidR="00360E72" w:rsidRPr="00D205C1">
        <w:rPr>
          <w:rFonts w:cs="David" w:hint="cs"/>
          <w:sz w:val="24"/>
          <w:szCs w:val="24"/>
          <w:rtl/>
        </w:rPr>
        <w:t xml:space="preserve">-15 </w:t>
      </w:r>
      <w:r w:rsidR="00B53220" w:rsidRPr="00D205C1">
        <w:rPr>
          <w:rFonts w:cs="David" w:hint="cs"/>
          <w:sz w:val="24"/>
          <w:szCs w:val="24"/>
          <w:rtl/>
        </w:rPr>
        <w:t xml:space="preserve">השנים האחרונות הם שהובילו את צמיחת ענפי טכנולוגיית המידע במשק, </w:t>
      </w:r>
      <w:r w:rsidR="00590DBA" w:rsidRPr="00D205C1">
        <w:rPr>
          <w:rFonts w:cs="David" w:hint="cs"/>
          <w:sz w:val="24"/>
          <w:szCs w:val="24"/>
          <w:rtl/>
        </w:rPr>
        <w:t xml:space="preserve">בעוד </w:t>
      </w:r>
      <w:r w:rsidR="00B53220" w:rsidRPr="00D205C1">
        <w:rPr>
          <w:rFonts w:cs="David" w:hint="cs"/>
          <w:sz w:val="24"/>
          <w:szCs w:val="24"/>
          <w:rtl/>
        </w:rPr>
        <w:t>תעשיית האלקטרוניקה שמר</w:t>
      </w:r>
      <w:r w:rsidR="00590DBA" w:rsidRPr="00D205C1">
        <w:rPr>
          <w:rFonts w:cs="David" w:hint="cs"/>
          <w:sz w:val="24"/>
          <w:szCs w:val="24"/>
          <w:rtl/>
        </w:rPr>
        <w:t>ה</w:t>
      </w:r>
      <w:r w:rsidR="00B53220" w:rsidRPr="00D205C1">
        <w:rPr>
          <w:rFonts w:cs="David" w:hint="cs"/>
          <w:sz w:val="24"/>
          <w:szCs w:val="24"/>
          <w:rtl/>
        </w:rPr>
        <w:t xml:space="preserve"> על משקלה היחסי מבחינת מועסקים</w:t>
      </w:r>
      <w:r w:rsidR="00262A66">
        <w:rPr>
          <w:rFonts w:cs="David" w:hint="cs"/>
          <w:sz w:val="24"/>
          <w:szCs w:val="24"/>
          <w:rtl/>
        </w:rPr>
        <w:t>,</w:t>
      </w:r>
      <w:r w:rsidR="00B53220" w:rsidRPr="00D205C1">
        <w:rPr>
          <w:rFonts w:cs="David" w:hint="cs"/>
          <w:sz w:val="24"/>
          <w:szCs w:val="24"/>
          <w:rtl/>
        </w:rPr>
        <w:t xml:space="preserve"> </w:t>
      </w:r>
      <w:r w:rsidR="00590DBA" w:rsidRPr="00D205C1">
        <w:rPr>
          <w:rFonts w:cs="David" w:hint="cs"/>
          <w:sz w:val="24"/>
          <w:szCs w:val="24"/>
          <w:rtl/>
        </w:rPr>
        <w:t>ו</w:t>
      </w:r>
      <w:r w:rsidR="00B14E7E" w:rsidRPr="00D205C1">
        <w:rPr>
          <w:rFonts w:cs="David" w:hint="cs"/>
          <w:sz w:val="24"/>
          <w:szCs w:val="24"/>
          <w:rtl/>
        </w:rPr>
        <w:t>משקלה בתוצר העסקי בשנים האחרונות מעט ירד.</w:t>
      </w:r>
      <w:r w:rsidR="00B53220" w:rsidRPr="00D205C1">
        <w:rPr>
          <w:rFonts w:cs="David" w:hint="cs"/>
          <w:sz w:val="24"/>
          <w:szCs w:val="24"/>
          <w:rtl/>
        </w:rPr>
        <w:t xml:space="preserve"> </w:t>
      </w:r>
    </w:p>
    <w:p w:rsidR="00F646B2" w:rsidRPr="00D205C1" w:rsidRDefault="003C0050" w:rsidP="00722A2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="00937A4D" w:rsidRPr="00D205C1">
        <w:rPr>
          <w:rFonts w:cs="David" w:hint="cs"/>
          <w:sz w:val="24"/>
          <w:szCs w:val="24"/>
          <w:rtl/>
        </w:rPr>
        <w:t>אחד הממצאים המעניינים של המחקר הוא התעצמות ייחודיות ההון האנושי (ברמה המצרפית) של העוס</w:t>
      </w:r>
      <w:r w:rsidR="00724539" w:rsidRPr="00D205C1">
        <w:rPr>
          <w:rFonts w:cs="David" w:hint="cs"/>
          <w:sz w:val="24"/>
          <w:szCs w:val="24"/>
          <w:rtl/>
        </w:rPr>
        <w:t xml:space="preserve">קים בענפי טכנולוגיית המידע. </w:t>
      </w:r>
      <w:r w:rsidR="00937A4D" w:rsidRPr="00D205C1">
        <w:rPr>
          <w:rFonts w:cs="David" w:hint="cs"/>
          <w:sz w:val="24"/>
          <w:szCs w:val="24"/>
          <w:rtl/>
        </w:rPr>
        <w:t>כיום</w:t>
      </w:r>
      <w:r w:rsidR="00724539" w:rsidRPr="00D205C1">
        <w:rPr>
          <w:rFonts w:cs="David" w:hint="cs"/>
          <w:sz w:val="24"/>
          <w:szCs w:val="24"/>
          <w:rtl/>
        </w:rPr>
        <w:t>,</w:t>
      </w:r>
      <w:r w:rsidR="00937A4D" w:rsidRPr="00D205C1">
        <w:rPr>
          <w:rFonts w:cs="David" w:hint="cs"/>
          <w:sz w:val="24"/>
          <w:szCs w:val="24"/>
          <w:rtl/>
        </w:rPr>
        <w:t xml:space="preserve"> קרוב למחצית העובדים בענפי</w:t>
      </w:r>
      <w:r w:rsidR="00724539" w:rsidRPr="00D205C1">
        <w:rPr>
          <w:rFonts w:cs="David" w:hint="cs"/>
          <w:sz w:val="24"/>
          <w:szCs w:val="24"/>
          <w:rtl/>
        </w:rPr>
        <w:t xml:space="preserve"> טכנולוגיית המידע</w:t>
      </w:r>
      <w:r w:rsidR="00937A4D" w:rsidRPr="00D205C1">
        <w:rPr>
          <w:rFonts w:cs="David" w:hint="cs"/>
          <w:sz w:val="24"/>
          <w:szCs w:val="24"/>
          <w:rtl/>
        </w:rPr>
        <w:t xml:space="preserve"> מחזיקים באחד מארבעת משלחי היד </w:t>
      </w:r>
      <w:r w:rsidR="009E620B" w:rsidRPr="00D205C1">
        <w:rPr>
          <w:rFonts w:cs="David" w:hint="cs"/>
          <w:sz w:val="24"/>
          <w:szCs w:val="24"/>
          <w:rtl/>
        </w:rPr>
        <w:t xml:space="preserve">הבאים: (1) </w:t>
      </w:r>
      <w:r w:rsidR="00937A4D" w:rsidRPr="00D205C1">
        <w:rPr>
          <w:rFonts w:cs="David" w:hint="cs"/>
          <w:sz w:val="24"/>
          <w:szCs w:val="24"/>
          <w:rtl/>
        </w:rPr>
        <w:t xml:space="preserve">מנתחי מערכות ובעלי משלח יד אקדמי במדעי המחשב; </w:t>
      </w:r>
      <w:r w:rsidR="009E620B" w:rsidRPr="00D205C1">
        <w:rPr>
          <w:rFonts w:cs="David" w:hint="cs"/>
          <w:sz w:val="24"/>
          <w:szCs w:val="24"/>
          <w:rtl/>
        </w:rPr>
        <w:t xml:space="preserve">(2) </w:t>
      </w:r>
      <w:r w:rsidR="00937A4D" w:rsidRPr="00D205C1">
        <w:rPr>
          <w:rFonts w:cs="David" w:hint="cs"/>
          <w:sz w:val="24"/>
          <w:szCs w:val="24"/>
          <w:rtl/>
        </w:rPr>
        <w:t xml:space="preserve">מהנדסי מחשבים; </w:t>
      </w:r>
      <w:r w:rsidR="009E620B" w:rsidRPr="00D205C1">
        <w:rPr>
          <w:rFonts w:cs="David" w:hint="cs"/>
          <w:sz w:val="24"/>
          <w:szCs w:val="24"/>
          <w:rtl/>
        </w:rPr>
        <w:t xml:space="preserve">(3) </w:t>
      </w:r>
      <w:r w:rsidR="00937A4D" w:rsidRPr="00D205C1">
        <w:rPr>
          <w:rFonts w:cs="David" w:hint="cs"/>
          <w:sz w:val="24"/>
          <w:szCs w:val="24"/>
          <w:rtl/>
        </w:rPr>
        <w:t xml:space="preserve">מהנדסי חשמל ואלקטרוניקה; </w:t>
      </w:r>
      <w:r w:rsidR="009E620B" w:rsidRPr="00D205C1">
        <w:rPr>
          <w:rFonts w:cs="David" w:hint="cs"/>
          <w:sz w:val="24"/>
          <w:szCs w:val="24"/>
          <w:rtl/>
        </w:rPr>
        <w:t xml:space="preserve">(4) </w:t>
      </w:r>
      <w:r w:rsidR="00937A4D" w:rsidRPr="00D205C1">
        <w:rPr>
          <w:rFonts w:cs="David" w:hint="cs"/>
          <w:sz w:val="24"/>
          <w:szCs w:val="24"/>
          <w:rtl/>
        </w:rPr>
        <w:t>והנדסאי מחשב, טכנאי מחשב ומתכנתים</w:t>
      </w:r>
      <w:r w:rsidR="009E620B" w:rsidRPr="00D205C1">
        <w:rPr>
          <w:rFonts w:cs="David" w:hint="cs"/>
          <w:sz w:val="24"/>
          <w:szCs w:val="24"/>
          <w:rtl/>
        </w:rPr>
        <w:t>;</w:t>
      </w:r>
      <w:r w:rsidR="00937A4D" w:rsidRPr="00D205C1">
        <w:rPr>
          <w:rFonts w:cs="David" w:hint="cs"/>
          <w:sz w:val="24"/>
          <w:szCs w:val="24"/>
          <w:rtl/>
        </w:rPr>
        <w:t xml:space="preserve"> זאת בהשוואה ל</w:t>
      </w:r>
      <w:r w:rsidR="009E620B" w:rsidRPr="00D205C1">
        <w:rPr>
          <w:rFonts w:cs="David" w:hint="cs"/>
          <w:sz w:val="24"/>
          <w:szCs w:val="24"/>
          <w:rtl/>
        </w:rPr>
        <w:t>כ</w:t>
      </w:r>
      <w:r w:rsidR="00937A4D" w:rsidRPr="00D205C1">
        <w:rPr>
          <w:rFonts w:cs="David" w:hint="cs"/>
          <w:sz w:val="24"/>
          <w:szCs w:val="24"/>
          <w:rtl/>
        </w:rPr>
        <w:t xml:space="preserve">-30 אחוזים בלבד </w:t>
      </w:r>
      <w:r w:rsidR="009E620B" w:rsidRPr="00D205C1">
        <w:rPr>
          <w:rFonts w:cs="David" w:hint="cs"/>
          <w:sz w:val="24"/>
          <w:szCs w:val="24"/>
          <w:rtl/>
        </w:rPr>
        <w:t xml:space="preserve">בשנת 1995. </w:t>
      </w:r>
    </w:p>
    <w:p w:rsidR="00724539" w:rsidRPr="00D205C1" w:rsidRDefault="003C0050" w:rsidP="00E30E9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lastRenderedPageBreak/>
        <w:br/>
      </w:r>
      <w:r w:rsidR="00724539" w:rsidRPr="00D205C1">
        <w:rPr>
          <w:rFonts w:cs="David" w:hint="cs"/>
          <w:sz w:val="24"/>
          <w:szCs w:val="24"/>
          <w:rtl/>
        </w:rPr>
        <w:t>ייחודיות ההון האנושי בענפי טכנולוגיית המידע מתבטאת בזמן הת</w:t>
      </w:r>
      <w:r w:rsidR="009C66F1" w:rsidRPr="00D205C1">
        <w:rPr>
          <w:rFonts w:cs="David" w:hint="cs"/>
          <w:sz w:val="24"/>
          <w:szCs w:val="24"/>
          <w:rtl/>
        </w:rPr>
        <w:t>אמה ארוך בין שינוי</w:t>
      </w:r>
      <w:r w:rsidR="0062181F" w:rsidRPr="00D205C1">
        <w:rPr>
          <w:rFonts w:cs="David" w:hint="cs"/>
          <w:sz w:val="24"/>
          <w:szCs w:val="24"/>
          <w:rtl/>
        </w:rPr>
        <w:t>ים</w:t>
      </w:r>
      <w:r w:rsidR="00724539" w:rsidRPr="00D205C1">
        <w:rPr>
          <w:rFonts w:cs="David" w:hint="cs"/>
          <w:sz w:val="24"/>
          <w:szCs w:val="24"/>
          <w:rtl/>
        </w:rPr>
        <w:t xml:space="preserve"> בביקוש לעובדים (למשל</w:t>
      </w:r>
      <w:r w:rsidR="0062181F" w:rsidRPr="00D205C1">
        <w:rPr>
          <w:rFonts w:cs="David" w:hint="cs"/>
          <w:sz w:val="24"/>
          <w:szCs w:val="24"/>
          <w:rtl/>
        </w:rPr>
        <w:t xml:space="preserve"> עקב</w:t>
      </w:r>
      <w:r w:rsidR="00724539" w:rsidRPr="00D205C1">
        <w:rPr>
          <w:rFonts w:cs="David" w:hint="cs"/>
          <w:sz w:val="24"/>
          <w:szCs w:val="24"/>
          <w:rtl/>
        </w:rPr>
        <w:t xml:space="preserve"> גידול בפריון) לבין היענות ההיצע לשינויים אלו. אחת הסיבות לכך היא </w:t>
      </w:r>
      <w:r w:rsidR="0062181F" w:rsidRPr="00D205C1">
        <w:rPr>
          <w:rFonts w:cs="David" w:hint="cs"/>
          <w:sz w:val="24"/>
          <w:szCs w:val="24"/>
          <w:rtl/>
        </w:rPr>
        <w:t xml:space="preserve">שכיום כ- 65 אחוזים מבעלי משלחי היד שצוינו לעיל מועסקים בענפי טכנולוגיית </w:t>
      </w:r>
      <w:r w:rsidR="00E30E9B">
        <w:rPr>
          <w:rFonts w:cs="David" w:hint="cs"/>
          <w:sz w:val="24"/>
          <w:szCs w:val="24"/>
          <w:rtl/>
        </w:rPr>
        <w:t>ה</w:t>
      </w:r>
      <w:r w:rsidR="00E30E9B" w:rsidRPr="00D205C1">
        <w:rPr>
          <w:rFonts w:cs="David" w:hint="cs"/>
          <w:sz w:val="24"/>
          <w:szCs w:val="24"/>
          <w:rtl/>
        </w:rPr>
        <w:t xml:space="preserve">מידע </w:t>
      </w:r>
      <w:r w:rsidR="00AF6DFD" w:rsidRPr="00D205C1">
        <w:rPr>
          <w:rFonts w:cs="David" w:hint="cs"/>
          <w:sz w:val="24"/>
          <w:szCs w:val="24"/>
          <w:rtl/>
        </w:rPr>
        <w:t>(רא</w:t>
      </w:r>
      <w:r w:rsidR="00360E72" w:rsidRPr="00D205C1">
        <w:rPr>
          <w:rFonts w:cs="David" w:hint="cs"/>
          <w:sz w:val="24"/>
          <w:szCs w:val="24"/>
          <w:rtl/>
        </w:rPr>
        <w:t>ו</w:t>
      </w:r>
      <w:r w:rsidR="00AF6DFD" w:rsidRPr="00D205C1">
        <w:rPr>
          <w:rFonts w:cs="David" w:hint="cs"/>
          <w:sz w:val="24"/>
          <w:szCs w:val="24"/>
          <w:rtl/>
        </w:rPr>
        <w:t xml:space="preserve"> לוח 1 להלן)</w:t>
      </w:r>
      <w:r w:rsidR="0062181F" w:rsidRPr="00D205C1">
        <w:rPr>
          <w:rFonts w:cs="David" w:hint="cs"/>
          <w:sz w:val="24"/>
          <w:szCs w:val="24"/>
          <w:rtl/>
        </w:rPr>
        <w:t>.</w:t>
      </w:r>
      <w:r w:rsidR="00D37B77" w:rsidRPr="00D205C1">
        <w:rPr>
          <w:rFonts w:cs="David" w:hint="cs"/>
          <w:sz w:val="24"/>
          <w:szCs w:val="24"/>
          <w:rtl/>
        </w:rPr>
        <w:t xml:space="preserve"> </w:t>
      </w:r>
      <w:r w:rsidR="00724539" w:rsidRPr="00D205C1">
        <w:rPr>
          <w:rFonts w:cs="David" w:hint="cs"/>
          <w:sz w:val="24"/>
          <w:szCs w:val="24"/>
          <w:rtl/>
        </w:rPr>
        <w:t xml:space="preserve">התרכזותם של מהנדסי החשמל והאלקטרוניקה, בוגרי מדעי המחשב, המתכנתים וההנדסאים בענפי טכנולוגיית המידע, </w:t>
      </w:r>
      <w:r w:rsidR="00D37B77" w:rsidRPr="00D205C1">
        <w:rPr>
          <w:rFonts w:cs="David" w:hint="cs"/>
          <w:sz w:val="24"/>
          <w:szCs w:val="24"/>
          <w:rtl/>
        </w:rPr>
        <w:t>מ</w:t>
      </w:r>
      <w:r w:rsidR="00724539" w:rsidRPr="00D205C1">
        <w:rPr>
          <w:rFonts w:cs="David" w:hint="cs"/>
          <w:sz w:val="24"/>
          <w:szCs w:val="24"/>
          <w:rtl/>
        </w:rPr>
        <w:t xml:space="preserve">קשה </w:t>
      </w:r>
      <w:r w:rsidR="00D37B77" w:rsidRPr="00D205C1">
        <w:rPr>
          <w:rFonts w:cs="David" w:hint="cs"/>
          <w:sz w:val="24"/>
          <w:szCs w:val="24"/>
          <w:rtl/>
        </w:rPr>
        <w:t>ע</w:t>
      </w:r>
      <w:r w:rsidR="00724539" w:rsidRPr="00D205C1">
        <w:rPr>
          <w:rFonts w:cs="David" w:hint="cs"/>
          <w:sz w:val="24"/>
          <w:szCs w:val="24"/>
          <w:rtl/>
        </w:rPr>
        <w:t>ל</w:t>
      </w:r>
      <w:r w:rsidR="00D37B77" w:rsidRPr="00D205C1">
        <w:rPr>
          <w:rFonts w:cs="David" w:hint="cs"/>
          <w:sz w:val="24"/>
          <w:szCs w:val="24"/>
          <w:rtl/>
        </w:rPr>
        <w:t xml:space="preserve"> </w:t>
      </w:r>
      <w:r w:rsidR="00724539" w:rsidRPr="00D205C1">
        <w:rPr>
          <w:rFonts w:cs="David" w:hint="cs"/>
          <w:sz w:val="24"/>
          <w:szCs w:val="24"/>
          <w:rtl/>
        </w:rPr>
        <w:t>ענפי</w:t>
      </w:r>
      <w:r w:rsidR="0062181F" w:rsidRPr="00D205C1">
        <w:rPr>
          <w:rFonts w:cs="David" w:hint="cs"/>
          <w:sz w:val="24"/>
          <w:szCs w:val="24"/>
          <w:rtl/>
        </w:rPr>
        <w:t>ם אלה</w:t>
      </w:r>
      <w:r w:rsidR="00724539" w:rsidRPr="00D205C1">
        <w:rPr>
          <w:rFonts w:cs="David" w:hint="cs"/>
          <w:sz w:val="24"/>
          <w:szCs w:val="24"/>
          <w:rtl/>
        </w:rPr>
        <w:t xml:space="preserve"> להתרחב על </w:t>
      </w:r>
      <w:r w:rsidR="00C439F0" w:rsidRPr="00D205C1">
        <w:rPr>
          <w:rFonts w:cs="David" w:hint="cs"/>
          <w:sz w:val="24"/>
          <w:szCs w:val="24"/>
          <w:rtl/>
        </w:rPr>
        <w:t>חשבון ענפי</w:t>
      </w:r>
      <w:r w:rsidR="0062181F" w:rsidRPr="00D205C1">
        <w:rPr>
          <w:rFonts w:cs="David" w:hint="cs"/>
          <w:sz w:val="24"/>
          <w:szCs w:val="24"/>
          <w:rtl/>
        </w:rPr>
        <w:t>ם</w:t>
      </w:r>
      <w:r w:rsidR="00C439F0" w:rsidRPr="00D205C1">
        <w:rPr>
          <w:rFonts w:cs="David" w:hint="cs"/>
          <w:sz w:val="24"/>
          <w:szCs w:val="24"/>
          <w:rtl/>
        </w:rPr>
        <w:t xml:space="preserve"> אחרים</w:t>
      </w:r>
      <w:r w:rsidR="00D37B77" w:rsidRPr="00D205C1">
        <w:rPr>
          <w:rFonts w:cs="David" w:hint="cs"/>
          <w:sz w:val="24"/>
          <w:szCs w:val="24"/>
          <w:rtl/>
        </w:rPr>
        <w:t>,</w:t>
      </w:r>
      <w:r w:rsidR="00724539" w:rsidRPr="00D205C1">
        <w:rPr>
          <w:rFonts w:cs="David" w:hint="cs"/>
          <w:sz w:val="24"/>
          <w:szCs w:val="24"/>
          <w:rtl/>
        </w:rPr>
        <w:t xml:space="preserve"> </w:t>
      </w:r>
      <w:r w:rsidR="00584EB8" w:rsidRPr="00D205C1">
        <w:rPr>
          <w:rFonts w:cs="David" w:hint="cs"/>
          <w:sz w:val="24"/>
          <w:szCs w:val="24"/>
          <w:rtl/>
        </w:rPr>
        <w:t>ו</w:t>
      </w:r>
      <w:r w:rsidR="00724539" w:rsidRPr="00D205C1">
        <w:rPr>
          <w:rFonts w:cs="David" w:hint="cs"/>
          <w:sz w:val="24"/>
          <w:szCs w:val="24"/>
          <w:rtl/>
        </w:rPr>
        <w:t xml:space="preserve">התרחבות הענף מתבססת </w:t>
      </w:r>
      <w:r w:rsidR="00584EB8" w:rsidRPr="00D205C1">
        <w:rPr>
          <w:rFonts w:cs="David" w:hint="cs"/>
          <w:sz w:val="24"/>
          <w:szCs w:val="24"/>
          <w:rtl/>
        </w:rPr>
        <w:t xml:space="preserve">בעיקר </w:t>
      </w:r>
      <w:r w:rsidR="00724539" w:rsidRPr="00D205C1">
        <w:rPr>
          <w:rFonts w:cs="David" w:hint="cs"/>
          <w:sz w:val="24"/>
          <w:szCs w:val="24"/>
          <w:rtl/>
        </w:rPr>
        <w:t>על הצטרפות</w:t>
      </w:r>
      <w:r w:rsidR="00C439F0" w:rsidRPr="00D205C1">
        <w:rPr>
          <w:rFonts w:cs="David" w:hint="cs"/>
          <w:sz w:val="24"/>
          <w:szCs w:val="24"/>
          <w:rtl/>
        </w:rPr>
        <w:t>ם</w:t>
      </w:r>
      <w:r w:rsidR="00D37B77" w:rsidRPr="00D205C1">
        <w:rPr>
          <w:rFonts w:cs="David" w:hint="cs"/>
          <w:sz w:val="24"/>
          <w:szCs w:val="24"/>
          <w:rtl/>
        </w:rPr>
        <w:t xml:space="preserve"> </w:t>
      </w:r>
      <w:r w:rsidR="00C439F0" w:rsidRPr="00D205C1">
        <w:rPr>
          <w:rFonts w:cs="David" w:hint="cs"/>
          <w:sz w:val="24"/>
          <w:szCs w:val="24"/>
          <w:rtl/>
        </w:rPr>
        <w:t>של</w:t>
      </w:r>
      <w:r w:rsidR="00724539" w:rsidRPr="00D205C1">
        <w:rPr>
          <w:rFonts w:cs="David" w:hint="cs"/>
          <w:sz w:val="24"/>
          <w:szCs w:val="24"/>
          <w:rtl/>
        </w:rPr>
        <w:t xml:space="preserve"> צעירים הנכנסים לשוק העבודה </w:t>
      </w:r>
      <w:r w:rsidR="00C439F0" w:rsidRPr="00D205C1">
        <w:rPr>
          <w:rFonts w:cs="David" w:hint="cs"/>
          <w:sz w:val="24"/>
          <w:szCs w:val="24"/>
          <w:rtl/>
        </w:rPr>
        <w:t xml:space="preserve">לאחר </w:t>
      </w:r>
      <w:r w:rsidR="00724539" w:rsidRPr="00D205C1">
        <w:rPr>
          <w:rFonts w:cs="David" w:hint="cs"/>
          <w:sz w:val="24"/>
          <w:szCs w:val="24"/>
          <w:rtl/>
        </w:rPr>
        <w:t>ש</w:t>
      </w:r>
      <w:r w:rsidR="00C439F0" w:rsidRPr="00D205C1">
        <w:rPr>
          <w:rFonts w:cs="David" w:hint="cs"/>
          <w:sz w:val="24"/>
          <w:szCs w:val="24"/>
          <w:rtl/>
        </w:rPr>
        <w:t xml:space="preserve">למדו </w:t>
      </w:r>
      <w:r w:rsidR="00724539" w:rsidRPr="00D205C1">
        <w:rPr>
          <w:rFonts w:cs="David" w:hint="cs"/>
          <w:sz w:val="24"/>
          <w:szCs w:val="24"/>
          <w:rtl/>
        </w:rPr>
        <w:t xml:space="preserve">לתואר רלוונטי או </w:t>
      </w:r>
      <w:r w:rsidR="00C439F0" w:rsidRPr="00D205C1">
        <w:rPr>
          <w:rFonts w:cs="David" w:hint="cs"/>
          <w:sz w:val="24"/>
          <w:szCs w:val="24"/>
          <w:rtl/>
        </w:rPr>
        <w:t xml:space="preserve">סיימו </w:t>
      </w:r>
      <w:r w:rsidR="00724539" w:rsidRPr="00D205C1">
        <w:rPr>
          <w:rFonts w:cs="David" w:hint="cs"/>
          <w:sz w:val="24"/>
          <w:szCs w:val="24"/>
          <w:rtl/>
        </w:rPr>
        <w:t xml:space="preserve">קורסי הכשרה </w:t>
      </w:r>
      <w:r w:rsidR="00D52E16" w:rsidRPr="00D205C1">
        <w:rPr>
          <w:rFonts w:cs="David" w:hint="cs"/>
          <w:sz w:val="24"/>
          <w:szCs w:val="24"/>
          <w:rtl/>
        </w:rPr>
        <w:t xml:space="preserve">מתאימים. </w:t>
      </w:r>
    </w:p>
    <w:p w:rsidR="00282509" w:rsidRPr="00D205C1" w:rsidRDefault="00722A28" w:rsidP="00722A2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="00FB6846" w:rsidRPr="00D205C1">
        <w:rPr>
          <w:rFonts w:cs="David" w:hint="cs"/>
          <w:sz w:val="24"/>
          <w:szCs w:val="24"/>
          <w:rtl/>
        </w:rPr>
        <w:t>במאמר מובאות עדויות לכך</w:t>
      </w:r>
      <w:r w:rsidR="00724539" w:rsidRPr="00D205C1">
        <w:rPr>
          <w:rFonts w:cs="David" w:hint="cs"/>
          <w:sz w:val="24"/>
          <w:szCs w:val="24"/>
          <w:rtl/>
        </w:rPr>
        <w:t xml:space="preserve"> </w:t>
      </w:r>
      <w:r w:rsidR="00FB6846" w:rsidRPr="00D205C1">
        <w:rPr>
          <w:rFonts w:cs="David" w:hint="cs"/>
          <w:sz w:val="24"/>
          <w:szCs w:val="24"/>
          <w:rtl/>
        </w:rPr>
        <w:t>שקיים פיגור של</w:t>
      </w:r>
      <w:r w:rsidR="00282509" w:rsidRPr="00D205C1">
        <w:rPr>
          <w:rFonts w:cs="David" w:hint="cs"/>
          <w:sz w:val="24"/>
          <w:szCs w:val="24"/>
          <w:rtl/>
        </w:rPr>
        <w:t xml:space="preserve"> </w:t>
      </w:r>
      <w:r w:rsidR="00724539" w:rsidRPr="00D205C1">
        <w:rPr>
          <w:rFonts w:cs="David" w:hint="cs"/>
          <w:sz w:val="24"/>
          <w:szCs w:val="24"/>
          <w:rtl/>
        </w:rPr>
        <w:t>בין חמש לשמונה שנים ע</w:t>
      </w:r>
      <w:r w:rsidR="00FB6846" w:rsidRPr="00D205C1">
        <w:rPr>
          <w:rFonts w:cs="David" w:hint="cs"/>
          <w:sz w:val="24"/>
          <w:szCs w:val="24"/>
          <w:rtl/>
        </w:rPr>
        <w:t>ד</w:t>
      </w:r>
      <w:r w:rsidR="00724539" w:rsidRPr="00D205C1">
        <w:rPr>
          <w:rFonts w:cs="David" w:hint="cs"/>
          <w:sz w:val="24"/>
          <w:szCs w:val="24"/>
          <w:rtl/>
        </w:rPr>
        <w:t xml:space="preserve"> שהיצע העובדים </w:t>
      </w:r>
      <w:r w:rsidR="00FB6846" w:rsidRPr="00D205C1">
        <w:rPr>
          <w:rFonts w:cs="David" w:hint="cs"/>
          <w:sz w:val="24"/>
          <w:szCs w:val="24"/>
          <w:rtl/>
        </w:rPr>
        <w:t>מ</w:t>
      </w:r>
      <w:r w:rsidR="00724539" w:rsidRPr="00D205C1">
        <w:rPr>
          <w:rFonts w:cs="David" w:hint="cs"/>
          <w:sz w:val="24"/>
          <w:szCs w:val="24"/>
          <w:rtl/>
        </w:rPr>
        <w:t xml:space="preserve">תאים את עצמו לעלייה חדה בביקוש. השיא </w:t>
      </w:r>
      <w:r w:rsidR="0099594C" w:rsidRPr="00D205C1">
        <w:rPr>
          <w:rFonts w:cs="David" w:hint="cs"/>
          <w:sz w:val="24"/>
          <w:szCs w:val="24"/>
          <w:rtl/>
        </w:rPr>
        <w:t xml:space="preserve">במספר </w:t>
      </w:r>
      <w:r w:rsidR="00724539" w:rsidRPr="00D205C1">
        <w:rPr>
          <w:rFonts w:cs="David" w:hint="cs"/>
          <w:sz w:val="24"/>
          <w:szCs w:val="24"/>
          <w:rtl/>
        </w:rPr>
        <w:t xml:space="preserve">מסיימי תואר ראשון במדעי המחשב, הנדסת מחשבים והנדסת חשמל ואלקטרוניקה </w:t>
      </w:r>
      <w:r w:rsidR="00C439F0" w:rsidRPr="00D205C1">
        <w:rPr>
          <w:rFonts w:cs="David" w:hint="cs"/>
          <w:sz w:val="24"/>
          <w:szCs w:val="24"/>
          <w:rtl/>
        </w:rPr>
        <w:t>(</w:t>
      </w:r>
      <w:r w:rsidR="00724539" w:rsidRPr="00D205C1">
        <w:rPr>
          <w:rFonts w:cs="David" w:hint="cs"/>
          <w:sz w:val="24"/>
          <w:szCs w:val="24"/>
          <w:rtl/>
        </w:rPr>
        <w:t>כאחוז מ</w:t>
      </w:r>
      <w:r w:rsidR="00C439F0" w:rsidRPr="00D205C1">
        <w:rPr>
          <w:rFonts w:cs="David" w:hint="cs"/>
          <w:sz w:val="24"/>
          <w:szCs w:val="24"/>
          <w:rtl/>
        </w:rPr>
        <w:t>האוכלוסייה הצעירה)</w:t>
      </w:r>
      <w:r w:rsidR="00724539" w:rsidRPr="00D205C1">
        <w:rPr>
          <w:rFonts w:cs="David" w:hint="cs"/>
          <w:sz w:val="24"/>
          <w:szCs w:val="24"/>
          <w:rtl/>
        </w:rPr>
        <w:t xml:space="preserve"> נרשם בשנת 2004, יותר מ-5 שנים לאחר שחלה הקפיצה בתשואה ללימודים של מקצועות אלו</w:t>
      </w:r>
      <w:r w:rsidR="00787775" w:rsidRPr="00D205C1">
        <w:rPr>
          <w:rFonts w:cs="David" w:hint="cs"/>
          <w:sz w:val="24"/>
          <w:szCs w:val="24"/>
          <w:rtl/>
        </w:rPr>
        <w:t>,</w:t>
      </w:r>
      <w:r w:rsidR="00724539" w:rsidRPr="00D205C1">
        <w:rPr>
          <w:rFonts w:cs="David" w:hint="cs"/>
          <w:sz w:val="24"/>
          <w:szCs w:val="24"/>
          <w:rtl/>
        </w:rPr>
        <w:t xml:space="preserve"> </w:t>
      </w:r>
      <w:r w:rsidR="00787775" w:rsidRPr="00D205C1">
        <w:rPr>
          <w:rFonts w:cs="David" w:hint="cs"/>
          <w:sz w:val="24"/>
          <w:szCs w:val="24"/>
          <w:rtl/>
        </w:rPr>
        <w:t>ו</w:t>
      </w:r>
      <w:r w:rsidR="00282509" w:rsidRPr="00D205C1">
        <w:rPr>
          <w:rFonts w:cs="David" w:hint="cs"/>
          <w:sz w:val="24"/>
          <w:szCs w:val="24"/>
          <w:rtl/>
        </w:rPr>
        <w:t xml:space="preserve">רק </w:t>
      </w:r>
      <w:r w:rsidR="00B07BB3" w:rsidRPr="00D205C1">
        <w:rPr>
          <w:rFonts w:cs="David" w:hint="cs"/>
          <w:sz w:val="24"/>
          <w:szCs w:val="24"/>
          <w:rtl/>
        </w:rPr>
        <w:t xml:space="preserve">בשנים 2006 </w:t>
      </w:r>
      <w:r w:rsidR="00B07BB3" w:rsidRPr="00D205C1">
        <w:rPr>
          <w:rFonts w:cs="David"/>
          <w:sz w:val="24"/>
          <w:szCs w:val="24"/>
          <w:rtl/>
        </w:rPr>
        <w:t>–</w:t>
      </w:r>
      <w:r w:rsidR="00B07BB3" w:rsidRPr="00D205C1">
        <w:rPr>
          <w:rFonts w:cs="David" w:hint="cs"/>
          <w:sz w:val="24"/>
          <w:szCs w:val="24"/>
          <w:rtl/>
        </w:rPr>
        <w:t xml:space="preserve"> 2008</w:t>
      </w:r>
      <w:r w:rsidR="00787775" w:rsidRPr="00D205C1">
        <w:rPr>
          <w:rFonts w:cs="David" w:hint="cs"/>
          <w:sz w:val="24"/>
          <w:szCs w:val="24"/>
          <w:rtl/>
        </w:rPr>
        <w:t>, חמש עד שבע שנים לאחר</w:t>
      </w:r>
      <w:r w:rsidR="00B07BB3" w:rsidRPr="00D205C1">
        <w:rPr>
          <w:rFonts w:cs="David" w:hint="cs"/>
          <w:sz w:val="24"/>
          <w:szCs w:val="24"/>
          <w:rtl/>
        </w:rPr>
        <w:t xml:space="preserve"> </w:t>
      </w:r>
      <w:r w:rsidR="00787775" w:rsidRPr="00D205C1">
        <w:rPr>
          <w:rFonts w:cs="David" w:hint="cs"/>
          <w:sz w:val="24"/>
          <w:szCs w:val="24"/>
          <w:rtl/>
        </w:rPr>
        <w:t>משבר ה"דוט-קום",</w:t>
      </w:r>
      <w:r w:rsidR="00B07BB3" w:rsidRPr="00D205C1">
        <w:rPr>
          <w:rFonts w:cs="David" w:hint="cs"/>
          <w:sz w:val="24"/>
          <w:szCs w:val="24"/>
          <w:rtl/>
        </w:rPr>
        <w:t xml:space="preserve"> </w:t>
      </w:r>
      <w:r w:rsidR="00282509" w:rsidRPr="00D205C1">
        <w:rPr>
          <w:rFonts w:cs="David" w:hint="cs"/>
          <w:sz w:val="24"/>
          <w:szCs w:val="24"/>
          <w:rtl/>
        </w:rPr>
        <w:t xml:space="preserve">נרשמה ירידה במספר מסיימי </w:t>
      </w:r>
      <w:r w:rsidR="00B07BB3" w:rsidRPr="00D205C1">
        <w:rPr>
          <w:rFonts w:cs="David" w:hint="cs"/>
          <w:sz w:val="24"/>
          <w:szCs w:val="24"/>
          <w:rtl/>
        </w:rPr>
        <w:t xml:space="preserve">תואר ראשון </w:t>
      </w:r>
      <w:r w:rsidR="00282509" w:rsidRPr="00D205C1">
        <w:rPr>
          <w:rFonts w:cs="David" w:hint="cs"/>
          <w:sz w:val="24"/>
          <w:szCs w:val="24"/>
          <w:rtl/>
        </w:rPr>
        <w:t>במקצועות אלו</w:t>
      </w:r>
      <w:r w:rsidR="00AF6DFD" w:rsidRPr="00D205C1">
        <w:rPr>
          <w:rFonts w:cs="David" w:hint="cs"/>
          <w:sz w:val="24"/>
          <w:szCs w:val="24"/>
          <w:rtl/>
        </w:rPr>
        <w:t xml:space="preserve"> (ר</w:t>
      </w:r>
      <w:r w:rsidR="00360E72" w:rsidRPr="00D205C1">
        <w:rPr>
          <w:rFonts w:cs="David" w:hint="cs"/>
          <w:sz w:val="24"/>
          <w:szCs w:val="24"/>
          <w:rtl/>
        </w:rPr>
        <w:t>או</w:t>
      </w:r>
      <w:r w:rsidR="00AF6DFD" w:rsidRPr="00D205C1">
        <w:rPr>
          <w:rFonts w:cs="David" w:hint="cs"/>
          <w:sz w:val="24"/>
          <w:szCs w:val="24"/>
          <w:rtl/>
        </w:rPr>
        <w:t xml:space="preserve"> איור 1 להלן)</w:t>
      </w:r>
      <w:r w:rsidR="00282509" w:rsidRPr="00D205C1">
        <w:rPr>
          <w:rFonts w:cs="David" w:hint="cs"/>
          <w:sz w:val="24"/>
          <w:szCs w:val="24"/>
          <w:rtl/>
        </w:rPr>
        <w:t xml:space="preserve">. </w:t>
      </w:r>
      <w:r w:rsidR="00590DBA" w:rsidRPr="00D205C1">
        <w:rPr>
          <w:rFonts w:cs="David" w:hint="cs"/>
          <w:sz w:val="24"/>
          <w:szCs w:val="24"/>
          <w:rtl/>
        </w:rPr>
        <w:t xml:space="preserve">ייתכן גם כי </w:t>
      </w:r>
      <w:r w:rsidR="00B07BB3" w:rsidRPr="00D205C1">
        <w:rPr>
          <w:rFonts w:cs="David" w:hint="cs"/>
          <w:sz w:val="24"/>
          <w:szCs w:val="24"/>
          <w:rtl/>
        </w:rPr>
        <w:t xml:space="preserve">הייסוף הריאלי והירידה </w:t>
      </w:r>
      <w:r w:rsidR="00A07FF3" w:rsidRPr="00D205C1">
        <w:rPr>
          <w:rFonts w:cs="David" w:hint="cs"/>
          <w:sz w:val="24"/>
          <w:szCs w:val="24"/>
          <w:rtl/>
        </w:rPr>
        <w:t>ב</w:t>
      </w:r>
      <w:r w:rsidR="00B07BB3" w:rsidRPr="00D205C1">
        <w:rPr>
          <w:rFonts w:cs="David" w:hint="cs"/>
          <w:sz w:val="24"/>
          <w:szCs w:val="24"/>
          <w:rtl/>
        </w:rPr>
        <w:t>ב</w:t>
      </w:r>
      <w:r w:rsidR="006312A4" w:rsidRPr="00D205C1">
        <w:rPr>
          <w:rFonts w:cs="David" w:hint="cs"/>
          <w:sz w:val="24"/>
          <w:szCs w:val="24"/>
          <w:rtl/>
        </w:rPr>
        <w:t>י</w:t>
      </w:r>
      <w:r w:rsidR="00B07BB3" w:rsidRPr="00D205C1">
        <w:rPr>
          <w:rFonts w:cs="David" w:hint="cs"/>
          <w:sz w:val="24"/>
          <w:szCs w:val="24"/>
          <w:rtl/>
        </w:rPr>
        <w:t>קושים העולמיים בשנים 2008 -</w:t>
      </w:r>
      <w:r w:rsidR="00B14E7E" w:rsidRPr="00D205C1">
        <w:rPr>
          <w:rFonts w:cs="David" w:hint="cs"/>
          <w:sz w:val="24"/>
          <w:szCs w:val="24"/>
          <w:rtl/>
        </w:rPr>
        <w:t xml:space="preserve"> </w:t>
      </w:r>
      <w:r w:rsidR="00B07BB3" w:rsidRPr="00D205C1">
        <w:rPr>
          <w:rFonts w:cs="David" w:hint="cs"/>
          <w:sz w:val="24"/>
          <w:szCs w:val="24"/>
          <w:rtl/>
        </w:rPr>
        <w:t xml:space="preserve">2009, </w:t>
      </w:r>
      <w:r w:rsidR="00FB6846" w:rsidRPr="00D205C1">
        <w:rPr>
          <w:rFonts w:cs="David" w:hint="cs"/>
          <w:sz w:val="24"/>
          <w:szCs w:val="24"/>
          <w:rtl/>
        </w:rPr>
        <w:t>תרמו</w:t>
      </w:r>
      <w:r w:rsidR="00282509" w:rsidRPr="00D205C1">
        <w:rPr>
          <w:rFonts w:cs="David" w:hint="cs"/>
          <w:sz w:val="24"/>
          <w:szCs w:val="24"/>
          <w:rtl/>
        </w:rPr>
        <w:t xml:space="preserve"> </w:t>
      </w:r>
      <w:r w:rsidR="00FB6846" w:rsidRPr="00D205C1">
        <w:rPr>
          <w:rFonts w:cs="David" w:hint="cs"/>
          <w:sz w:val="24"/>
          <w:szCs w:val="24"/>
          <w:rtl/>
        </w:rPr>
        <w:t>ל</w:t>
      </w:r>
      <w:r w:rsidR="00282509" w:rsidRPr="00D205C1">
        <w:rPr>
          <w:rFonts w:cs="David" w:hint="cs"/>
          <w:sz w:val="24"/>
          <w:szCs w:val="24"/>
          <w:rtl/>
        </w:rPr>
        <w:t xml:space="preserve">ירידה </w:t>
      </w:r>
      <w:r w:rsidR="00590DBA" w:rsidRPr="00D205C1">
        <w:rPr>
          <w:rFonts w:cs="David" w:hint="cs"/>
          <w:sz w:val="24"/>
          <w:szCs w:val="24"/>
          <w:rtl/>
        </w:rPr>
        <w:t xml:space="preserve">שחלה </w:t>
      </w:r>
      <w:r w:rsidR="00282509" w:rsidRPr="00D205C1">
        <w:rPr>
          <w:rFonts w:cs="David" w:hint="cs"/>
          <w:sz w:val="24"/>
          <w:szCs w:val="24"/>
          <w:rtl/>
        </w:rPr>
        <w:t>במספר המועמדים ללימודי הנדסה ואדריכלות, מתמטיקה ומדעי הטבע באוניברסיטאות בשנים 2010 ו-2011.</w:t>
      </w:r>
      <w:r w:rsidR="00FB6846" w:rsidRPr="00D205C1">
        <w:rPr>
          <w:rFonts w:cs="David" w:hint="cs"/>
          <w:sz w:val="24"/>
          <w:szCs w:val="24"/>
          <w:rtl/>
        </w:rPr>
        <w:t xml:space="preserve"> עוד נמצא במחקר כי</w:t>
      </w:r>
      <w:r w:rsidR="005100C8" w:rsidRPr="00D205C1">
        <w:rPr>
          <w:rFonts w:cs="David" w:hint="cs"/>
          <w:sz w:val="24"/>
          <w:szCs w:val="24"/>
          <w:rtl/>
        </w:rPr>
        <w:t xml:space="preserve"> הגידול במשקל המועסקים ב</w:t>
      </w:r>
      <w:r w:rsidR="000623F4" w:rsidRPr="00D205C1">
        <w:rPr>
          <w:rFonts w:cs="David" w:hint="cs"/>
          <w:sz w:val="24"/>
          <w:szCs w:val="24"/>
          <w:rtl/>
        </w:rPr>
        <w:t>עלי משלח-יד אקדמי ב</w:t>
      </w:r>
      <w:r w:rsidR="005100C8" w:rsidRPr="00D205C1">
        <w:rPr>
          <w:rFonts w:cs="David" w:hint="cs"/>
          <w:sz w:val="24"/>
          <w:szCs w:val="24"/>
          <w:rtl/>
        </w:rPr>
        <w:t xml:space="preserve">ענפי טכנולוגיית המידע </w:t>
      </w:r>
      <w:r w:rsidR="00360E72" w:rsidRPr="00D205C1">
        <w:rPr>
          <w:rFonts w:cs="David" w:hint="cs"/>
          <w:sz w:val="24"/>
          <w:szCs w:val="24"/>
          <w:rtl/>
        </w:rPr>
        <w:t>ב-15</w:t>
      </w:r>
      <w:r w:rsidR="000623F4" w:rsidRPr="00D205C1">
        <w:rPr>
          <w:rFonts w:cs="David" w:hint="cs"/>
          <w:sz w:val="24"/>
          <w:szCs w:val="24"/>
          <w:rtl/>
        </w:rPr>
        <w:t xml:space="preserve"> השנים האחרונות </w:t>
      </w:r>
      <w:r w:rsidR="00360E72" w:rsidRPr="00D205C1">
        <w:rPr>
          <w:rFonts w:cs="David" w:hint="cs"/>
          <w:sz w:val="24"/>
          <w:szCs w:val="24"/>
          <w:rtl/>
        </w:rPr>
        <w:t xml:space="preserve">- מ-24 אחוזים ל-33 אחוזים - </w:t>
      </w:r>
      <w:r w:rsidR="000623F4" w:rsidRPr="00D205C1">
        <w:rPr>
          <w:rFonts w:cs="David" w:hint="cs"/>
          <w:sz w:val="24"/>
          <w:szCs w:val="24"/>
          <w:rtl/>
        </w:rPr>
        <w:t>היה משמעותי יותר מאשר בשאר ענפי המשק</w:t>
      </w:r>
      <w:r w:rsidR="00360E72" w:rsidRPr="00D205C1">
        <w:rPr>
          <w:rFonts w:cs="David" w:hint="cs"/>
          <w:sz w:val="24"/>
          <w:szCs w:val="24"/>
          <w:rtl/>
        </w:rPr>
        <w:t>,</w:t>
      </w:r>
      <w:r w:rsidR="000623F4" w:rsidRPr="00D205C1">
        <w:rPr>
          <w:rFonts w:cs="David" w:hint="cs"/>
          <w:sz w:val="24"/>
          <w:szCs w:val="24"/>
          <w:rtl/>
        </w:rPr>
        <w:t xml:space="preserve"> </w:t>
      </w:r>
      <w:r w:rsidR="00360E72" w:rsidRPr="00D205C1">
        <w:rPr>
          <w:rFonts w:cs="David" w:hint="cs"/>
          <w:sz w:val="24"/>
          <w:szCs w:val="24"/>
          <w:rtl/>
        </w:rPr>
        <w:t>שם הוא</w:t>
      </w:r>
      <w:r w:rsidR="000623F4" w:rsidRPr="00D205C1">
        <w:rPr>
          <w:rFonts w:cs="David" w:hint="cs"/>
          <w:sz w:val="24"/>
          <w:szCs w:val="24"/>
          <w:rtl/>
        </w:rPr>
        <w:t xml:space="preserve"> עלה מ-5.5 אחוזים ל-9 אחוזים בלבד. </w:t>
      </w:r>
    </w:p>
    <w:p w:rsidR="00CB48C8" w:rsidRPr="00D205C1" w:rsidRDefault="00722A28" w:rsidP="00E30E9B">
      <w:pPr>
        <w:spacing w:after="0" w:line="360" w:lineRule="auto"/>
        <w:jc w:val="both"/>
        <w:rPr>
          <w:rFonts w:cs="David"/>
          <w:color w:val="FF0000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="00CB48C8" w:rsidRPr="00D205C1">
        <w:rPr>
          <w:rFonts w:cs="David" w:hint="cs"/>
          <w:sz w:val="24"/>
          <w:szCs w:val="24"/>
          <w:rtl/>
        </w:rPr>
        <w:t xml:space="preserve">הניתוח במאמר מצביע על כך שלייחודיות ההון האנושי בענפי טכנולוגיית המידע ולהתרכזותם של מרבית בעלי ההון האנושי הרלוונטי לתעסוקה בענפים אלו עשוית להיות השלכות לגבי התפתחות השכר בתגובה לזעזועים. </w:t>
      </w:r>
      <w:r w:rsidR="00781400" w:rsidRPr="00D205C1">
        <w:rPr>
          <w:rFonts w:cs="David" w:hint="cs"/>
          <w:sz w:val="24"/>
          <w:szCs w:val="24"/>
          <w:rtl/>
        </w:rPr>
        <w:t xml:space="preserve">כך למשל, בשנים 2008 ו- 2009, כאשר </w:t>
      </w:r>
      <w:r w:rsidR="00E30E9B">
        <w:rPr>
          <w:rFonts w:cs="David" w:hint="cs"/>
          <w:sz w:val="24"/>
          <w:szCs w:val="24"/>
          <w:rtl/>
        </w:rPr>
        <w:t>הצטמצם</w:t>
      </w:r>
      <w:r w:rsidR="00781400" w:rsidRPr="00D205C1">
        <w:rPr>
          <w:rFonts w:cs="David" w:hint="cs"/>
          <w:sz w:val="24"/>
          <w:szCs w:val="24"/>
          <w:rtl/>
        </w:rPr>
        <w:t xml:space="preserve"> </w:t>
      </w:r>
      <w:r w:rsidR="00E30E9B">
        <w:rPr>
          <w:rFonts w:cs="David" w:hint="cs"/>
          <w:sz w:val="24"/>
          <w:szCs w:val="24"/>
          <w:rtl/>
        </w:rPr>
        <w:t>ה</w:t>
      </w:r>
      <w:r w:rsidR="00781400" w:rsidRPr="00D205C1">
        <w:rPr>
          <w:rFonts w:cs="David" w:hint="cs"/>
          <w:sz w:val="24"/>
          <w:szCs w:val="24"/>
          <w:rtl/>
        </w:rPr>
        <w:t xml:space="preserve">סחר העולמי </w:t>
      </w:r>
      <w:r w:rsidR="00F65DBB" w:rsidRPr="00D205C1">
        <w:rPr>
          <w:rFonts w:cs="David" w:hint="cs"/>
          <w:sz w:val="24"/>
          <w:szCs w:val="24"/>
          <w:rtl/>
        </w:rPr>
        <w:t>ו</w:t>
      </w:r>
      <w:r w:rsidR="00781400" w:rsidRPr="00D205C1">
        <w:rPr>
          <w:rFonts w:cs="David" w:hint="cs"/>
          <w:sz w:val="24"/>
          <w:szCs w:val="24"/>
          <w:rtl/>
        </w:rPr>
        <w:t xml:space="preserve">ייסוף </w:t>
      </w:r>
      <w:r w:rsidR="00F65DBB" w:rsidRPr="00D205C1">
        <w:rPr>
          <w:rFonts w:cs="David" w:hint="cs"/>
          <w:sz w:val="24"/>
          <w:szCs w:val="24"/>
          <w:rtl/>
        </w:rPr>
        <w:t xml:space="preserve">ריאלי פגע ברווחיות </w:t>
      </w:r>
      <w:r w:rsidR="00321BB8" w:rsidRPr="00D205C1">
        <w:rPr>
          <w:rFonts w:cs="David" w:hint="cs"/>
          <w:sz w:val="24"/>
          <w:szCs w:val="24"/>
          <w:rtl/>
        </w:rPr>
        <w:t>ענפי טכנולוגיית המידע</w:t>
      </w:r>
      <w:r w:rsidR="00F65DBB" w:rsidRPr="00D205C1">
        <w:rPr>
          <w:rFonts w:cs="David" w:hint="cs"/>
          <w:sz w:val="24"/>
          <w:szCs w:val="24"/>
          <w:rtl/>
        </w:rPr>
        <w:t xml:space="preserve">, </w:t>
      </w:r>
      <w:r w:rsidR="00E30E9B">
        <w:rPr>
          <w:rFonts w:cs="David" w:hint="cs"/>
          <w:sz w:val="24"/>
          <w:szCs w:val="24"/>
          <w:rtl/>
        </w:rPr>
        <w:t xml:space="preserve">ירד </w:t>
      </w:r>
      <w:r w:rsidR="00F65DBB" w:rsidRPr="00D205C1">
        <w:rPr>
          <w:rFonts w:cs="David" w:hint="cs"/>
          <w:sz w:val="24"/>
          <w:szCs w:val="24"/>
          <w:rtl/>
        </w:rPr>
        <w:t xml:space="preserve">השכר הריאלי </w:t>
      </w:r>
      <w:r w:rsidR="00A07FF3" w:rsidRPr="00D205C1">
        <w:rPr>
          <w:rFonts w:cs="David" w:hint="cs"/>
          <w:sz w:val="24"/>
          <w:szCs w:val="24"/>
          <w:rtl/>
        </w:rPr>
        <w:t xml:space="preserve">בענפים אלה </w:t>
      </w:r>
      <w:r w:rsidR="00AB5F8C" w:rsidRPr="00D205C1">
        <w:rPr>
          <w:rFonts w:cs="David" w:hint="cs"/>
          <w:sz w:val="24"/>
          <w:szCs w:val="24"/>
          <w:rtl/>
        </w:rPr>
        <w:t>ב</w:t>
      </w:r>
      <w:r w:rsidR="00F65DBB" w:rsidRPr="00D205C1">
        <w:rPr>
          <w:rFonts w:cs="David" w:hint="cs"/>
          <w:sz w:val="24"/>
          <w:szCs w:val="24"/>
          <w:rtl/>
        </w:rPr>
        <w:t>שיעור מצטבר של קרוב ל-7 אחוזים</w:t>
      </w:r>
      <w:r w:rsidR="0069007A" w:rsidRPr="00D205C1">
        <w:rPr>
          <w:rFonts w:cs="David" w:hint="cs"/>
          <w:sz w:val="24"/>
          <w:szCs w:val="24"/>
          <w:rtl/>
        </w:rPr>
        <w:t xml:space="preserve">, </w:t>
      </w:r>
      <w:r w:rsidR="00A07FF3" w:rsidRPr="00D205C1">
        <w:rPr>
          <w:rFonts w:cs="David" w:hint="cs"/>
          <w:sz w:val="24"/>
          <w:szCs w:val="24"/>
          <w:rtl/>
        </w:rPr>
        <w:t>בעוד</w:t>
      </w:r>
      <w:r w:rsidR="00AB5F8C" w:rsidRPr="00D205C1">
        <w:rPr>
          <w:rFonts w:cs="David" w:hint="cs"/>
          <w:sz w:val="24"/>
          <w:szCs w:val="24"/>
          <w:rtl/>
        </w:rPr>
        <w:t xml:space="preserve"> </w:t>
      </w:r>
      <w:r w:rsidR="00A07FF3" w:rsidRPr="00D205C1">
        <w:rPr>
          <w:rFonts w:cs="David" w:hint="cs"/>
          <w:sz w:val="24"/>
          <w:szCs w:val="24"/>
          <w:rtl/>
        </w:rPr>
        <w:t>ש</w:t>
      </w:r>
      <w:r w:rsidR="005C6393" w:rsidRPr="00D205C1">
        <w:rPr>
          <w:rFonts w:cs="David" w:hint="cs"/>
          <w:sz w:val="24"/>
          <w:szCs w:val="24"/>
          <w:rtl/>
        </w:rPr>
        <w:t xml:space="preserve">בכלל המגזר העסקי </w:t>
      </w:r>
      <w:r w:rsidR="00E21DE3" w:rsidRPr="00D205C1">
        <w:rPr>
          <w:rFonts w:cs="David" w:hint="cs"/>
          <w:sz w:val="24"/>
          <w:szCs w:val="24"/>
          <w:rtl/>
        </w:rPr>
        <w:t xml:space="preserve">(ללא ענפי טכנולוגיית המידע) </w:t>
      </w:r>
      <w:r w:rsidR="00A07FF3" w:rsidRPr="00D205C1">
        <w:rPr>
          <w:rFonts w:cs="David" w:hint="cs"/>
          <w:sz w:val="24"/>
          <w:szCs w:val="24"/>
          <w:rtl/>
        </w:rPr>
        <w:t xml:space="preserve">הוא ירד ב-2.4 אחוזים </w:t>
      </w:r>
      <w:r w:rsidR="005C6393" w:rsidRPr="00D205C1">
        <w:rPr>
          <w:rFonts w:cs="David" w:hint="cs"/>
          <w:sz w:val="24"/>
          <w:szCs w:val="24"/>
          <w:rtl/>
        </w:rPr>
        <w:t>ו</w:t>
      </w:r>
      <w:r w:rsidR="00AB5F8C" w:rsidRPr="00D205C1">
        <w:rPr>
          <w:rFonts w:cs="David" w:hint="cs"/>
          <w:sz w:val="24"/>
          <w:szCs w:val="24"/>
          <w:rtl/>
        </w:rPr>
        <w:t xml:space="preserve">בענפי התעשייה (ללא ענפי </w:t>
      </w:r>
      <w:r w:rsidR="0069007A" w:rsidRPr="00D205C1">
        <w:rPr>
          <w:rFonts w:cs="David" w:hint="cs"/>
          <w:sz w:val="24"/>
          <w:szCs w:val="24"/>
          <w:rtl/>
        </w:rPr>
        <w:t xml:space="preserve">האלקטרוניקה) </w:t>
      </w:r>
      <w:r w:rsidR="00A07FF3" w:rsidRPr="00D205C1">
        <w:rPr>
          <w:rFonts w:cs="David" w:hint="cs"/>
          <w:sz w:val="24"/>
          <w:szCs w:val="24"/>
          <w:rtl/>
        </w:rPr>
        <w:t>ב</w:t>
      </w:r>
      <w:r w:rsidR="0069007A" w:rsidRPr="00D205C1">
        <w:rPr>
          <w:rFonts w:cs="David" w:hint="cs"/>
          <w:sz w:val="24"/>
          <w:szCs w:val="24"/>
          <w:rtl/>
        </w:rPr>
        <w:t xml:space="preserve">-2.2 אחוזים </w:t>
      </w:r>
      <w:r w:rsidR="00F54261" w:rsidRPr="00D205C1">
        <w:rPr>
          <w:rFonts w:cs="David" w:hint="cs"/>
          <w:sz w:val="24"/>
          <w:szCs w:val="24"/>
          <w:rtl/>
        </w:rPr>
        <w:t>בלבד</w:t>
      </w:r>
      <w:r w:rsidR="00FB6D90" w:rsidRPr="00D205C1">
        <w:rPr>
          <w:rFonts w:cs="David" w:hint="cs"/>
          <w:sz w:val="24"/>
          <w:szCs w:val="24"/>
          <w:rtl/>
        </w:rPr>
        <w:t xml:space="preserve">. </w:t>
      </w:r>
    </w:p>
    <w:p w:rsidR="008D796E" w:rsidRPr="00D205C1" w:rsidRDefault="008D796E" w:rsidP="003C0050">
      <w:pPr>
        <w:spacing w:after="0" w:line="240" w:lineRule="auto"/>
        <w:ind w:left="-624"/>
        <w:jc w:val="both"/>
        <w:rPr>
          <w:rFonts w:cs="David"/>
          <w:sz w:val="24"/>
          <w:szCs w:val="24"/>
          <w:rtl/>
        </w:rPr>
      </w:pPr>
    </w:p>
    <w:p w:rsidR="00506FB6" w:rsidRPr="00D205C1" w:rsidRDefault="00506FB6" w:rsidP="003C0050">
      <w:pPr>
        <w:spacing w:after="0" w:line="240" w:lineRule="auto"/>
        <w:ind w:left="-624"/>
        <w:jc w:val="both"/>
        <w:rPr>
          <w:rFonts w:cs="David"/>
          <w:sz w:val="24"/>
          <w:szCs w:val="24"/>
          <w:rtl/>
        </w:rPr>
      </w:pPr>
    </w:p>
    <w:p w:rsidR="00506FB6" w:rsidRPr="00D205C1" w:rsidRDefault="00506FB6" w:rsidP="003C0050">
      <w:pPr>
        <w:spacing w:after="0" w:line="240" w:lineRule="auto"/>
        <w:ind w:left="-624"/>
        <w:jc w:val="both"/>
        <w:rPr>
          <w:rFonts w:cs="David"/>
          <w:sz w:val="24"/>
          <w:szCs w:val="24"/>
          <w:rtl/>
        </w:rPr>
      </w:pPr>
    </w:p>
    <w:p w:rsidR="00506FB6" w:rsidRPr="00D205C1" w:rsidRDefault="00506FB6" w:rsidP="003C0050">
      <w:pPr>
        <w:spacing w:after="0" w:line="240" w:lineRule="auto"/>
        <w:ind w:left="-624"/>
        <w:jc w:val="both"/>
        <w:rPr>
          <w:rFonts w:cs="David"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722A28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p w:rsidR="00280A5D" w:rsidRDefault="00AF6DFD" w:rsidP="00722A28">
      <w:pPr>
        <w:spacing w:after="0" w:line="360" w:lineRule="auto"/>
        <w:ind w:left="-58" w:right="-142"/>
        <w:jc w:val="center"/>
        <w:rPr>
          <w:rFonts w:cs="David"/>
          <w:b/>
          <w:bCs/>
          <w:sz w:val="24"/>
          <w:szCs w:val="24"/>
          <w:rtl/>
        </w:rPr>
      </w:pPr>
      <w:r w:rsidRPr="00D205C1">
        <w:rPr>
          <w:rFonts w:cs="David" w:hint="cs"/>
          <w:b/>
          <w:bCs/>
          <w:sz w:val="24"/>
          <w:szCs w:val="24"/>
          <w:rtl/>
        </w:rPr>
        <w:lastRenderedPageBreak/>
        <w:t xml:space="preserve">איור 1: </w:t>
      </w:r>
      <w:r w:rsidR="00FF531F" w:rsidRPr="00D205C1">
        <w:rPr>
          <w:rFonts w:cs="David" w:hint="cs"/>
          <w:b/>
          <w:bCs/>
          <w:sz w:val="24"/>
          <w:szCs w:val="24"/>
          <w:rtl/>
        </w:rPr>
        <w:t>מסיימי תואר ראשון במתמטיקה מדעי הטבע הנדסה ואדריכלות, ומחשבים</w:t>
      </w:r>
      <w:r w:rsidR="00FF531F" w:rsidRPr="00D205C1">
        <w:rPr>
          <w:rFonts w:cs="David"/>
          <w:b/>
          <w:bCs/>
          <w:sz w:val="24"/>
          <w:szCs w:val="24"/>
          <w:rtl/>
        </w:rPr>
        <w:t xml:space="preserve"> כאחוז מהאוכלוסייה בגילאי 25 </w:t>
      </w:r>
      <w:r w:rsidR="00722A28">
        <w:rPr>
          <w:rFonts w:cs="David"/>
          <w:b/>
          <w:bCs/>
          <w:sz w:val="24"/>
          <w:szCs w:val="24"/>
          <w:rtl/>
        </w:rPr>
        <w:t>–</w:t>
      </w:r>
      <w:r w:rsidR="00FF531F" w:rsidRPr="00D205C1">
        <w:rPr>
          <w:rFonts w:cs="David"/>
          <w:b/>
          <w:bCs/>
          <w:sz w:val="24"/>
          <w:szCs w:val="24"/>
          <w:rtl/>
        </w:rPr>
        <w:t xml:space="preserve"> 34</w:t>
      </w:r>
    </w:p>
    <w:p w:rsidR="00722A28" w:rsidRPr="00D205C1" w:rsidRDefault="00722A28" w:rsidP="00722A28">
      <w:pPr>
        <w:spacing w:after="0" w:line="240" w:lineRule="auto"/>
        <w:ind w:left="-58" w:right="-142"/>
        <w:jc w:val="center"/>
        <w:rPr>
          <w:rFonts w:cs="David"/>
          <w:b/>
          <w:bCs/>
          <w:sz w:val="24"/>
          <w:szCs w:val="24"/>
          <w:rtl/>
        </w:rPr>
      </w:pPr>
    </w:p>
    <w:p w:rsidR="00F64047" w:rsidRDefault="00FF531F" w:rsidP="003C0050">
      <w:pPr>
        <w:spacing w:after="0" w:line="240" w:lineRule="auto"/>
        <w:jc w:val="center"/>
        <w:rPr>
          <w:rtl/>
        </w:rPr>
      </w:pPr>
      <w:r>
        <w:object w:dxaOrig="6886" w:dyaOrig="4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37pt" o:ole="" o:bordertopcolor="this" o:borderleftcolor="this" o:borderbottomcolor="this" o:borderrightcolor="this">
            <v:imagedata r:id="rId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MSGraph.Chart.8" ShapeID="_x0000_i1025" DrawAspect="Content" ObjectID="_1439123169" r:id="rId10">
            <o:FieldCodes>\s</o:FieldCodes>
          </o:OLEObject>
        </w:object>
      </w:r>
    </w:p>
    <w:p w:rsidR="008D796E" w:rsidRPr="00D205C1" w:rsidRDefault="008D796E" w:rsidP="003C0050">
      <w:pPr>
        <w:spacing w:after="0" w:line="240" w:lineRule="auto"/>
        <w:ind w:left="651" w:right="709"/>
        <w:jc w:val="both"/>
        <w:rPr>
          <w:rFonts w:cs="David"/>
          <w:sz w:val="18"/>
          <w:szCs w:val="18"/>
          <w:rtl/>
        </w:rPr>
      </w:pPr>
      <w:r w:rsidRPr="00D205C1">
        <w:rPr>
          <w:rFonts w:cs="David" w:hint="cs"/>
          <w:sz w:val="18"/>
          <w:szCs w:val="18"/>
          <w:rtl/>
        </w:rPr>
        <w:t>* לא כולל מסיימי תואר בהנדסת מחשבים והנדסת חשמל ואלקטרוניקה במכללות האקדמיות. המקור: פרסומי הלשכה המרכזית לסטטיסטיקה בנושא השכלה גבוהה</w:t>
      </w:r>
    </w:p>
    <w:p w:rsidR="00280A5D" w:rsidRDefault="00280A5D" w:rsidP="003C0050">
      <w:pPr>
        <w:spacing w:after="0"/>
        <w:rPr>
          <w:sz w:val="24"/>
          <w:szCs w:val="24"/>
          <w:rtl/>
        </w:rPr>
      </w:pPr>
    </w:p>
    <w:p w:rsidR="00506FB6" w:rsidRDefault="00506FB6" w:rsidP="003C0050">
      <w:pPr>
        <w:spacing w:after="0" w:line="324" w:lineRule="auto"/>
        <w:jc w:val="both"/>
        <w:rPr>
          <w:rtl/>
        </w:rPr>
      </w:pPr>
    </w:p>
    <w:p w:rsidR="00506FB6" w:rsidRDefault="00506FB6" w:rsidP="003C0050">
      <w:pPr>
        <w:spacing w:after="0" w:line="240" w:lineRule="auto"/>
        <w:ind w:left="-766" w:right="-851" w:hanging="142"/>
        <w:jc w:val="center"/>
        <w:rPr>
          <w:rtl/>
        </w:rPr>
      </w:pPr>
    </w:p>
    <w:p w:rsidR="00506FB6" w:rsidRPr="00D205C1" w:rsidRDefault="00506FB6" w:rsidP="00722A28">
      <w:pPr>
        <w:spacing w:after="0" w:line="36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  <w:r w:rsidRPr="00D205C1">
        <w:rPr>
          <w:rFonts w:cs="David" w:hint="cs"/>
          <w:b/>
          <w:bCs/>
          <w:sz w:val="24"/>
          <w:szCs w:val="24"/>
          <w:rtl/>
        </w:rPr>
        <w:t>לוח 1: התפלגות התעסוקה של מהנדסי מחשבים ואלקטרוניקה והנדסאי מחשב ומתכנתים בענפי המשק, 2011</w:t>
      </w:r>
    </w:p>
    <w:p w:rsidR="00506FB6" w:rsidRPr="00722A28" w:rsidRDefault="00506FB6" w:rsidP="00722A28">
      <w:pPr>
        <w:spacing w:after="0" w:line="360" w:lineRule="auto"/>
        <w:ind w:left="652" w:right="709"/>
        <w:jc w:val="center"/>
        <w:rPr>
          <w:rFonts w:cs="David"/>
          <w:rtl/>
        </w:rPr>
      </w:pPr>
      <w:r w:rsidRPr="00722A28">
        <w:rPr>
          <w:rFonts w:cs="David" w:hint="cs"/>
          <w:rtl/>
        </w:rPr>
        <w:t>(שנת 2011, אחוזים, בסוגריים מוצגים סה"כ המועסקים במשק בכל משלח יד)</w:t>
      </w:r>
    </w:p>
    <w:p w:rsidR="00722A28" w:rsidRPr="00D205C1" w:rsidRDefault="00722A28" w:rsidP="003C0050">
      <w:pPr>
        <w:spacing w:after="0" w:line="240" w:lineRule="auto"/>
        <w:ind w:left="652" w:right="709"/>
        <w:jc w:val="center"/>
        <w:rPr>
          <w:rFonts w:cs="David"/>
          <w:b/>
          <w:bCs/>
          <w:sz w:val="24"/>
          <w:szCs w:val="24"/>
          <w:rtl/>
        </w:rPr>
      </w:pPr>
    </w:p>
    <w:tbl>
      <w:tblPr>
        <w:bidiVisual/>
        <w:tblW w:w="10937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588"/>
        <w:gridCol w:w="1588"/>
        <w:gridCol w:w="1297"/>
        <w:gridCol w:w="1644"/>
      </w:tblGrid>
      <w:tr w:rsidR="00262A66" w:rsidRPr="00D205C1" w:rsidTr="00262A66">
        <w:tc>
          <w:tcPr>
            <w:tcW w:w="3402" w:type="dxa"/>
          </w:tcPr>
          <w:p w:rsidR="00506FB6" w:rsidRPr="00D205C1" w:rsidRDefault="00506FB6" w:rsidP="003C0050">
            <w:pPr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06FB6" w:rsidRPr="00262A66" w:rsidRDefault="00506FB6" w:rsidP="003C0050">
            <w:pPr>
              <w:spacing w:before="120" w:after="0"/>
              <w:jc w:val="center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משלחי יד מרכזיים בענפי טכנולוגיית המידע*</w:t>
            </w:r>
          </w:p>
        </w:tc>
        <w:tc>
          <w:tcPr>
            <w:tcW w:w="1588" w:type="dxa"/>
          </w:tcPr>
          <w:p w:rsidR="00506FB6" w:rsidRPr="00262A66" w:rsidRDefault="00506FB6" w:rsidP="003C0050">
            <w:pPr>
              <w:spacing w:before="120" w:after="0"/>
              <w:jc w:val="center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מנתחי מערכות ובעלי משלח יד אקדמי במדעי המחשב</w:t>
            </w:r>
          </w:p>
        </w:tc>
        <w:tc>
          <w:tcPr>
            <w:tcW w:w="1588" w:type="dxa"/>
          </w:tcPr>
          <w:p w:rsidR="00506FB6" w:rsidRPr="00262A66" w:rsidRDefault="00506FB6" w:rsidP="003C0050">
            <w:pPr>
              <w:spacing w:before="360" w:after="0"/>
              <w:jc w:val="center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מהנדסי חשמל ואלקטרוניקה</w:t>
            </w:r>
          </w:p>
        </w:tc>
        <w:tc>
          <w:tcPr>
            <w:tcW w:w="1297" w:type="dxa"/>
          </w:tcPr>
          <w:p w:rsidR="00506FB6" w:rsidRPr="00262A66" w:rsidRDefault="00506FB6" w:rsidP="003C0050">
            <w:pPr>
              <w:spacing w:before="480" w:after="0"/>
              <w:jc w:val="center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מהנדסי מחשבים</w:t>
            </w:r>
          </w:p>
        </w:tc>
        <w:tc>
          <w:tcPr>
            <w:tcW w:w="1644" w:type="dxa"/>
          </w:tcPr>
          <w:p w:rsidR="00506FB6" w:rsidRPr="00262A66" w:rsidRDefault="00506FB6" w:rsidP="003C0050">
            <w:pPr>
              <w:spacing w:before="120" w:after="0"/>
              <w:jc w:val="center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הנדסאי מחשב, טכנאי מחשב, ומתכנתים</w:t>
            </w:r>
          </w:p>
        </w:tc>
      </w:tr>
      <w:tr w:rsidR="00262A66" w:rsidRPr="00D205C1" w:rsidTr="00262A66">
        <w:tc>
          <w:tcPr>
            <w:tcW w:w="3402" w:type="dxa"/>
          </w:tcPr>
          <w:p w:rsidR="00506FB6" w:rsidRPr="00262A66" w:rsidRDefault="00506FB6" w:rsidP="003C0050">
            <w:pPr>
              <w:spacing w:before="240" w:after="0" w:line="240" w:lineRule="auto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כלל המשק</w:t>
            </w:r>
          </w:p>
        </w:tc>
        <w:tc>
          <w:tcPr>
            <w:tcW w:w="1418" w:type="dxa"/>
            <w:vAlign w:val="bottom"/>
          </w:tcPr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(143,700)</w:t>
            </w:r>
          </w:p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(24,500)</w:t>
            </w:r>
          </w:p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(21,700)</w:t>
            </w:r>
          </w:p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297" w:type="dxa"/>
            <w:vAlign w:val="bottom"/>
          </w:tcPr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(19,000)</w:t>
            </w:r>
          </w:p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644" w:type="dxa"/>
            <w:vAlign w:val="bottom"/>
          </w:tcPr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(78,400)</w:t>
            </w:r>
          </w:p>
          <w:p w:rsidR="00506FB6" w:rsidRPr="00D205C1" w:rsidRDefault="00506FB6" w:rsidP="00722A28">
            <w:pPr>
              <w:spacing w:before="6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  <w:tr w:rsidR="00262A66" w:rsidRPr="00D205C1" w:rsidTr="00262A66">
        <w:tc>
          <w:tcPr>
            <w:tcW w:w="3402" w:type="dxa"/>
          </w:tcPr>
          <w:p w:rsidR="00506FB6" w:rsidRPr="00262A66" w:rsidRDefault="00506FB6" w:rsidP="00EE4B55">
            <w:pPr>
              <w:spacing w:before="60" w:after="0" w:line="240" w:lineRule="auto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מועסקים בתעשיית טכנולוגיה המידע</w:t>
            </w:r>
            <w:r w:rsidR="00EE4B55" w:rsidRPr="00262A66">
              <w:rPr>
                <w:rFonts w:cs="David" w:hint="cs"/>
                <w:b/>
                <w:bCs/>
                <w:rtl/>
              </w:rPr>
              <w:t>,</w:t>
            </w:r>
            <w:r w:rsidRPr="00262A66">
              <w:rPr>
                <w:rFonts w:cs="David" w:hint="cs"/>
                <w:b/>
                <w:bCs/>
                <w:rtl/>
              </w:rPr>
              <w:t xml:space="preserve">  ושירותי מחשב </w:t>
            </w:r>
            <w:r w:rsidR="00EE4B55" w:rsidRPr="00262A66">
              <w:rPr>
                <w:rFonts w:cs="David" w:hint="cs"/>
                <w:b/>
                <w:bCs/>
                <w:rtl/>
              </w:rPr>
              <w:t>ו</w:t>
            </w:r>
            <w:r w:rsidRPr="00262A66">
              <w:rPr>
                <w:rFonts w:cs="David" w:hint="cs"/>
                <w:b/>
                <w:bCs/>
                <w:rtl/>
              </w:rPr>
              <w:t>מחקר ופיתוח</w:t>
            </w:r>
          </w:p>
        </w:tc>
        <w:tc>
          <w:tcPr>
            <w:tcW w:w="1418" w:type="dxa"/>
            <w:vAlign w:val="bottom"/>
          </w:tcPr>
          <w:p w:rsidR="00506FB6" w:rsidRPr="00D205C1" w:rsidRDefault="00506FB6" w:rsidP="00722A28">
            <w:pPr>
              <w:spacing w:before="18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64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8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66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8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57</w:t>
            </w:r>
          </w:p>
        </w:tc>
        <w:tc>
          <w:tcPr>
            <w:tcW w:w="1297" w:type="dxa"/>
            <w:vAlign w:val="bottom"/>
          </w:tcPr>
          <w:p w:rsidR="00506FB6" w:rsidRPr="00D205C1" w:rsidRDefault="00506FB6" w:rsidP="00722A28">
            <w:pPr>
              <w:spacing w:before="18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79</w:t>
            </w:r>
          </w:p>
        </w:tc>
        <w:tc>
          <w:tcPr>
            <w:tcW w:w="1644" w:type="dxa"/>
            <w:vAlign w:val="bottom"/>
          </w:tcPr>
          <w:p w:rsidR="00506FB6" w:rsidRPr="00D205C1" w:rsidRDefault="00506FB6" w:rsidP="00722A28">
            <w:pPr>
              <w:spacing w:before="18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61</w:t>
            </w:r>
          </w:p>
        </w:tc>
      </w:tr>
      <w:tr w:rsidR="00262A66" w:rsidRPr="00D205C1" w:rsidTr="00262A66">
        <w:tc>
          <w:tcPr>
            <w:tcW w:w="3402" w:type="dxa"/>
          </w:tcPr>
          <w:p w:rsidR="00506FB6" w:rsidRPr="00262A66" w:rsidRDefault="00506FB6" w:rsidP="00262A66">
            <w:pPr>
              <w:tabs>
                <w:tab w:val="left" w:pos="397"/>
              </w:tabs>
              <w:spacing w:before="120" w:after="0" w:line="240" w:lineRule="auto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ab/>
              <w:t xml:space="preserve">תעשיית </w:t>
            </w:r>
            <w:r w:rsidR="00262A66" w:rsidRPr="00262A66">
              <w:rPr>
                <w:rFonts w:cs="David" w:hint="cs"/>
                <w:b/>
                <w:bCs/>
                <w:rtl/>
              </w:rPr>
              <w:t>האלקטרוניקה</w:t>
            </w:r>
          </w:p>
        </w:tc>
        <w:tc>
          <w:tcPr>
            <w:tcW w:w="141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1297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644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262A66" w:rsidRPr="00D205C1" w:rsidTr="00262A66">
        <w:tc>
          <w:tcPr>
            <w:tcW w:w="3402" w:type="dxa"/>
          </w:tcPr>
          <w:p w:rsidR="00506FB6" w:rsidRPr="00262A66" w:rsidRDefault="00506FB6" w:rsidP="00262A66">
            <w:pPr>
              <w:tabs>
                <w:tab w:val="left" w:pos="397"/>
              </w:tabs>
              <w:spacing w:before="120" w:after="0" w:line="240" w:lineRule="auto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ab/>
              <w:t>שירותי מחשוב, מחקר ופיתוח</w:t>
            </w:r>
          </w:p>
        </w:tc>
        <w:tc>
          <w:tcPr>
            <w:tcW w:w="141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52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63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1297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64</w:t>
            </w:r>
          </w:p>
        </w:tc>
        <w:tc>
          <w:tcPr>
            <w:tcW w:w="1644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57</w:t>
            </w:r>
          </w:p>
        </w:tc>
      </w:tr>
      <w:tr w:rsidR="00262A66" w:rsidRPr="00D205C1" w:rsidTr="00262A66">
        <w:tc>
          <w:tcPr>
            <w:tcW w:w="3402" w:type="dxa"/>
          </w:tcPr>
          <w:p w:rsidR="00506FB6" w:rsidRPr="00262A66" w:rsidRDefault="00506FB6" w:rsidP="003C0050">
            <w:pPr>
              <w:spacing w:before="120" w:after="0" w:line="240" w:lineRule="auto"/>
              <w:rPr>
                <w:rFonts w:cs="David"/>
                <w:b/>
                <w:bCs/>
                <w:rtl/>
              </w:rPr>
            </w:pPr>
            <w:r w:rsidRPr="00262A66">
              <w:rPr>
                <w:rFonts w:cs="David" w:hint="cs"/>
                <w:b/>
                <w:bCs/>
                <w:rtl/>
              </w:rPr>
              <w:t>מועסקים בתעשיות אחרות</w:t>
            </w:r>
          </w:p>
        </w:tc>
        <w:tc>
          <w:tcPr>
            <w:tcW w:w="141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34</w:t>
            </w:r>
          </w:p>
        </w:tc>
        <w:tc>
          <w:tcPr>
            <w:tcW w:w="1588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43</w:t>
            </w:r>
          </w:p>
        </w:tc>
        <w:tc>
          <w:tcPr>
            <w:tcW w:w="1297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1644" w:type="dxa"/>
            <w:vAlign w:val="bottom"/>
          </w:tcPr>
          <w:p w:rsidR="00506FB6" w:rsidRPr="00D205C1" w:rsidRDefault="00506FB6" w:rsidP="00722A28">
            <w:pPr>
              <w:spacing w:before="120"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205C1">
              <w:rPr>
                <w:rFonts w:cs="David" w:hint="cs"/>
                <w:sz w:val="24"/>
                <w:szCs w:val="24"/>
                <w:rtl/>
              </w:rPr>
              <w:t>39</w:t>
            </w:r>
          </w:p>
        </w:tc>
      </w:tr>
    </w:tbl>
    <w:p w:rsidR="00506FB6" w:rsidRPr="00D205C1" w:rsidRDefault="00506FB6" w:rsidP="003C0050">
      <w:pPr>
        <w:spacing w:after="0" w:line="240" w:lineRule="auto"/>
        <w:ind w:left="-624"/>
        <w:jc w:val="both"/>
        <w:rPr>
          <w:rFonts w:cs="David"/>
          <w:sz w:val="18"/>
          <w:szCs w:val="18"/>
          <w:rtl/>
        </w:rPr>
      </w:pPr>
      <w:r w:rsidRPr="00D205C1">
        <w:rPr>
          <w:rFonts w:cs="David" w:hint="cs"/>
          <w:sz w:val="18"/>
          <w:szCs w:val="18"/>
          <w:rtl/>
        </w:rPr>
        <w:t>* כולל: מנתחי מערכות ובעלי משלח יד אקדמי במדעי המחשב, מהנדסי חשמל ואלקטרוניקה, מהנדסי מחשבים, והנדסאי מחשב, טכנאי מחשב ומתכנתים. המקור: עיבודי המחבר לסקרי כוח אדם, הלשכה המרכזית לסטטיסטיקה.</w:t>
      </w:r>
    </w:p>
    <w:p w:rsidR="00506FB6" w:rsidRPr="009F2A36" w:rsidRDefault="00506FB6" w:rsidP="003C0050">
      <w:pPr>
        <w:spacing w:after="0"/>
        <w:rPr>
          <w:sz w:val="24"/>
          <w:szCs w:val="24"/>
          <w:rtl/>
        </w:rPr>
      </w:pPr>
    </w:p>
    <w:sectPr w:rsidR="00506FB6" w:rsidRPr="009F2A36" w:rsidSect="00A31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E2" w:rsidRDefault="009F0DE2" w:rsidP="003431FA">
      <w:pPr>
        <w:spacing w:after="0" w:line="240" w:lineRule="auto"/>
      </w:pPr>
      <w:r>
        <w:separator/>
      </w:r>
    </w:p>
  </w:endnote>
  <w:endnote w:type="continuationSeparator" w:id="0">
    <w:p w:rsidR="009F0DE2" w:rsidRDefault="009F0DE2" w:rsidP="0034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32" w:rsidRDefault="00560B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126210988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2A28" w:rsidRPr="00722A28" w:rsidRDefault="00722A28">
            <w:pPr>
              <w:pStyle w:val="a8"/>
              <w:jc w:val="right"/>
              <w:rPr>
                <w:rFonts w:cs="David"/>
                <w:sz w:val="18"/>
                <w:szCs w:val="18"/>
                <w:rtl/>
                <w:cs/>
              </w:rPr>
            </w:pPr>
            <w:r w:rsidRPr="00722A28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722A28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FD0F53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722A28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722A28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FD0F53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3</w:t>
            </w:r>
            <w:r w:rsidRPr="00722A28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431FA" w:rsidRDefault="003431F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32" w:rsidRDefault="00560B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E2" w:rsidRDefault="009F0DE2" w:rsidP="003431FA">
      <w:pPr>
        <w:spacing w:after="0" w:line="240" w:lineRule="auto"/>
      </w:pPr>
      <w:r>
        <w:separator/>
      </w:r>
    </w:p>
  </w:footnote>
  <w:footnote w:type="continuationSeparator" w:id="0">
    <w:p w:rsidR="009F0DE2" w:rsidRDefault="009F0DE2" w:rsidP="0034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32" w:rsidRDefault="00560B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32" w:rsidRDefault="00560B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32" w:rsidRDefault="00560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D8E"/>
    <w:multiLevelType w:val="hybridMultilevel"/>
    <w:tmpl w:val="3EFCC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87752"/>
    <w:multiLevelType w:val="hybridMultilevel"/>
    <w:tmpl w:val="AA0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4D"/>
    <w:rsid w:val="00032A78"/>
    <w:rsid w:val="00060592"/>
    <w:rsid w:val="000623F4"/>
    <w:rsid w:val="000A7078"/>
    <w:rsid w:val="000D09BC"/>
    <w:rsid w:val="000E45A4"/>
    <w:rsid w:val="000F2580"/>
    <w:rsid w:val="001460A1"/>
    <w:rsid w:val="00183F95"/>
    <w:rsid w:val="001E44C0"/>
    <w:rsid w:val="00262A66"/>
    <w:rsid w:val="00280A5D"/>
    <w:rsid w:val="00282509"/>
    <w:rsid w:val="00284DEB"/>
    <w:rsid w:val="002C3DCF"/>
    <w:rsid w:val="002D3EF3"/>
    <w:rsid w:val="00321BB8"/>
    <w:rsid w:val="003431FA"/>
    <w:rsid w:val="00357FBE"/>
    <w:rsid w:val="00360E72"/>
    <w:rsid w:val="00370170"/>
    <w:rsid w:val="003C0050"/>
    <w:rsid w:val="003D15FE"/>
    <w:rsid w:val="00417585"/>
    <w:rsid w:val="004B423D"/>
    <w:rsid w:val="004E5BEE"/>
    <w:rsid w:val="00506FB6"/>
    <w:rsid w:val="005100C8"/>
    <w:rsid w:val="00527DB8"/>
    <w:rsid w:val="00560B32"/>
    <w:rsid w:val="005729FD"/>
    <w:rsid w:val="00584EB8"/>
    <w:rsid w:val="00590DBA"/>
    <w:rsid w:val="005C5A67"/>
    <w:rsid w:val="005C6393"/>
    <w:rsid w:val="005E0B16"/>
    <w:rsid w:val="006163BF"/>
    <w:rsid w:val="0062181F"/>
    <w:rsid w:val="006312A4"/>
    <w:rsid w:val="0069007A"/>
    <w:rsid w:val="006937E2"/>
    <w:rsid w:val="006F73B8"/>
    <w:rsid w:val="00722A28"/>
    <w:rsid w:val="00724539"/>
    <w:rsid w:val="00743065"/>
    <w:rsid w:val="007452CF"/>
    <w:rsid w:val="00746FA9"/>
    <w:rsid w:val="00780AA2"/>
    <w:rsid w:val="00781400"/>
    <w:rsid w:val="00787775"/>
    <w:rsid w:val="007C223A"/>
    <w:rsid w:val="00827DD2"/>
    <w:rsid w:val="008566A5"/>
    <w:rsid w:val="008C41F4"/>
    <w:rsid w:val="008D796E"/>
    <w:rsid w:val="00937A4D"/>
    <w:rsid w:val="0099594C"/>
    <w:rsid w:val="009B33C0"/>
    <w:rsid w:val="009B39BA"/>
    <w:rsid w:val="009C66F1"/>
    <w:rsid w:val="009E620B"/>
    <w:rsid w:val="009F0DE2"/>
    <w:rsid w:val="009F2A36"/>
    <w:rsid w:val="009F4F6A"/>
    <w:rsid w:val="00A03E0B"/>
    <w:rsid w:val="00A07FF3"/>
    <w:rsid w:val="00A31D06"/>
    <w:rsid w:val="00A35C7F"/>
    <w:rsid w:val="00A80A82"/>
    <w:rsid w:val="00A8349E"/>
    <w:rsid w:val="00AB5F8C"/>
    <w:rsid w:val="00AF6DFD"/>
    <w:rsid w:val="00B07BB3"/>
    <w:rsid w:val="00B07FBB"/>
    <w:rsid w:val="00B14E7E"/>
    <w:rsid w:val="00B53220"/>
    <w:rsid w:val="00B83C82"/>
    <w:rsid w:val="00BA74CB"/>
    <w:rsid w:val="00BD52AF"/>
    <w:rsid w:val="00C030E4"/>
    <w:rsid w:val="00C03696"/>
    <w:rsid w:val="00C25C3D"/>
    <w:rsid w:val="00C439F0"/>
    <w:rsid w:val="00C51469"/>
    <w:rsid w:val="00C7697D"/>
    <w:rsid w:val="00CB220E"/>
    <w:rsid w:val="00CB48C8"/>
    <w:rsid w:val="00CE6044"/>
    <w:rsid w:val="00CF343F"/>
    <w:rsid w:val="00D10E67"/>
    <w:rsid w:val="00D201C1"/>
    <w:rsid w:val="00D205C1"/>
    <w:rsid w:val="00D37B77"/>
    <w:rsid w:val="00D452AE"/>
    <w:rsid w:val="00D52E16"/>
    <w:rsid w:val="00D72A5B"/>
    <w:rsid w:val="00E21DE3"/>
    <w:rsid w:val="00E30E9B"/>
    <w:rsid w:val="00E9657F"/>
    <w:rsid w:val="00EB2801"/>
    <w:rsid w:val="00EE4B55"/>
    <w:rsid w:val="00F0198B"/>
    <w:rsid w:val="00F248F9"/>
    <w:rsid w:val="00F54261"/>
    <w:rsid w:val="00F64047"/>
    <w:rsid w:val="00F646B2"/>
    <w:rsid w:val="00F65DBB"/>
    <w:rsid w:val="00FB6846"/>
    <w:rsid w:val="00FB6D90"/>
    <w:rsid w:val="00FD0F53"/>
    <w:rsid w:val="00FE00B9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4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D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3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431FA"/>
  </w:style>
  <w:style w:type="paragraph" w:styleId="a8">
    <w:name w:val="footer"/>
    <w:basedOn w:val="a"/>
    <w:link w:val="a9"/>
    <w:uiPriority w:val="99"/>
    <w:unhideWhenUsed/>
    <w:rsid w:val="00343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4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4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D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3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431FA"/>
  </w:style>
  <w:style w:type="paragraph" w:styleId="a8">
    <w:name w:val="footer"/>
    <w:basedOn w:val="a"/>
    <w:link w:val="a9"/>
    <w:uiPriority w:val="99"/>
    <w:unhideWhenUsed/>
    <w:rsid w:val="00343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F3DA2B-B072-44C5-8B27-CB9F22A79C8F}"/>
</file>

<file path=customXml/itemProps2.xml><?xml version="1.0" encoding="utf-8"?>
<ds:datastoreItem xmlns:ds="http://schemas.openxmlformats.org/officeDocument/2006/customXml" ds:itemID="{5FD5B5E4-758E-40F7-9117-079473E1E617}"/>
</file>

<file path=customXml/itemProps3.xml><?xml version="1.0" encoding="utf-8"?>
<ds:datastoreItem xmlns:ds="http://schemas.openxmlformats.org/officeDocument/2006/customXml" ds:itemID="{6E49BD8F-6275-4575-938A-DCC32D9CA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2013-08-27T06:55:00Z</dcterms:created>
  <dcterms:modified xsi:type="dcterms:W3CDTF">2013-08-27T12:40:00Z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