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D03E9D" w:rsidRPr="006702C1" w:rsidTr="000B2663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9D" w:rsidRPr="006702C1" w:rsidRDefault="00D03E9D" w:rsidP="000B266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D03E9D" w:rsidRPr="006702C1" w:rsidRDefault="00D03E9D" w:rsidP="000B2663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03E9D" w:rsidRPr="006702C1" w:rsidRDefault="00D03E9D" w:rsidP="000B2663">
            <w:pPr>
              <w:jc w:val="center"/>
              <w:rPr>
                <w:sz w:val="24"/>
                <w:szCs w:val="24"/>
              </w:rPr>
            </w:pPr>
            <w:r w:rsidRPr="00B73AB5">
              <w:rPr>
                <w:rFonts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76A29909" wp14:editId="56D5F789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E9D" w:rsidRDefault="00D03E9D" w:rsidP="000B2663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6702C1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6702C1">
              <w:rPr>
                <w:rFonts w:cs="David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/>
                <w:sz w:val="24"/>
                <w:szCs w:val="24"/>
                <w:rtl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 MMMM, yyyy" \h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‏י</w:t>
            </w:r>
            <w:r>
              <w:rPr>
                <w:rFonts w:cs="David"/>
                <w:noProof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ד</w:t>
            </w:r>
            <w:r>
              <w:rPr>
                <w:rFonts w:cs="David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כסלו</w:t>
            </w:r>
            <w:r>
              <w:rPr>
                <w:rFonts w:cs="David"/>
                <w:noProof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תשפ</w:t>
            </w:r>
            <w:r>
              <w:rPr>
                <w:rFonts w:cs="David"/>
                <w:noProof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א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</w:p>
          <w:p w:rsidR="00D03E9D" w:rsidRPr="006702C1" w:rsidRDefault="00D03E9D" w:rsidP="000B2663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6702C1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‏‏</w:t>
            </w:r>
            <w:r>
              <w:rPr>
                <w:rFonts w:cs="David"/>
                <w:sz w:val="24"/>
                <w:szCs w:val="24"/>
                <w:rtl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 MMMM, yyyy</w:instrText>
            </w:r>
            <w:r>
              <w:rPr>
                <w:rFonts w:cs="David" w:hint="cs"/>
                <w:sz w:val="24"/>
                <w:szCs w:val="24"/>
                <w:rtl/>
              </w:rPr>
              <w:instrText>"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‏</w:t>
            </w:r>
            <w:r>
              <w:rPr>
                <w:rFonts w:cs="David"/>
                <w:noProof/>
                <w:sz w:val="24"/>
                <w:szCs w:val="24"/>
                <w:rtl/>
              </w:rPr>
              <w:t xml:space="preserve">30 </w:t>
            </w:r>
            <w:r>
              <w:rPr>
                <w:rFonts w:cs="David" w:hint="cs"/>
                <w:noProof/>
                <w:sz w:val="24"/>
                <w:szCs w:val="24"/>
                <w:rtl/>
              </w:rPr>
              <w:t>נובמבר</w:t>
            </w:r>
            <w:r>
              <w:rPr>
                <w:rFonts w:cs="David"/>
                <w:noProof/>
                <w:sz w:val="24"/>
                <w:szCs w:val="24"/>
                <w:rtl/>
              </w:rPr>
              <w:t>, 2020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</w:tbl>
    <w:p w:rsidR="00387A00" w:rsidRPr="00D03E9D" w:rsidRDefault="00387A00" w:rsidP="00D03E9D">
      <w:pPr>
        <w:tabs>
          <w:tab w:val="left" w:pos="2315"/>
        </w:tabs>
        <w:spacing w:line="360" w:lineRule="auto"/>
        <w:jc w:val="center"/>
        <w:rPr>
          <w:rFonts w:cs="David"/>
          <w:b/>
          <w:bCs/>
          <w:sz w:val="28"/>
          <w:szCs w:val="28"/>
          <w:u w:val="single"/>
        </w:rPr>
      </w:pPr>
      <w:bookmarkStart w:id="0" w:name="_GoBack"/>
      <w:r w:rsidRPr="00D03E9D">
        <w:rPr>
          <w:rFonts w:cs="David" w:hint="cs"/>
          <w:b/>
          <w:bCs/>
          <w:sz w:val="28"/>
          <w:szCs w:val="28"/>
          <w:u w:val="single"/>
          <w:rtl/>
        </w:rPr>
        <w:t>שאלות ותשובות- מתווה לדחיית תשלומי הלוואות ללקוחות חברות כרטיסי האשראי</w:t>
      </w:r>
    </w:p>
    <w:bookmarkEnd w:id="0"/>
    <w:p w:rsidR="00387A00" w:rsidRDefault="00387A00" w:rsidP="00387A00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A23DF">
        <w:rPr>
          <w:rFonts w:ascii="David" w:hAnsi="David" w:cs="David"/>
          <w:b/>
          <w:bCs/>
          <w:sz w:val="24"/>
          <w:szCs w:val="24"/>
          <w:rtl/>
        </w:rPr>
        <w:t>מה מאפשר המתווה ה</w:t>
      </w:r>
      <w:r>
        <w:rPr>
          <w:rFonts w:ascii="David" w:hAnsi="David" w:cs="David" w:hint="cs"/>
          <w:b/>
          <w:bCs/>
          <w:sz w:val="24"/>
          <w:szCs w:val="24"/>
          <w:rtl/>
        </w:rPr>
        <w:t>נוכחי</w:t>
      </w:r>
      <w:r w:rsidRPr="004A23DF">
        <w:rPr>
          <w:rFonts w:ascii="David" w:hAnsi="David" w:cs="David"/>
          <w:b/>
          <w:bCs/>
          <w:sz w:val="24"/>
          <w:szCs w:val="24"/>
          <w:rtl/>
        </w:rPr>
        <w:t>?</w:t>
      </w:r>
    </w:p>
    <w:p w:rsidR="00387A00" w:rsidRPr="001C3256" w:rsidRDefault="00387A00" w:rsidP="00387A00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C3256">
        <w:rPr>
          <w:rFonts w:ascii="David" w:hAnsi="David" w:cs="David" w:hint="cs"/>
          <w:sz w:val="24"/>
          <w:szCs w:val="24"/>
          <w:rtl/>
        </w:rPr>
        <w:t xml:space="preserve">המתווה הנוסף מאפשר ללקוחות </w:t>
      </w:r>
      <w:r w:rsidRPr="001C3256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>אשר ההלוואה הצרכנית שלהם נמצאת כיום בסטטוס דחייה בהתאם למתווה הקודם, ושעומדים בתנאי המתווה הנוכחי- הכנסת משק הבית שלהם אינה עולה על 20,000 ₪ נטו, ושהכנסתם נפגעה בשיעור של 40%</w:t>
      </w:r>
      <w:r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 בהשוואה להכנסה ערב המשבר</w:t>
      </w:r>
      <w:r w:rsidRPr="001C3256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- לדחות את ההלוואה </w:t>
      </w:r>
      <w:r w:rsidRPr="001C3256">
        <w:rPr>
          <w:rFonts w:cs="David" w:hint="cs"/>
          <w:sz w:val="24"/>
          <w:szCs w:val="24"/>
          <w:rtl/>
        </w:rPr>
        <w:t>לתקופה של עד 6 חודשים במצטבר, ללא שיקול דעת החברה.</w:t>
      </w:r>
      <w:r w:rsidRPr="001C3256">
        <w:rPr>
          <w:rFonts w:ascii="David" w:hAnsi="David" w:cs="David"/>
          <w:sz w:val="24"/>
          <w:szCs w:val="24"/>
          <w:rtl/>
        </w:rPr>
        <w:t xml:space="preserve"> </w:t>
      </w:r>
    </w:p>
    <w:p w:rsidR="00387A00" w:rsidRDefault="00387A00" w:rsidP="00387A00">
      <w:pPr>
        <w:pStyle w:val="a3"/>
        <w:spacing w:line="360" w:lineRule="auto"/>
        <w:ind w:left="714" w:right="-102"/>
        <w:jc w:val="both"/>
        <w:rPr>
          <w:rFonts w:ascii="David" w:hAnsi="David" w:cs="David"/>
          <w:sz w:val="24"/>
          <w:szCs w:val="24"/>
          <w:rtl/>
        </w:rPr>
      </w:pPr>
      <w:r w:rsidRPr="001C3256">
        <w:rPr>
          <w:rFonts w:ascii="David" w:hAnsi="David" w:cs="David" w:hint="cs"/>
          <w:sz w:val="24"/>
          <w:szCs w:val="24"/>
          <w:rtl/>
        </w:rPr>
        <w:t>הדחייה ללא שיקול דעת החברה היא של רכיב הקרן בהלוואה. חברת כרטיסי האשראי רשאית לאפשר גם דחיי</w:t>
      </w:r>
      <w:r>
        <w:rPr>
          <w:rFonts w:ascii="David" w:hAnsi="David" w:cs="David" w:hint="cs"/>
          <w:sz w:val="24"/>
          <w:szCs w:val="24"/>
          <w:rtl/>
        </w:rPr>
        <w:t>ה של הריבית בנוסף לדחיית הקרן.</w:t>
      </w:r>
    </w:p>
    <w:p w:rsidR="00387A00" w:rsidRPr="001C3256" w:rsidRDefault="00387A00" w:rsidP="00387A00">
      <w:pPr>
        <w:pStyle w:val="a3"/>
        <w:spacing w:line="360" w:lineRule="auto"/>
        <w:ind w:left="714" w:right="-102"/>
        <w:jc w:val="both"/>
        <w:rPr>
          <w:rFonts w:ascii="David" w:hAnsi="David" w:cs="David"/>
          <w:sz w:val="24"/>
          <w:szCs w:val="24"/>
          <w:rtl/>
        </w:rPr>
      </w:pPr>
    </w:p>
    <w:p w:rsidR="00387A00" w:rsidRPr="00A077F6" w:rsidRDefault="00387A00" w:rsidP="00387A00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במידה ולא דחיתי את ההלוואה הצרכנית שלי, האם אני יכול לדחות אותה בהתאם למתווה הנוכחי? </w:t>
      </w:r>
    </w:p>
    <w:p w:rsidR="00387A00" w:rsidRDefault="00387A00" w:rsidP="00387A00">
      <w:pPr>
        <w:pStyle w:val="a3"/>
        <w:spacing w:line="360" w:lineRule="auto"/>
        <w:ind w:left="714" w:right="-102"/>
        <w:jc w:val="both"/>
        <w:rPr>
          <w:rFonts w:ascii="David" w:hAnsi="David" w:cs="David"/>
          <w:sz w:val="24"/>
          <w:szCs w:val="24"/>
          <w:rtl/>
        </w:rPr>
      </w:pPr>
      <w:r w:rsidRPr="001C3256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במידה ולא דחית את ההלוואה שלך והנך עומד בתנאי המתווה הנוכחי-הכנסת משק הבית שלך אינה עולה על 20,000 ₪ נטו, ושהכנסתך נפגעה בשיעור של 40% בהשוואה להכנסה ערב המשבר- </w:t>
      </w:r>
      <w:r w:rsidRPr="001C3256">
        <w:rPr>
          <w:rFonts w:cs="David" w:hint="cs"/>
          <w:sz w:val="24"/>
          <w:szCs w:val="24"/>
          <w:rtl/>
        </w:rPr>
        <w:t>תוכל לדחות את ההלוואה הצרכנית שלך לתקופה של עד 3 חודשים ללא שיקול דעת החברה. בנוסף, ישנה אופציה, בהתאם לשיקול דעת החברה, לדחייה נוספת של 3 חודשים להלוואות אלו (עד 6 חודשים במצטבר).</w:t>
      </w:r>
      <w:r w:rsidRPr="001C325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87A00" w:rsidRDefault="00387A00" w:rsidP="00387A00">
      <w:pPr>
        <w:pStyle w:val="a3"/>
        <w:spacing w:line="360" w:lineRule="auto"/>
        <w:ind w:left="714" w:right="-102"/>
        <w:jc w:val="both"/>
        <w:rPr>
          <w:rFonts w:ascii="David" w:hAnsi="David" w:cs="David"/>
          <w:sz w:val="24"/>
          <w:szCs w:val="24"/>
          <w:rtl/>
        </w:rPr>
      </w:pPr>
    </w:p>
    <w:p w:rsidR="00387A00" w:rsidRPr="001C3256" w:rsidRDefault="00387A00" w:rsidP="00387A00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C3256">
        <w:rPr>
          <w:rFonts w:ascii="David" w:hAnsi="David" w:cs="David" w:hint="cs"/>
          <w:b/>
          <w:bCs/>
          <w:sz w:val="24"/>
          <w:szCs w:val="24"/>
          <w:rtl/>
        </w:rPr>
        <w:t xml:space="preserve">במידה ואני עומד בכל תנאי המתווה, האם חברת כרטיסי האשראי חייבת לדחות לי את ההלוואה? </w:t>
      </w:r>
    </w:p>
    <w:p w:rsidR="00387A00" w:rsidRDefault="00387A00" w:rsidP="00387A00">
      <w:pPr>
        <w:pStyle w:val="a3"/>
        <w:spacing w:line="360" w:lineRule="auto"/>
        <w:ind w:right="-102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077F6">
        <w:rPr>
          <w:rFonts w:ascii="David" w:hAnsi="David" w:cs="David" w:hint="cs"/>
          <w:sz w:val="24"/>
          <w:szCs w:val="24"/>
          <w:rtl/>
        </w:rPr>
        <w:t>הדחייה ללא שיקול דעת החברה היא של רכיב הקרן בהלוואה. חברת כרטיסי האשראי רשאית לאפשר גם דחייה של הריבית בנוסף לדחיית הקרן.</w:t>
      </w:r>
      <w:r w:rsidRPr="00A077F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:rsidR="00387A00" w:rsidRDefault="00387A00" w:rsidP="00387A00">
      <w:pPr>
        <w:pStyle w:val="a3"/>
        <w:spacing w:line="360" w:lineRule="auto"/>
        <w:ind w:right="-102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387A00" w:rsidRDefault="00387A00" w:rsidP="00387A00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A23DF">
        <w:rPr>
          <w:rFonts w:ascii="David" w:hAnsi="David" w:cs="David"/>
          <w:b/>
          <w:bCs/>
          <w:sz w:val="24"/>
          <w:szCs w:val="24"/>
          <w:rtl/>
        </w:rPr>
        <w:t xml:space="preserve">עד מתי ניתן להגיש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לחברת כרטיסי האשראי את הבקשה לדחיית </w:t>
      </w:r>
      <w:r w:rsidRPr="004A23DF">
        <w:rPr>
          <w:rFonts w:ascii="David" w:hAnsi="David" w:cs="David" w:hint="cs"/>
          <w:b/>
          <w:bCs/>
          <w:sz w:val="24"/>
          <w:szCs w:val="24"/>
          <w:rtl/>
        </w:rPr>
        <w:t>תשלומי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ההלוואה</w:t>
      </w:r>
      <w:r w:rsidRPr="004A23DF">
        <w:rPr>
          <w:rFonts w:ascii="David" w:hAnsi="David" w:cs="David"/>
          <w:b/>
          <w:bCs/>
          <w:sz w:val="24"/>
          <w:szCs w:val="24"/>
          <w:rtl/>
        </w:rPr>
        <w:t>?</w:t>
      </w:r>
    </w:p>
    <w:p w:rsidR="00387A00" w:rsidRPr="001C3256" w:rsidRDefault="00387A00" w:rsidP="00387A00">
      <w:pPr>
        <w:pStyle w:val="a3"/>
        <w:spacing w:line="360" w:lineRule="auto"/>
        <w:ind w:right="-102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387A00" w:rsidRDefault="00387A00" w:rsidP="0048353F">
      <w:pPr>
        <w:pStyle w:val="a3"/>
        <w:spacing w:line="360" w:lineRule="auto"/>
        <w:ind w:right="-102"/>
        <w:jc w:val="both"/>
        <w:rPr>
          <w:rFonts w:ascii="David" w:hAnsi="David" w:cs="David"/>
          <w:sz w:val="24"/>
          <w:szCs w:val="24"/>
          <w:rtl/>
        </w:rPr>
      </w:pPr>
      <w:r w:rsidRPr="001C3256">
        <w:rPr>
          <w:rFonts w:ascii="David" w:hAnsi="David" w:cs="David" w:hint="cs"/>
          <w:sz w:val="24"/>
          <w:szCs w:val="24"/>
          <w:rtl/>
        </w:rPr>
        <w:t>התקופה להגשת הבקשה לדחיית תשלומי הלוואות בהתאם למתווה זה, תהיה בין התאריכים 1.</w:t>
      </w:r>
      <w:r w:rsidR="0048353F">
        <w:rPr>
          <w:rFonts w:ascii="David" w:hAnsi="David" w:cs="David" w:hint="cs"/>
          <w:sz w:val="24"/>
          <w:szCs w:val="24"/>
          <w:rtl/>
        </w:rPr>
        <w:t>1</w:t>
      </w:r>
      <w:r w:rsidRPr="001C3256">
        <w:rPr>
          <w:rFonts w:ascii="David" w:hAnsi="David" w:cs="David" w:hint="cs"/>
          <w:sz w:val="24"/>
          <w:szCs w:val="24"/>
          <w:rtl/>
        </w:rPr>
        <w:t>.202</w:t>
      </w:r>
      <w:r w:rsidR="0048353F">
        <w:rPr>
          <w:rFonts w:ascii="David" w:hAnsi="David" w:cs="David" w:hint="cs"/>
          <w:sz w:val="24"/>
          <w:szCs w:val="24"/>
          <w:rtl/>
        </w:rPr>
        <w:t>1</w:t>
      </w:r>
      <w:r w:rsidRPr="001C3256">
        <w:rPr>
          <w:rFonts w:ascii="David" w:hAnsi="David" w:cs="David" w:hint="cs"/>
          <w:sz w:val="24"/>
          <w:szCs w:val="24"/>
          <w:rtl/>
        </w:rPr>
        <w:t>-31.3.2021. מועד כניסת המתווה הנוסף לתוקף יהיה ב</w:t>
      </w:r>
      <w:r w:rsidRPr="001C3256">
        <w:rPr>
          <w:rFonts w:ascii="David" w:hAnsi="David" w:cs="David"/>
          <w:sz w:val="24"/>
          <w:szCs w:val="24"/>
          <w:rtl/>
        </w:rPr>
        <w:t xml:space="preserve">ין </w:t>
      </w:r>
      <w:r w:rsidRPr="001C3256">
        <w:rPr>
          <w:rFonts w:ascii="David" w:hAnsi="David" w:cs="David" w:hint="cs"/>
          <w:sz w:val="24"/>
          <w:szCs w:val="24"/>
          <w:rtl/>
        </w:rPr>
        <w:t>החל מתאריך</w:t>
      </w:r>
      <w:r w:rsidRPr="001C3256">
        <w:rPr>
          <w:rFonts w:ascii="David" w:hAnsi="David" w:cs="David"/>
          <w:sz w:val="24"/>
          <w:szCs w:val="24"/>
          <w:rtl/>
        </w:rPr>
        <w:t xml:space="preserve"> 1.1.21</w:t>
      </w:r>
      <w:r w:rsidRPr="001C3256">
        <w:rPr>
          <w:rFonts w:ascii="David" w:hAnsi="David" w:cs="David" w:hint="cs"/>
          <w:sz w:val="24"/>
          <w:szCs w:val="24"/>
          <w:rtl/>
        </w:rPr>
        <w:t>.</w:t>
      </w:r>
      <w:r w:rsidRPr="001C3256">
        <w:rPr>
          <w:rFonts w:ascii="David" w:hAnsi="David" w:cs="David"/>
          <w:sz w:val="24"/>
          <w:szCs w:val="24"/>
          <w:rtl/>
        </w:rPr>
        <w:t xml:space="preserve"> </w:t>
      </w:r>
    </w:p>
    <w:p w:rsidR="00387A00" w:rsidRPr="001C3256" w:rsidRDefault="00387A00" w:rsidP="00387A00">
      <w:pPr>
        <w:pStyle w:val="a3"/>
        <w:spacing w:line="360" w:lineRule="auto"/>
        <w:ind w:right="-102"/>
        <w:jc w:val="both"/>
        <w:rPr>
          <w:rFonts w:ascii="David" w:hAnsi="David" w:cs="David"/>
          <w:sz w:val="24"/>
          <w:szCs w:val="24"/>
        </w:rPr>
      </w:pPr>
    </w:p>
    <w:p w:rsidR="00387A00" w:rsidRPr="004A23DF" w:rsidRDefault="00387A00" w:rsidP="00387A00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A23DF">
        <w:rPr>
          <w:rFonts w:ascii="David" w:hAnsi="David" w:cs="David"/>
          <w:b/>
          <w:bCs/>
          <w:sz w:val="24"/>
          <w:szCs w:val="24"/>
          <w:rtl/>
        </w:rPr>
        <w:t xml:space="preserve">האם דחיית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תשלומי </w:t>
      </w:r>
      <w:r w:rsidRPr="004A23DF">
        <w:rPr>
          <w:rFonts w:ascii="David" w:hAnsi="David" w:cs="David"/>
          <w:b/>
          <w:bCs/>
          <w:sz w:val="24"/>
          <w:szCs w:val="24"/>
          <w:rtl/>
        </w:rPr>
        <w:t>ההלוואות כרוכה בתשלום עמלה?</w:t>
      </w:r>
    </w:p>
    <w:p w:rsidR="00387A00" w:rsidRDefault="00387A00" w:rsidP="00387A00">
      <w:pPr>
        <w:pStyle w:val="a3"/>
        <w:tabs>
          <w:tab w:val="left" w:pos="2315"/>
        </w:tabs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828A9">
        <w:rPr>
          <w:rFonts w:ascii="David" w:hAnsi="David" w:cs="David" w:hint="cs"/>
          <w:sz w:val="24"/>
          <w:szCs w:val="24"/>
          <w:rtl/>
        </w:rPr>
        <w:t>דחיית תשלומי ההלוואות אינה כרוכה בתשלום עמלה אך יש ל</w:t>
      </w:r>
      <w:r>
        <w:rPr>
          <w:rFonts w:ascii="David" w:hAnsi="David" w:cs="David" w:hint="cs"/>
          <w:sz w:val="24"/>
          <w:szCs w:val="24"/>
          <w:rtl/>
        </w:rPr>
        <w:t xml:space="preserve">דחייה </w:t>
      </w:r>
      <w:r w:rsidRPr="001828A9">
        <w:rPr>
          <w:rFonts w:ascii="David" w:hAnsi="David" w:cs="David" w:hint="cs"/>
          <w:sz w:val="24"/>
          <w:szCs w:val="24"/>
          <w:rtl/>
        </w:rPr>
        <w:t>עלויות נוספות שיש לבחון טרם קבלת ההחלטה</w:t>
      </w:r>
      <w:r>
        <w:rPr>
          <w:rFonts w:ascii="David" w:hAnsi="David" w:cs="David" w:hint="cs"/>
          <w:sz w:val="24"/>
          <w:szCs w:val="24"/>
          <w:rtl/>
        </w:rPr>
        <w:t>, כמפורט בשאלה הבאה</w:t>
      </w:r>
      <w:r w:rsidRPr="001828A9">
        <w:rPr>
          <w:rFonts w:ascii="David" w:hAnsi="David" w:cs="David" w:hint="cs"/>
          <w:sz w:val="24"/>
          <w:szCs w:val="24"/>
          <w:rtl/>
        </w:rPr>
        <w:t>.</w:t>
      </w:r>
    </w:p>
    <w:p w:rsidR="00387A00" w:rsidRPr="001828A9" w:rsidRDefault="00387A00" w:rsidP="00387A00">
      <w:pPr>
        <w:pStyle w:val="a3"/>
        <w:tabs>
          <w:tab w:val="left" w:pos="2315"/>
        </w:tabs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87A00" w:rsidRDefault="00387A00" w:rsidP="00387A00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A23DF">
        <w:rPr>
          <w:rFonts w:ascii="David" w:hAnsi="David" w:cs="David" w:hint="cs"/>
          <w:b/>
          <w:bCs/>
          <w:sz w:val="24"/>
          <w:szCs w:val="24"/>
          <w:rtl/>
        </w:rPr>
        <w:t>מה עליי לבדוק טרם קבלת החלטה על דחיית תשלומי הלוואה?</w:t>
      </w:r>
    </w:p>
    <w:p w:rsidR="00387A00" w:rsidRPr="007A018E" w:rsidRDefault="00387A00" w:rsidP="00387A00">
      <w:pPr>
        <w:pStyle w:val="a3"/>
        <w:tabs>
          <w:tab w:val="left" w:pos="2315"/>
        </w:tabs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A53CD1">
        <w:rPr>
          <w:rFonts w:ascii="David" w:hAnsi="David" w:cs="David"/>
          <w:sz w:val="24"/>
          <w:szCs w:val="24"/>
          <w:rtl/>
        </w:rPr>
        <w:t>דחיי</w:t>
      </w:r>
      <w:r w:rsidRPr="00A53CD1">
        <w:rPr>
          <w:rFonts w:ascii="David" w:hAnsi="David" w:cs="David" w:hint="cs"/>
          <w:sz w:val="24"/>
          <w:szCs w:val="24"/>
          <w:rtl/>
        </w:rPr>
        <w:t>ת</w:t>
      </w:r>
      <w:r w:rsidRPr="00A53CD1">
        <w:rPr>
          <w:rFonts w:ascii="David" w:hAnsi="David" w:cs="David"/>
          <w:sz w:val="24"/>
          <w:szCs w:val="24"/>
          <w:rtl/>
        </w:rPr>
        <w:t xml:space="preserve"> תשלומים</w:t>
      </w:r>
      <w:r>
        <w:rPr>
          <w:rFonts w:ascii="David" w:hAnsi="David" w:cs="David" w:hint="cs"/>
          <w:sz w:val="24"/>
          <w:szCs w:val="24"/>
          <w:rtl/>
        </w:rPr>
        <w:t xml:space="preserve"> כמוה כהלוואה חדשה הטומנת בחובה</w:t>
      </w:r>
      <w:r w:rsidRPr="00A53CD1">
        <w:rPr>
          <w:rFonts w:ascii="David" w:hAnsi="David" w:cs="David" w:hint="cs"/>
          <w:sz w:val="24"/>
          <w:szCs w:val="24"/>
          <w:rtl/>
        </w:rPr>
        <w:t xml:space="preserve"> עלויות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7A018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לכן טרם קבלת החלטה על דחיית תשלומים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חשוב </w:t>
      </w:r>
      <w:r>
        <w:rPr>
          <w:rFonts w:ascii="David" w:hAnsi="David" w:cs="David" w:hint="cs"/>
          <w:sz w:val="24"/>
          <w:szCs w:val="24"/>
          <w:rtl/>
        </w:rPr>
        <w:t xml:space="preserve">לבחון היטב </w:t>
      </w:r>
      <w:r>
        <w:rPr>
          <w:rFonts w:ascii="David" w:hAnsi="David" w:cs="David"/>
          <w:sz w:val="24"/>
          <w:szCs w:val="24"/>
          <w:rtl/>
        </w:rPr>
        <w:t>את השלכות הדחייה, לרבות המחיר הכלכלי של</w:t>
      </w:r>
      <w:r>
        <w:rPr>
          <w:rFonts w:ascii="David" w:hAnsi="David" w:cs="David" w:hint="cs"/>
          <w:sz w:val="24"/>
          <w:szCs w:val="24"/>
          <w:rtl/>
        </w:rPr>
        <w:t>ה: שיעור</w:t>
      </w:r>
      <w:r>
        <w:rPr>
          <w:rFonts w:ascii="David" w:hAnsi="David" w:cs="David"/>
          <w:sz w:val="24"/>
          <w:szCs w:val="24"/>
          <w:rtl/>
        </w:rPr>
        <w:t xml:space="preserve"> הריבית, 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 xml:space="preserve">סכום 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חיוב 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>חודשי לחיוב לאחר הדחייה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7A018E">
        <w:rPr>
          <w:rFonts w:ascii="David" w:hAnsi="David" w:cs="David" w:hint="cs"/>
          <w:sz w:val="24"/>
          <w:szCs w:val="24"/>
          <w:rtl/>
        </w:rPr>
        <w:t>מומלץ לממש חלופה זאת רק לאחר בחינת נחיצותה ועלותה.</w:t>
      </w:r>
    </w:p>
    <w:p w:rsidR="00387A00" w:rsidRPr="004A23DF" w:rsidRDefault="00387A00" w:rsidP="00387A00">
      <w:pPr>
        <w:pStyle w:val="a3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387A00" w:rsidRPr="00D760ED" w:rsidRDefault="00387A00" w:rsidP="00387A0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760ED">
        <w:rPr>
          <w:rFonts w:ascii="David" w:hAnsi="David" w:cs="David" w:hint="cs"/>
          <w:b/>
          <w:bCs/>
          <w:sz w:val="24"/>
          <w:szCs w:val="24"/>
          <w:rtl/>
        </w:rPr>
        <w:t xml:space="preserve">מה ניתן לעשות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במידה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וחברת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כרטיסי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האשראי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סירבה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לבקשת דחיית התשלומים שלי,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אף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ש</w:t>
      </w:r>
      <w:r>
        <w:rPr>
          <w:rFonts w:ascii="David" w:hAnsi="David" w:cs="David" w:hint="cs"/>
          <w:b/>
          <w:bCs/>
          <w:sz w:val="24"/>
          <w:szCs w:val="24"/>
          <w:rtl/>
        </w:rPr>
        <w:t>נראה ש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אני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עומד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בתנאי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760ED">
        <w:rPr>
          <w:rFonts w:ascii="David" w:hAnsi="David" w:cs="David" w:hint="eastAsia"/>
          <w:b/>
          <w:bCs/>
          <w:sz w:val="24"/>
          <w:szCs w:val="24"/>
          <w:rtl/>
        </w:rPr>
        <w:t>המתווה</w:t>
      </w:r>
      <w:r w:rsidRPr="00D760ED">
        <w:rPr>
          <w:rFonts w:ascii="David" w:hAnsi="David" w:cs="David"/>
          <w:b/>
          <w:bCs/>
          <w:sz w:val="24"/>
          <w:szCs w:val="24"/>
          <w:rtl/>
        </w:rPr>
        <w:t>?</w:t>
      </w:r>
    </w:p>
    <w:p w:rsidR="00387A00" w:rsidRPr="005F1D58" w:rsidRDefault="00387A00" w:rsidP="00387A00">
      <w:pPr>
        <w:pStyle w:val="a3"/>
        <w:tabs>
          <w:tab w:val="left" w:pos="2315"/>
        </w:tabs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F1D58">
        <w:rPr>
          <w:rFonts w:ascii="David" w:hAnsi="David" w:cs="David" w:hint="cs"/>
          <w:sz w:val="24"/>
          <w:szCs w:val="24"/>
          <w:rtl/>
        </w:rPr>
        <w:t xml:space="preserve">ניתן </w:t>
      </w:r>
      <w:r w:rsidRPr="005F1D58">
        <w:rPr>
          <w:rFonts w:ascii="David" w:hAnsi="David" w:cs="David"/>
          <w:sz w:val="24"/>
          <w:szCs w:val="24"/>
          <w:rtl/>
        </w:rPr>
        <w:t xml:space="preserve"> לפנות לנציב פניות הציבור </w:t>
      </w:r>
      <w:r>
        <w:rPr>
          <w:rFonts w:ascii="David" w:hAnsi="David" w:cs="David" w:hint="cs"/>
          <w:sz w:val="24"/>
          <w:szCs w:val="24"/>
          <w:rtl/>
        </w:rPr>
        <w:t xml:space="preserve">של חברת כרטיסי האשראי שממנה </w:t>
      </w:r>
      <w:r w:rsidRPr="005F1D58">
        <w:rPr>
          <w:rFonts w:ascii="David" w:hAnsi="David" w:cs="David" w:hint="cs"/>
          <w:sz w:val="24"/>
          <w:szCs w:val="24"/>
          <w:rtl/>
        </w:rPr>
        <w:t xml:space="preserve">נלקחה ההלוואה, </w:t>
      </w:r>
      <w:r w:rsidRPr="005F1D58">
        <w:rPr>
          <w:rFonts w:ascii="David" w:hAnsi="David" w:cs="David"/>
          <w:sz w:val="24"/>
          <w:szCs w:val="24"/>
          <w:rtl/>
        </w:rPr>
        <w:t xml:space="preserve">ובמידה ויש ללקוח השגות על התשובה שהתקבלה, </w:t>
      </w:r>
      <w:r w:rsidRPr="005F1D58">
        <w:rPr>
          <w:rFonts w:ascii="David" w:hAnsi="David" w:cs="David" w:hint="cs"/>
          <w:sz w:val="24"/>
          <w:szCs w:val="24"/>
          <w:rtl/>
        </w:rPr>
        <w:t>ניתן</w:t>
      </w:r>
      <w:r w:rsidRPr="005F1D58">
        <w:rPr>
          <w:rFonts w:ascii="David" w:hAnsi="David" w:cs="David"/>
          <w:sz w:val="24"/>
          <w:szCs w:val="24"/>
          <w:rtl/>
        </w:rPr>
        <w:t xml:space="preserve"> לפנות ליחידה לפניות הציבור בפיקוח על הבנקים. </w:t>
      </w:r>
    </w:p>
    <w:p w:rsidR="00387A00" w:rsidRPr="001C3256" w:rsidRDefault="00387A00" w:rsidP="00387A0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353B2B" w:rsidRDefault="00353B2B"/>
    <w:sectPr w:rsidR="00353B2B" w:rsidSect="00BF6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DA" w:rsidRDefault="00E735DA">
      <w:pPr>
        <w:spacing w:after="0" w:line="240" w:lineRule="auto"/>
      </w:pPr>
      <w:r>
        <w:separator/>
      </w:r>
    </w:p>
  </w:endnote>
  <w:endnote w:type="continuationSeparator" w:id="0">
    <w:p w:rsidR="00E735DA" w:rsidRDefault="00E7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62" w:rsidRDefault="00D03E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62" w:rsidRDefault="00D03E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62" w:rsidRDefault="00D03E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DA" w:rsidRDefault="00E735DA">
      <w:pPr>
        <w:spacing w:after="0" w:line="240" w:lineRule="auto"/>
      </w:pPr>
      <w:r>
        <w:separator/>
      </w:r>
    </w:p>
  </w:footnote>
  <w:footnote w:type="continuationSeparator" w:id="0">
    <w:p w:rsidR="00E735DA" w:rsidRDefault="00E7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62" w:rsidRDefault="00D03E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62" w:rsidRDefault="00D03E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62" w:rsidRDefault="00D03E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1393"/>
    <w:multiLevelType w:val="hybridMultilevel"/>
    <w:tmpl w:val="F3ACA28C"/>
    <w:lvl w:ilvl="0" w:tplc="5B1254B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0767"/>
    <w:multiLevelType w:val="hybridMultilevel"/>
    <w:tmpl w:val="318AF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0"/>
    <w:rsid w:val="00007981"/>
    <w:rsid w:val="00016A30"/>
    <w:rsid w:val="000170DE"/>
    <w:rsid w:val="00047202"/>
    <w:rsid w:val="00051BC9"/>
    <w:rsid w:val="00066455"/>
    <w:rsid w:val="00070BBF"/>
    <w:rsid w:val="00072E1A"/>
    <w:rsid w:val="00092A13"/>
    <w:rsid w:val="000D4917"/>
    <w:rsid w:val="000D4F64"/>
    <w:rsid w:val="000F2E99"/>
    <w:rsid w:val="000F7E1C"/>
    <w:rsid w:val="00101FB1"/>
    <w:rsid w:val="00112115"/>
    <w:rsid w:val="00115DEF"/>
    <w:rsid w:val="00121663"/>
    <w:rsid w:val="001717F9"/>
    <w:rsid w:val="00182E32"/>
    <w:rsid w:val="00197301"/>
    <w:rsid w:val="001A26D9"/>
    <w:rsid w:val="001C0076"/>
    <w:rsid w:val="001D0666"/>
    <w:rsid w:val="001D63B3"/>
    <w:rsid w:val="001F5E48"/>
    <w:rsid w:val="00200FCB"/>
    <w:rsid w:val="00252091"/>
    <w:rsid w:val="00265879"/>
    <w:rsid w:val="00265AED"/>
    <w:rsid w:val="002700C4"/>
    <w:rsid w:val="00283FDA"/>
    <w:rsid w:val="00294719"/>
    <w:rsid w:val="00295C17"/>
    <w:rsid w:val="002F540B"/>
    <w:rsid w:val="00325069"/>
    <w:rsid w:val="00327752"/>
    <w:rsid w:val="00337521"/>
    <w:rsid w:val="00343BAD"/>
    <w:rsid w:val="0035035E"/>
    <w:rsid w:val="00353B2B"/>
    <w:rsid w:val="00372410"/>
    <w:rsid w:val="00387A00"/>
    <w:rsid w:val="003B3076"/>
    <w:rsid w:val="003D2E61"/>
    <w:rsid w:val="003D33C2"/>
    <w:rsid w:val="00413112"/>
    <w:rsid w:val="004230C6"/>
    <w:rsid w:val="00423D23"/>
    <w:rsid w:val="00432D8A"/>
    <w:rsid w:val="00443154"/>
    <w:rsid w:val="00450C3A"/>
    <w:rsid w:val="004806B2"/>
    <w:rsid w:val="0048353F"/>
    <w:rsid w:val="004A33C9"/>
    <w:rsid w:val="004D158C"/>
    <w:rsid w:val="004D5620"/>
    <w:rsid w:val="0051045A"/>
    <w:rsid w:val="0053592B"/>
    <w:rsid w:val="00550AA1"/>
    <w:rsid w:val="0055551A"/>
    <w:rsid w:val="0056400B"/>
    <w:rsid w:val="00583910"/>
    <w:rsid w:val="005851D0"/>
    <w:rsid w:val="005869E9"/>
    <w:rsid w:val="005B26A8"/>
    <w:rsid w:val="005B6E64"/>
    <w:rsid w:val="005C051F"/>
    <w:rsid w:val="005C761F"/>
    <w:rsid w:val="005D4C48"/>
    <w:rsid w:val="005D5753"/>
    <w:rsid w:val="005E25C2"/>
    <w:rsid w:val="005E62B7"/>
    <w:rsid w:val="00610995"/>
    <w:rsid w:val="00617020"/>
    <w:rsid w:val="00624FF2"/>
    <w:rsid w:val="006375CA"/>
    <w:rsid w:val="00644702"/>
    <w:rsid w:val="006466B0"/>
    <w:rsid w:val="00650EF4"/>
    <w:rsid w:val="006548BF"/>
    <w:rsid w:val="00654F0D"/>
    <w:rsid w:val="006616E1"/>
    <w:rsid w:val="0066249A"/>
    <w:rsid w:val="006659C6"/>
    <w:rsid w:val="006720FF"/>
    <w:rsid w:val="006770DD"/>
    <w:rsid w:val="006809E1"/>
    <w:rsid w:val="006873E4"/>
    <w:rsid w:val="006C30B3"/>
    <w:rsid w:val="006D5A20"/>
    <w:rsid w:val="006D7016"/>
    <w:rsid w:val="006E0620"/>
    <w:rsid w:val="006F7597"/>
    <w:rsid w:val="006F7D75"/>
    <w:rsid w:val="00702C27"/>
    <w:rsid w:val="00710796"/>
    <w:rsid w:val="007605D1"/>
    <w:rsid w:val="007A757F"/>
    <w:rsid w:val="007B1D0E"/>
    <w:rsid w:val="007C140E"/>
    <w:rsid w:val="007E28E0"/>
    <w:rsid w:val="008177D9"/>
    <w:rsid w:val="00860135"/>
    <w:rsid w:val="00864800"/>
    <w:rsid w:val="00880A59"/>
    <w:rsid w:val="0089393B"/>
    <w:rsid w:val="008F66E2"/>
    <w:rsid w:val="00926285"/>
    <w:rsid w:val="00941744"/>
    <w:rsid w:val="009655B9"/>
    <w:rsid w:val="009B25CD"/>
    <w:rsid w:val="009C03F9"/>
    <w:rsid w:val="009F0100"/>
    <w:rsid w:val="009F40B9"/>
    <w:rsid w:val="009F64C6"/>
    <w:rsid w:val="00A02C05"/>
    <w:rsid w:val="00A23435"/>
    <w:rsid w:val="00A24EB3"/>
    <w:rsid w:val="00A2607B"/>
    <w:rsid w:val="00A321FF"/>
    <w:rsid w:val="00A405B7"/>
    <w:rsid w:val="00A86219"/>
    <w:rsid w:val="00AB5358"/>
    <w:rsid w:val="00AB5F21"/>
    <w:rsid w:val="00AE2CE7"/>
    <w:rsid w:val="00AF5F02"/>
    <w:rsid w:val="00B00CAD"/>
    <w:rsid w:val="00B8787E"/>
    <w:rsid w:val="00BC5D1F"/>
    <w:rsid w:val="00BD1424"/>
    <w:rsid w:val="00BE4245"/>
    <w:rsid w:val="00BF6466"/>
    <w:rsid w:val="00C062FF"/>
    <w:rsid w:val="00C24ABE"/>
    <w:rsid w:val="00C3111B"/>
    <w:rsid w:val="00C33EFE"/>
    <w:rsid w:val="00C36086"/>
    <w:rsid w:val="00C41B7B"/>
    <w:rsid w:val="00C43392"/>
    <w:rsid w:val="00C9057F"/>
    <w:rsid w:val="00C91F3C"/>
    <w:rsid w:val="00CA2779"/>
    <w:rsid w:val="00CC58FC"/>
    <w:rsid w:val="00CD4697"/>
    <w:rsid w:val="00CE187E"/>
    <w:rsid w:val="00D03E9D"/>
    <w:rsid w:val="00D236A8"/>
    <w:rsid w:val="00D74FD7"/>
    <w:rsid w:val="00D815DF"/>
    <w:rsid w:val="00D96343"/>
    <w:rsid w:val="00D96EE6"/>
    <w:rsid w:val="00DB2CF9"/>
    <w:rsid w:val="00DC5508"/>
    <w:rsid w:val="00DD1253"/>
    <w:rsid w:val="00DD1B83"/>
    <w:rsid w:val="00DD3420"/>
    <w:rsid w:val="00DD5A35"/>
    <w:rsid w:val="00E067AE"/>
    <w:rsid w:val="00E1497C"/>
    <w:rsid w:val="00E152B8"/>
    <w:rsid w:val="00E17D0A"/>
    <w:rsid w:val="00E21B34"/>
    <w:rsid w:val="00E312BE"/>
    <w:rsid w:val="00E53EA8"/>
    <w:rsid w:val="00E735DA"/>
    <w:rsid w:val="00E77903"/>
    <w:rsid w:val="00E87F7F"/>
    <w:rsid w:val="00E95CFB"/>
    <w:rsid w:val="00ED2C58"/>
    <w:rsid w:val="00EE1443"/>
    <w:rsid w:val="00EE4643"/>
    <w:rsid w:val="00EE6F6D"/>
    <w:rsid w:val="00F03300"/>
    <w:rsid w:val="00F04382"/>
    <w:rsid w:val="00F164FA"/>
    <w:rsid w:val="00F442A9"/>
    <w:rsid w:val="00F718EF"/>
    <w:rsid w:val="00F827D1"/>
    <w:rsid w:val="00F95154"/>
    <w:rsid w:val="00F960A7"/>
    <w:rsid w:val="00FB2337"/>
    <w:rsid w:val="00FC12C4"/>
    <w:rsid w:val="00FC2DEE"/>
    <w:rsid w:val="00FD1383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85A3E3D-107E-4FC4-8BBD-180A7CD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0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A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87A00"/>
  </w:style>
  <w:style w:type="paragraph" w:styleId="a6">
    <w:name w:val="footer"/>
    <w:basedOn w:val="a"/>
    <w:link w:val="a7"/>
    <w:uiPriority w:val="99"/>
    <w:unhideWhenUsed/>
    <w:rsid w:val="00387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8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5BA5D6C-100F-46BF-B8D5-7604B8EE154E}"/>
</file>

<file path=customXml/itemProps2.xml><?xml version="1.0" encoding="utf-8"?>
<ds:datastoreItem xmlns:ds="http://schemas.openxmlformats.org/officeDocument/2006/customXml" ds:itemID="{E9EF81B3-387E-4C38-AA6F-A2695D172B76}"/>
</file>

<file path=customXml/itemProps3.xml><?xml version="1.0" encoding="utf-8"?>
<ds:datastoreItem xmlns:ds="http://schemas.openxmlformats.org/officeDocument/2006/customXml" ds:itemID="{E193749C-7E77-4DFB-B604-0343C73B9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איילון בנימין</dc:creator>
  <cp:keywords/>
  <dc:description/>
  <cp:lastModifiedBy>מיטל רולניצקי</cp:lastModifiedBy>
  <cp:revision>2</cp:revision>
  <dcterms:created xsi:type="dcterms:W3CDTF">2020-11-30T08:04:00Z</dcterms:created>
  <dcterms:modified xsi:type="dcterms:W3CDTF">2020-11-30T08:04:00Z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