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8520" w:type="dxa"/>
        <w:jc w:val="center"/>
        <w:tblLayout w:type="fixed"/>
        <w:tblLook w:val="0000" w:firstRow="0" w:lastRow="0" w:firstColumn="0" w:lastColumn="0" w:noHBand="0" w:noVBand="0"/>
      </w:tblPr>
      <w:tblGrid>
        <w:gridCol w:w="2840"/>
        <w:gridCol w:w="2596"/>
        <w:gridCol w:w="3084"/>
      </w:tblGrid>
      <w:tr w:rsidR="0051240D" w:rsidRPr="0051240D" w14:paraId="42686FAD" w14:textId="77777777" w:rsidTr="0051240D">
        <w:trPr>
          <w:trHeight w:val="1701"/>
          <w:jc w:val="center"/>
        </w:trPr>
        <w:tc>
          <w:tcPr>
            <w:tcW w:w="2840" w:type="dxa"/>
            <w:tcBorders>
              <w:top w:val="nil"/>
              <w:left w:val="nil"/>
              <w:bottom w:val="nil"/>
              <w:right w:val="nil"/>
            </w:tcBorders>
            <w:vAlign w:val="center"/>
          </w:tcPr>
          <w:p w14:paraId="19B40C57" w14:textId="77777777" w:rsidR="0051240D" w:rsidRDefault="0051240D" w:rsidP="0051240D">
            <w:pPr>
              <w:rPr>
                <w:rFonts w:ascii="Assistant" w:hAnsi="Assistant" w:cs="Assistant"/>
                <w:b/>
                <w:bCs/>
                <w:sz w:val="28"/>
                <w:szCs w:val="28"/>
                <w:rtl/>
              </w:rPr>
            </w:pPr>
            <w:r w:rsidRPr="00031A9D">
              <w:rPr>
                <w:rFonts w:ascii="Assistant" w:hAnsi="Assistant" w:cs="Assistant"/>
                <w:b/>
                <w:bCs/>
                <w:sz w:val="28"/>
                <w:szCs w:val="28"/>
                <w:rtl/>
              </w:rPr>
              <w:t>בנק ישראל</w:t>
            </w:r>
          </w:p>
          <w:p w14:paraId="3A2551C3" w14:textId="2B4A19C2" w:rsidR="0051240D" w:rsidRPr="0051240D" w:rsidRDefault="0051240D" w:rsidP="0051240D">
            <w:pPr>
              <w:spacing w:line="360" w:lineRule="auto"/>
              <w:ind w:right="-101"/>
              <w:jc w:val="both"/>
              <w:rPr>
                <w:rFonts w:cstheme="minorHAnsi"/>
                <w:sz w:val="24"/>
                <w:szCs w:val="24"/>
              </w:rPr>
            </w:pPr>
            <w:r w:rsidRPr="00031A9D">
              <w:rPr>
                <w:rFonts w:ascii="Assistant" w:hAnsi="Assistant" w:cs="Assistant"/>
                <w:rtl/>
              </w:rPr>
              <w:t>דוברות והסברה כלכלית</w:t>
            </w:r>
          </w:p>
        </w:tc>
        <w:tc>
          <w:tcPr>
            <w:tcW w:w="2596" w:type="dxa"/>
            <w:tcBorders>
              <w:top w:val="nil"/>
              <w:left w:val="nil"/>
              <w:bottom w:val="nil"/>
              <w:right w:val="nil"/>
            </w:tcBorders>
          </w:tcPr>
          <w:p w14:paraId="44BE81C7" w14:textId="54CAEB23" w:rsidR="0051240D" w:rsidRPr="0051240D" w:rsidRDefault="0051240D" w:rsidP="0051240D">
            <w:pPr>
              <w:jc w:val="both"/>
              <w:rPr>
                <w:rFonts w:cstheme="minorHAnsi"/>
                <w:sz w:val="24"/>
                <w:szCs w:val="24"/>
              </w:rPr>
            </w:pPr>
            <w:r>
              <w:rPr>
                <w:noProof/>
              </w:rPr>
              <w:drawing>
                <wp:anchor distT="0" distB="0" distL="114300" distR="114300" simplePos="0" relativeHeight="251711488" behindDoc="0" locked="0" layoutInCell="1" allowOverlap="1" wp14:anchorId="07AB7862" wp14:editId="403922FC">
                  <wp:simplePos x="0" y="0"/>
                  <wp:positionH relativeFrom="column">
                    <wp:posOffset>61595</wp:posOffset>
                  </wp:positionH>
                  <wp:positionV relativeFrom="paragraph">
                    <wp:posOffset>297815</wp:posOffset>
                  </wp:positionV>
                  <wp:extent cx="1504950" cy="495300"/>
                  <wp:effectExtent l="0" t="0" r="0" b="0"/>
                  <wp:wrapNone/>
                  <wp:docPr id="1" name="תמונה 1"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84" w:type="dxa"/>
            <w:tcBorders>
              <w:top w:val="nil"/>
              <w:left w:val="nil"/>
              <w:bottom w:val="nil"/>
              <w:right w:val="nil"/>
            </w:tcBorders>
            <w:vAlign w:val="center"/>
          </w:tcPr>
          <w:p w14:paraId="483EF39B" w14:textId="06798945" w:rsidR="0051240D" w:rsidRPr="00027442" w:rsidRDefault="0051240D" w:rsidP="0051240D">
            <w:pPr>
              <w:jc w:val="center"/>
              <w:rPr>
                <w:rFonts w:ascii="Assistant" w:hAnsi="Assistant" w:cs="Assistant"/>
                <w:rtl/>
              </w:rPr>
            </w:pPr>
            <w:r w:rsidRPr="00027442">
              <w:rPr>
                <w:rFonts w:ascii="Assistant" w:hAnsi="Assistant" w:cs="Assistant"/>
                <w:highlight w:val="green"/>
                <w:rtl/>
              </w:rPr>
              <w:t>‏</w:t>
            </w:r>
            <w:r w:rsidRPr="00027442">
              <w:rPr>
                <w:rFonts w:ascii="Assistant" w:hAnsi="Assistant" w:cs="Assistant"/>
                <w:rtl/>
              </w:rPr>
              <w:t xml:space="preserve">ירושלים, </w:t>
            </w:r>
            <w:r w:rsidRPr="00027442">
              <w:rPr>
                <w:rFonts w:ascii="Assistant" w:hAnsi="Assistant" w:cs="Assistant"/>
                <w:rtl/>
              </w:rPr>
              <w:fldChar w:fldCharType="begin"/>
            </w:r>
            <w:r w:rsidRPr="00027442">
              <w:rPr>
                <w:rFonts w:ascii="Assistant" w:hAnsi="Assistant" w:cs="Assistant"/>
                <w:rtl/>
              </w:rPr>
              <w:instrText xml:space="preserve"> </w:instrText>
            </w:r>
            <w:r w:rsidRPr="00027442">
              <w:rPr>
                <w:rFonts w:ascii="Assistant" w:hAnsi="Assistant" w:cs="Assistant"/>
              </w:rPr>
              <w:instrText>DATE</w:instrText>
            </w:r>
            <w:r w:rsidRPr="00027442">
              <w:rPr>
                <w:rFonts w:ascii="Assistant" w:hAnsi="Assistant" w:cs="Assistant"/>
                <w:rtl/>
              </w:rPr>
              <w:instrText xml:space="preserve"> \@ "</w:instrText>
            </w:r>
            <w:r w:rsidRPr="00027442">
              <w:rPr>
                <w:rFonts w:ascii="Assistant" w:hAnsi="Assistant" w:cs="Assistant"/>
              </w:rPr>
              <w:instrText>d MMMM, yyyy" \h</w:instrText>
            </w:r>
            <w:r w:rsidRPr="00027442">
              <w:rPr>
                <w:rFonts w:ascii="Assistant" w:hAnsi="Assistant" w:cs="Assistant"/>
                <w:rtl/>
              </w:rPr>
              <w:instrText xml:space="preserve"> </w:instrText>
            </w:r>
            <w:r w:rsidRPr="00027442">
              <w:rPr>
                <w:rFonts w:ascii="Assistant" w:hAnsi="Assistant" w:cs="Assistant"/>
                <w:rtl/>
              </w:rPr>
              <w:fldChar w:fldCharType="separate"/>
            </w:r>
            <w:r w:rsidR="00F275EC">
              <w:rPr>
                <w:rFonts w:ascii="Assistant" w:hAnsi="Assistant" w:cs="Assistant"/>
                <w:noProof/>
                <w:rtl/>
              </w:rPr>
              <w:t>‏כ' אדר, תשפ"ה</w:t>
            </w:r>
            <w:r w:rsidRPr="00027442">
              <w:rPr>
                <w:rFonts w:ascii="Assistant" w:hAnsi="Assistant" w:cs="Assistant"/>
                <w:rtl/>
              </w:rPr>
              <w:fldChar w:fldCharType="end"/>
            </w:r>
          </w:p>
          <w:p w14:paraId="2C2FD76E" w14:textId="15990B7C" w:rsidR="0051240D" w:rsidRPr="0051240D" w:rsidRDefault="0051240D" w:rsidP="0051240D">
            <w:pPr>
              <w:spacing w:line="480" w:lineRule="auto"/>
              <w:jc w:val="center"/>
              <w:rPr>
                <w:rFonts w:cstheme="minorHAnsi"/>
                <w:sz w:val="24"/>
                <w:szCs w:val="24"/>
              </w:rPr>
            </w:pPr>
            <w:r w:rsidRPr="00027442">
              <w:rPr>
                <w:rFonts w:ascii="Assistant" w:hAnsi="Assistant" w:cs="Assistant"/>
                <w:rtl/>
              </w:rPr>
              <w:fldChar w:fldCharType="begin"/>
            </w:r>
            <w:r w:rsidRPr="00027442">
              <w:rPr>
                <w:rFonts w:ascii="Assistant" w:hAnsi="Assistant" w:cs="Assistant"/>
                <w:rtl/>
              </w:rPr>
              <w:instrText xml:space="preserve"> </w:instrText>
            </w:r>
            <w:r w:rsidRPr="00027442">
              <w:rPr>
                <w:rFonts w:ascii="Assistant" w:hAnsi="Assistant" w:cs="Assistant"/>
              </w:rPr>
              <w:instrText>DATE</w:instrText>
            </w:r>
            <w:r w:rsidRPr="00027442">
              <w:rPr>
                <w:rFonts w:ascii="Assistant" w:hAnsi="Assistant" w:cs="Assistant"/>
                <w:rtl/>
              </w:rPr>
              <w:instrText xml:space="preserve"> \@ "</w:instrText>
            </w:r>
            <w:r w:rsidRPr="00027442">
              <w:rPr>
                <w:rFonts w:ascii="Assistant" w:hAnsi="Assistant" w:cs="Assistant"/>
              </w:rPr>
              <w:instrText>d MMMM, yyyy</w:instrText>
            </w:r>
            <w:r w:rsidRPr="00027442">
              <w:rPr>
                <w:rFonts w:ascii="Assistant" w:hAnsi="Assistant" w:cs="Assistant"/>
                <w:rtl/>
              </w:rPr>
              <w:instrText xml:space="preserve">" </w:instrText>
            </w:r>
            <w:r w:rsidRPr="00027442">
              <w:rPr>
                <w:rFonts w:ascii="Assistant" w:hAnsi="Assistant" w:cs="Assistant"/>
                <w:rtl/>
              </w:rPr>
              <w:fldChar w:fldCharType="separate"/>
            </w:r>
            <w:r w:rsidR="00F275EC">
              <w:rPr>
                <w:rFonts w:ascii="Assistant" w:hAnsi="Assistant" w:cs="Assistant"/>
                <w:noProof/>
                <w:rtl/>
              </w:rPr>
              <w:t>‏20 מרץ, 2025</w:t>
            </w:r>
            <w:r w:rsidRPr="00027442">
              <w:rPr>
                <w:rFonts w:ascii="Assistant" w:hAnsi="Assistant" w:cs="Assistant"/>
                <w:rtl/>
              </w:rPr>
              <w:fldChar w:fldCharType="end"/>
            </w:r>
          </w:p>
        </w:tc>
      </w:tr>
    </w:tbl>
    <w:p w14:paraId="3B911C16" w14:textId="77777777" w:rsidR="006E4A40" w:rsidRPr="0051240D" w:rsidRDefault="006E4A40" w:rsidP="00DD735B">
      <w:pPr>
        <w:jc w:val="both"/>
        <w:rPr>
          <w:rFonts w:cstheme="minorHAnsi"/>
          <w:b/>
          <w:bCs/>
          <w:sz w:val="24"/>
          <w:szCs w:val="24"/>
          <w:rtl/>
        </w:rPr>
      </w:pPr>
      <w:r w:rsidRPr="0051240D">
        <w:rPr>
          <w:rFonts w:cstheme="minorHAnsi"/>
          <w:sz w:val="24"/>
          <w:szCs w:val="24"/>
          <w:rtl/>
        </w:rPr>
        <w:t>הודעה לעיתונות:</w:t>
      </w:r>
    </w:p>
    <w:p w14:paraId="48EF4278" w14:textId="77777777" w:rsidR="00F62F43" w:rsidRPr="0051240D" w:rsidRDefault="00964D0D" w:rsidP="0051240D">
      <w:pPr>
        <w:jc w:val="center"/>
        <w:rPr>
          <w:rFonts w:cstheme="minorHAnsi"/>
          <w:b/>
          <w:bCs/>
          <w:sz w:val="24"/>
          <w:szCs w:val="24"/>
          <w:rtl/>
        </w:rPr>
      </w:pPr>
      <w:r w:rsidRPr="0051240D">
        <w:rPr>
          <w:rFonts w:cstheme="minorHAnsi"/>
          <w:b/>
          <w:bCs/>
          <w:sz w:val="24"/>
          <w:szCs w:val="24"/>
          <w:rtl/>
        </w:rPr>
        <w:t xml:space="preserve">החטיבה למידע ולסטטיסטיקה בבנק ישראל מפרסמת היום את </w:t>
      </w:r>
      <w:r w:rsidR="00316DB3" w:rsidRPr="0051240D">
        <w:rPr>
          <w:rFonts w:cstheme="minorHAnsi"/>
          <w:b/>
          <w:bCs/>
          <w:sz w:val="24"/>
          <w:szCs w:val="24"/>
          <w:rtl/>
        </w:rPr>
        <w:t xml:space="preserve">דו"ח </w:t>
      </w:r>
      <w:r w:rsidR="00F62F43" w:rsidRPr="0051240D">
        <w:rPr>
          <w:rFonts w:cstheme="minorHAnsi"/>
          <w:b/>
          <w:bCs/>
          <w:sz w:val="24"/>
          <w:szCs w:val="24"/>
          <w:rtl/>
        </w:rPr>
        <w:t>'מבט סטטיסטי</w:t>
      </w:r>
      <w:r w:rsidR="00316DB3" w:rsidRPr="0051240D">
        <w:rPr>
          <w:rFonts w:cstheme="minorHAnsi"/>
          <w:b/>
          <w:bCs/>
          <w:sz w:val="24"/>
          <w:szCs w:val="24"/>
          <w:rtl/>
        </w:rPr>
        <w:t>' לשנת</w:t>
      </w:r>
      <w:r w:rsidR="00F62F43" w:rsidRPr="0051240D">
        <w:rPr>
          <w:rFonts w:cstheme="minorHAnsi"/>
          <w:b/>
          <w:bCs/>
          <w:sz w:val="24"/>
          <w:szCs w:val="24"/>
          <w:rtl/>
        </w:rPr>
        <w:t xml:space="preserve"> </w:t>
      </w:r>
      <w:r w:rsidR="00E60A5C" w:rsidRPr="0051240D">
        <w:rPr>
          <w:rFonts w:cstheme="minorHAnsi"/>
          <w:b/>
          <w:bCs/>
          <w:sz w:val="24"/>
          <w:szCs w:val="24"/>
          <w:rtl/>
        </w:rPr>
        <w:t>2024</w:t>
      </w:r>
    </w:p>
    <w:p w14:paraId="1DD5E491" w14:textId="77777777" w:rsidR="00F62F43" w:rsidRPr="0051240D" w:rsidRDefault="00316DB3" w:rsidP="00E60A5C">
      <w:pPr>
        <w:jc w:val="both"/>
        <w:rPr>
          <w:rFonts w:cstheme="minorHAnsi"/>
          <w:b/>
          <w:bCs/>
          <w:sz w:val="24"/>
          <w:szCs w:val="24"/>
          <w:u w:val="single"/>
          <w:rtl/>
        </w:rPr>
      </w:pPr>
      <w:r w:rsidRPr="0051240D">
        <w:rPr>
          <w:rFonts w:cstheme="minorHAnsi"/>
          <w:b/>
          <w:bCs/>
          <w:sz w:val="24"/>
          <w:szCs w:val="24"/>
          <w:u w:val="single"/>
          <w:rtl/>
        </w:rPr>
        <w:t xml:space="preserve">הדו"ח מכיל </w:t>
      </w:r>
      <w:r w:rsidR="00F62F43" w:rsidRPr="0051240D">
        <w:rPr>
          <w:rFonts w:cstheme="minorHAnsi"/>
          <w:b/>
          <w:bCs/>
          <w:sz w:val="24"/>
          <w:szCs w:val="24"/>
          <w:u w:val="single"/>
          <w:rtl/>
        </w:rPr>
        <w:t>פרסום ראשון של הנתונים והמצרפים הפיננסיים המרכזיים במשק</w:t>
      </w:r>
      <w:r w:rsidR="008D7EF6" w:rsidRPr="0051240D">
        <w:rPr>
          <w:rFonts w:cstheme="minorHAnsi"/>
          <w:b/>
          <w:bCs/>
          <w:sz w:val="24"/>
          <w:szCs w:val="24"/>
          <w:u w:val="single"/>
          <w:rtl/>
        </w:rPr>
        <w:t xml:space="preserve"> לשנת </w:t>
      </w:r>
      <w:r w:rsidR="00E60A5C" w:rsidRPr="0051240D">
        <w:rPr>
          <w:rFonts w:cstheme="minorHAnsi"/>
          <w:b/>
          <w:bCs/>
          <w:sz w:val="24"/>
          <w:szCs w:val="24"/>
          <w:u w:val="single"/>
          <w:rtl/>
        </w:rPr>
        <w:t>2024</w:t>
      </w:r>
      <w:r w:rsidR="00CC3C00" w:rsidRPr="0051240D">
        <w:rPr>
          <w:rFonts w:cstheme="minorHAnsi"/>
          <w:b/>
          <w:bCs/>
          <w:sz w:val="24"/>
          <w:szCs w:val="24"/>
          <w:u w:val="single"/>
          <w:rtl/>
        </w:rPr>
        <w:t xml:space="preserve"> – </w:t>
      </w:r>
      <w:r w:rsidR="00F35C66" w:rsidRPr="0051240D">
        <w:rPr>
          <w:rFonts w:cstheme="minorHAnsi"/>
          <w:b/>
          <w:bCs/>
          <w:sz w:val="24"/>
          <w:szCs w:val="24"/>
          <w:u w:val="single"/>
          <w:rtl/>
        </w:rPr>
        <w:t xml:space="preserve">תיק הנכסים הפיננסיים של הציבור, </w:t>
      </w:r>
      <w:r w:rsidR="004D694C" w:rsidRPr="0051240D">
        <w:rPr>
          <w:rFonts w:cstheme="minorHAnsi"/>
          <w:b/>
          <w:bCs/>
          <w:sz w:val="24"/>
          <w:szCs w:val="24"/>
          <w:u w:val="single"/>
          <w:rtl/>
        </w:rPr>
        <w:t>החוב של המגזר הפרטי הלא-פיננסי</w:t>
      </w:r>
      <w:r w:rsidR="00CC3C00" w:rsidRPr="0051240D">
        <w:rPr>
          <w:rFonts w:cstheme="minorHAnsi"/>
          <w:b/>
          <w:bCs/>
          <w:sz w:val="24"/>
          <w:szCs w:val="24"/>
          <w:u w:val="single"/>
          <w:rtl/>
        </w:rPr>
        <w:t xml:space="preserve">, </w:t>
      </w:r>
      <w:r w:rsidR="00F35C66" w:rsidRPr="0051240D">
        <w:rPr>
          <w:rFonts w:cstheme="minorHAnsi"/>
          <w:b/>
          <w:bCs/>
          <w:sz w:val="24"/>
          <w:szCs w:val="24"/>
          <w:u w:val="single"/>
          <w:rtl/>
        </w:rPr>
        <w:t xml:space="preserve">פעילות </w:t>
      </w:r>
      <w:r w:rsidR="008E7241" w:rsidRPr="0051240D">
        <w:rPr>
          <w:rFonts w:cstheme="minorHAnsi"/>
          <w:b/>
          <w:bCs/>
          <w:sz w:val="24"/>
          <w:szCs w:val="24"/>
          <w:u w:val="single"/>
          <w:rtl/>
        </w:rPr>
        <w:t xml:space="preserve">המשק </w:t>
      </w:r>
      <w:r w:rsidR="00F35C66" w:rsidRPr="0051240D">
        <w:rPr>
          <w:rFonts w:cstheme="minorHAnsi"/>
          <w:b/>
          <w:bCs/>
          <w:sz w:val="24"/>
          <w:szCs w:val="24"/>
          <w:u w:val="single"/>
          <w:rtl/>
        </w:rPr>
        <w:t xml:space="preserve">מול חו"ל </w:t>
      </w:r>
      <w:r w:rsidR="008E7241" w:rsidRPr="0051240D">
        <w:rPr>
          <w:rFonts w:cstheme="minorHAnsi"/>
          <w:b/>
          <w:bCs/>
          <w:sz w:val="24"/>
          <w:szCs w:val="24"/>
          <w:u w:val="single"/>
          <w:rtl/>
        </w:rPr>
        <w:t xml:space="preserve">ופעילות המגזרים העיקריים במטבע חוץ. </w:t>
      </w:r>
      <w:r w:rsidR="000A3948" w:rsidRPr="0051240D">
        <w:rPr>
          <w:rFonts w:cstheme="minorHAnsi"/>
          <w:b/>
          <w:bCs/>
          <w:sz w:val="24"/>
          <w:szCs w:val="24"/>
          <w:u w:val="single"/>
          <w:rtl/>
        </w:rPr>
        <w:t xml:space="preserve"> </w:t>
      </w:r>
      <w:r w:rsidR="00C871E2" w:rsidRPr="0051240D">
        <w:rPr>
          <w:rFonts w:cstheme="minorHAnsi"/>
          <w:b/>
          <w:bCs/>
          <w:sz w:val="24"/>
          <w:szCs w:val="24"/>
          <w:u w:val="single"/>
          <w:rtl/>
        </w:rPr>
        <w:t xml:space="preserve"> </w:t>
      </w:r>
    </w:p>
    <w:p w14:paraId="31AE4287" w14:textId="4DE54536" w:rsidR="00F31AC7" w:rsidRPr="0051240D" w:rsidRDefault="00F31AC7" w:rsidP="005A34BE">
      <w:pPr>
        <w:spacing w:line="360" w:lineRule="auto"/>
        <w:jc w:val="both"/>
        <w:rPr>
          <w:rFonts w:cstheme="minorHAnsi"/>
          <w:b/>
          <w:bCs/>
          <w:sz w:val="24"/>
          <w:szCs w:val="24"/>
          <w:rtl/>
        </w:rPr>
      </w:pPr>
      <w:r w:rsidRPr="0051240D">
        <w:rPr>
          <w:rFonts w:cstheme="minorHAnsi"/>
          <w:b/>
          <w:bCs/>
          <w:sz w:val="24"/>
          <w:szCs w:val="24"/>
          <w:rtl/>
        </w:rPr>
        <w:t xml:space="preserve">את הכנס </w:t>
      </w:r>
      <w:r w:rsidR="007509E6" w:rsidRPr="0051240D">
        <w:rPr>
          <w:rFonts w:cstheme="minorHAnsi"/>
          <w:b/>
          <w:bCs/>
          <w:sz w:val="24"/>
          <w:szCs w:val="24"/>
          <w:rtl/>
        </w:rPr>
        <w:t>'</w:t>
      </w:r>
      <w:r w:rsidRPr="0051240D">
        <w:rPr>
          <w:rFonts w:cstheme="minorHAnsi"/>
          <w:b/>
          <w:bCs/>
          <w:sz w:val="24"/>
          <w:szCs w:val="24"/>
          <w:rtl/>
        </w:rPr>
        <w:t>מבט סטטיסטי</w:t>
      </w:r>
      <w:r w:rsidR="007509E6" w:rsidRPr="0051240D">
        <w:rPr>
          <w:rFonts w:cstheme="minorHAnsi"/>
          <w:b/>
          <w:bCs/>
          <w:sz w:val="24"/>
          <w:szCs w:val="24"/>
          <w:rtl/>
        </w:rPr>
        <w:t>'</w:t>
      </w:r>
      <w:r w:rsidRPr="0051240D">
        <w:rPr>
          <w:rFonts w:cstheme="minorHAnsi"/>
          <w:b/>
          <w:bCs/>
          <w:sz w:val="24"/>
          <w:szCs w:val="24"/>
          <w:rtl/>
        </w:rPr>
        <w:t xml:space="preserve"> פתח נגיד בנק ישראל, לצפייה בדברי</w:t>
      </w:r>
      <w:r w:rsidR="00B16A28" w:rsidRPr="0051240D">
        <w:rPr>
          <w:rFonts w:cstheme="minorHAnsi"/>
          <w:b/>
          <w:bCs/>
          <w:sz w:val="24"/>
          <w:szCs w:val="24"/>
          <w:rtl/>
        </w:rPr>
        <w:t xml:space="preserve"> הנגיד</w:t>
      </w:r>
    </w:p>
    <w:p w14:paraId="053B0332" w14:textId="12D93FB5" w:rsidR="001A1017" w:rsidRPr="0051240D" w:rsidRDefault="0028675A" w:rsidP="00F31AC7">
      <w:pPr>
        <w:spacing w:line="360" w:lineRule="auto"/>
        <w:jc w:val="both"/>
        <w:rPr>
          <w:rFonts w:cstheme="minorHAnsi"/>
          <w:sz w:val="24"/>
          <w:szCs w:val="24"/>
          <w:rtl/>
        </w:rPr>
      </w:pPr>
      <w:r w:rsidRPr="0051240D">
        <w:rPr>
          <w:rFonts w:cstheme="minorHAnsi"/>
          <w:b/>
          <w:bCs/>
          <w:sz w:val="24"/>
          <w:szCs w:val="24"/>
          <w:rtl/>
        </w:rPr>
        <w:t>ב</w:t>
      </w:r>
      <w:r w:rsidR="00716312" w:rsidRPr="0051240D">
        <w:rPr>
          <w:rFonts w:cstheme="minorHAnsi"/>
          <w:b/>
          <w:bCs/>
          <w:sz w:val="24"/>
          <w:szCs w:val="24"/>
          <w:rtl/>
        </w:rPr>
        <w:t xml:space="preserve">חלק הראשון של 'מבט סטטיסטי </w:t>
      </w:r>
      <w:r w:rsidR="00E60A5C" w:rsidRPr="0051240D">
        <w:rPr>
          <w:rFonts w:cstheme="minorHAnsi"/>
          <w:b/>
          <w:bCs/>
          <w:sz w:val="24"/>
          <w:szCs w:val="24"/>
          <w:rtl/>
        </w:rPr>
        <w:t>2024</w:t>
      </w:r>
      <w:r w:rsidR="00BC7E91" w:rsidRPr="0051240D">
        <w:rPr>
          <w:rFonts w:cstheme="minorHAnsi"/>
          <w:b/>
          <w:bCs/>
          <w:sz w:val="24"/>
          <w:szCs w:val="24"/>
          <w:rtl/>
        </w:rPr>
        <w:t>'</w:t>
      </w:r>
      <w:r w:rsidR="004E30FA" w:rsidRPr="0051240D">
        <w:rPr>
          <w:rFonts w:cstheme="minorHAnsi"/>
          <w:sz w:val="24"/>
          <w:szCs w:val="24"/>
          <w:rtl/>
        </w:rPr>
        <w:t xml:space="preserve"> </w:t>
      </w:r>
      <w:r w:rsidRPr="0051240D">
        <w:rPr>
          <w:rFonts w:cstheme="minorHAnsi"/>
          <w:sz w:val="24"/>
          <w:szCs w:val="24"/>
          <w:rtl/>
        </w:rPr>
        <w:t xml:space="preserve">מוצגים </w:t>
      </w:r>
      <w:r w:rsidR="005A34BE" w:rsidRPr="0051240D">
        <w:rPr>
          <w:rFonts w:cstheme="minorHAnsi"/>
          <w:sz w:val="24"/>
          <w:szCs w:val="24"/>
          <w:rtl/>
        </w:rPr>
        <w:t>באופן</w:t>
      </w:r>
      <w:r w:rsidR="001A1017" w:rsidRPr="0051240D">
        <w:rPr>
          <w:rFonts w:cstheme="minorHAnsi"/>
          <w:sz w:val="24"/>
          <w:szCs w:val="24"/>
          <w:rtl/>
        </w:rPr>
        <w:t xml:space="preserve"> ויזואלי ה</w:t>
      </w:r>
      <w:r w:rsidR="000A3948" w:rsidRPr="0051240D">
        <w:rPr>
          <w:rFonts w:cstheme="minorHAnsi"/>
          <w:sz w:val="24"/>
          <w:szCs w:val="24"/>
          <w:rtl/>
        </w:rPr>
        <w:t xml:space="preserve">נתונים </w:t>
      </w:r>
      <w:r w:rsidR="001A1017" w:rsidRPr="0051240D">
        <w:rPr>
          <w:rFonts w:cstheme="minorHAnsi"/>
          <w:sz w:val="24"/>
          <w:szCs w:val="24"/>
          <w:rtl/>
        </w:rPr>
        <w:t xml:space="preserve">והמצרפים </w:t>
      </w:r>
      <w:r w:rsidR="000A3948" w:rsidRPr="0051240D">
        <w:rPr>
          <w:rFonts w:cstheme="minorHAnsi"/>
          <w:sz w:val="24"/>
          <w:szCs w:val="24"/>
          <w:rtl/>
        </w:rPr>
        <w:t>המרכזיים על הפעילות הפיננסית בישראל, בצירוף מידע והסברים על הנתונים, ההגדרות והעיבודים</w:t>
      </w:r>
      <w:r w:rsidR="001A1017" w:rsidRPr="0051240D">
        <w:rPr>
          <w:rFonts w:cstheme="minorHAnsi"/>
          <w:sz w:val="24"/>
          <w:szCs w:val="24"/>
          <w:rtl/>
        </w:rPr>
        <w:t xml:space="preserve"> השונים</w:t>
      </w:r>
      <w:r w:rsidR="00653851" w:rsidRPr="0051240D">
        <w:rPr>
          <w:rFonts w:cstheme="minorHAnsi"/>
          <w:sz w:val="24"/>
          <w:szCs w:val="24"/>
          <w:rtl/>
        </w:rPr>
        <w:t xml:space="preserve">; </w:t>
      </w:r>
      <w:r w:rsidRPr="0051240D">
        <w:rPr>
          <w:rFonts w:cstheme="minorHAnsi"/>
          <w:b/>
          <w:bCs/>
          <w:sz w:val="24"/>
          <w:szCs w:val="24"/>
          <w:rtl/>
        </w:rPr>
        <w:t>ב</w:t>
      </w:r>
      <w:r w:rsidR="001A1017" w:rsidRPr="0051240D">
        <w:rPr>
          <w:rFonts w:cstheme="minorHAnsi"/>
          <w:b/>
          <w:bCs/>
          <w:sz w:val="24"/>
          <w:szCs w:val="24"/>
          <w:rtl/>
        </w:rPr>
        <w:t xml:space="preserve">חלק השני </w:t>
      </w:r>
      <w:r w:rsidRPr="0051240D">
        <w:rPr>
          <w:rFonts w:cstheme="minorHAnsi"/>
          <w:sz w:val="24"/>
          <w:szCs w:val="24"/>
          <w:rtl/>
        </w:rPr>
        <w:t xml:space="preserve">מוצגות </w:t>
      </w:r>
      <w:r w:rsidR="001A1017" w:rsidRPr="0051240D">
        <w:rPr>
          <w:rFonts w:cstheme="minorHAnsi"/>
          <w:sz w:val="24"/>
          <w:szCs w:val="24"/>
          <w:rtl/>
        </w:rPr>
        <w:t xml:space="preserve">עבודות בתחום המתודולוגיה הסטטיסטית שנערכו </w:t>
      </w:r>
      <w:r w:rsidR="00F31AC7" w:rsidRPr="0051240D">
        <w:rPr>
          <w:rFonts w:cstheme="minorHAnsi"/>
          <w:sz w:val="24"/>
          <w:szCs w:val="24"/>
          <w:rtl/>
        </w:rPr>
        <w:t>בבנק ישראל</w:t>
      </w:r>
      <w:r w:rsidR="001A1017" w:rsidRPr="0051240D">
        <w:rPr>
          <w:rFonts w:cstheme="minorHAnsi"/>
          <w:sz w:val="24"/>
          <w:szCs w:val="24"/>
          <w:rtl/>
        </w:rPr>
        <w:t>.</w:t>
      </w:r>
    </w:p>
    <w:p w14:paraId="43F659F3" w14:textId="77777777" w:rsidR="00F31AC7" w:rsidRPr="0051240D" w:rsidRDefault="00F31AC7" w:rsidP="00DD735B">
      <w:pPr>
        <w:spacing w:line="360" w:lineRule="auto"/>
        <w:jc w:val="both"/>
        <w:rPr>
          <w:rFonts w:cstheme="minorHAnsi"/>
          <w:sz w:val="24"/>
          <w:szCs w:val="24"/>
          <w:rtl/>
        </w:rPr>
      </w:pPr>
    </w:p>
    <w:p w14:paraId="5CE58F60" w14:textId="77777777" w:rsidR="00716312" w:rsidRPr="0051240D" w:rsidRDefault="001A1017" w:rsidP="00DD735B">
      <w:pPr>
        <w:spacing w:line="360" w:lineRule="auto"/>
        <w:jc w:val="both"/>
        <w:rPr>
          <w:rFonts w:cstheme="minorHAnsi"/>
          <w:b/>
          <w:bCs/>
          <w:sz w:val="24"/>
          <w:szCs w:val="24"/>
          <w:rtl/>
        </w:rPr>
      </w:pPr>
      <w:r w:rsidRPr="0051240D">
        <w:rPr>
          <w:rFonts w:cstheme="minorHAnsi"/>
          <w:sz w:val="24"/>
          <w:szCs w:val="24"/>
          <w:rtl/>
        </w:rPr>
        <w:t xml:space="preserve">החלק הראשון </w:t>
      </w:r>
      <w:r w:rsidR="008E0F81" w:rsidRPr="0051240D">
        <w:rPr>
          <w:rFonts w:cstheme="minorHAnsi"/>
          <w:sz w:val="24"/>
          <w:szCs w:val="24"/>
          <w:rtl/>
        </w:rPr>
        <w:t>ב</w:t>
      </w:r>
      <w:r w:rsidRPr="0051240D">
        <w:rPr>
          <w:rFonts w:cstheme="minorHAnsi"/>
          <w:sz w:val="24"/>
          <w:szCs w:val="24"/>
          <w:rtl/>
        </w:rPr>
        <w:t xml:space="preserve">דו"ח </w:t>
      </w:r>
      <w:r w:rsidR="008E0F81" w:rsidRPr="0051240D">
        <w:rPr>
          <w:rFonts w:cstheme="minorHAnsi"/>
          <w:sz w:val="24"/>
          <w:szCs w:val="24"/>
          <w:rtl/>
        </w:rPr>
        <w:t>עוסק</w:t>
      </w:r>
      <w:r w:rsidRPr="0051240D">
        <w:rPr>
          <w:rFonts w:cstheme="minorHAnsi"/>
          <w:sz w:val="24"/>
          <w:szCs w:val="24"/>
          <w:rtl/>
        </w:rPr>
        <w:t xml:space="preserve"> </w:t>
      </w:r>
      <w:r w:rsidR="000A3948" w:rsidRPr="0051240D">
        <w:rPr>
          <w:rFonts w:cstheme="minorHAnsi"/>
          <w:sz w:val="24"/>
          <w:szCs w:val="24"/>
          <w:rtl/>
        </w:rPr>
        <w:t>בארבע</w:t>
      </w:r>
      <w:r w:rsidR="00614AF5" w:rsidRPr="0051240D">
        <w:rPr>
          <w:rFonts w:cstheme="minorHAnsi"/>
          <w:sz w:val="24"/>
          <w:szCs w:val="24"/>
          <w:rtl/>
        </w:rPr>
        <w:t>ה</w:t>
      </w:r>
      <w:r w:rsidR="000A3948" w:rsidRPr="0051240D">
        <w:rPr>
          <w:rFonts w:cstheme="minorHAnsi"/>
          <w:sz w:val="24"/>
          <w:szCs w:val="24"/>
          <w:rtl/>
        </w:rPr>
        <w:t xml:space="preserve"> נושאים מרכזיים</w:t>
      </w:r>
      <w:r w:rsidR="00653851" w:rsidRPr="0051240D">
        <w:rPr>
          <w:rFonts w:cstheme="minorHAnsi"/>
          <w:sz w:val="24"/>
          <w:szCs w:val="24"/>
          <w:rtl/>
        </w:rPr>
        <w:t xml:space="preserve"> בסטטיסטיקה הפיננסית של ישראל</w:t>
      </w:r>
      <w:r w:rsidRPr="0051240D">
        <w:rPr>
          <w:rFonts w:cstheme="minorHAnsi"/>
          <w:sz w:val="24"/>
          <w:szCs w:val="24"/>
          <w:rtl/>
        </w:rPr>
        <w:t>:</w:t>
      </w:r>
    </w:p>
    <w:p w14:paraId="6DBA3661" w14:textId="77777777" w:rsidR="001504F0" w:rsidRPr="0051240D" w:rsidRDefault="001504F0" w:rsidP="00DD735B">
      <w:pPr>
        <w:spacing w:line="360" w:lineRule="auto"/>
        <w:jc w:val="both"/>
        <w:rPr>
          <w:rFonts w:cstheme="minorHAnsi"/>
          <w:b/>
          <w:bCs/>
          <w:sz w:val="24"/>
          <w:szCs w:val="24"/>
          <w:rtl/>
        </w:rPr>
      </w:pPr>
    </w:p>
    <w:tbl>
      <w:tblPr>
        <w:tblStyle w:val="TableGrid"/>
        <w:tblpPr w:vertAnchor="text" w:horzAnchor="margin" w:tblpX="-328" w:tblpY="1"/>
        <w:bidiVisual/>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0"/>
        <w:gridCol w:w="4632"/>
      </w:tblGrid>
      <w:tr w:rsidR="0037178A" w:rsidRPr="0051240D" w14:paraId="7D76E416" w14:textId="77777777" w:rsidTr="00D37B1B">
        <w:tc>
          <w:tcPr>
            <w:tcW w:w="8642" w:type="dxa"/>
            <w:gridSpan w:val="2"/>
          </w:tcPr>
          <w:p w14:paraId="1BC525A5" w14:textId="77777777" w:rsidR="00FF314C" w:rsidRPr="0051240D" w:rsidRDefault="0037178A" w:rsidP="00D37B1B">
            <w:pPr>
              <w:pStyle w:val="ListParagraph"/>
              <w:numPr>
                <w:ilvl w:val="0"/>
                <w:numId w:val="23"/>
              </w:numPr>
              <w:jc w:val="both"/>
              <w:rPr>
                <w:rFonts w:cstheme="minorHAnsi"/>
                <w:noProof/>
                <w:sz w:val="24"/>
                <w:szCs w:val="24"/>
              </w:rPr>
            </w:pPr>
            <w:r w:rsidRPr="0051240D">
              <w:rPr>
                <w:rFonts w:cstheme="minorHAnsi"/>
                <w:b/>
                <w:bCs/>
                <w:sz w:val="24"/>
                <w:szCs w:val="24"/>
                <w:rtl/>
              </w:rPr>
              <w:t>תיק הנכסים הפיננסיים של הציבור</w:t>
            </w:r>
          </w:p>
          <w:p w14:paraId="7541EEE6" w14:textId="77777777" w:rsidR="0037178A" w:rsidRPr="0051240D" w:rsidRDefault="0037178A" w:rsidP="00D37B1B">
            <w:pPr>
              <w:jc w:val="both"/>
              <w:rPr>
                <w:rFonts w:cstheme="minorHAnsi"/>
                <w:noProof/>
                <w:sz w:val="24"/>
                <w:szCs w:val="24"/>
                <w:rtl/>
              </w:rPr>
            </w:pPr>
            <w:r w:rsidRPr="0051240D">
              <w:rPr>
                <w:rFonts w:cstheme="minorHAnsi"/>
                <w:b/>
                <w:bCs/>
                <w:sz w:val="24"/>
                <w:szCs w:val="24"/>
                <w:rtl/>
              </w:rPr>
              <w:t xml:space="preserve"> </w:t>
            </w:r>
          </w:p>
        </w:tc>
      </w:tr>
      <w:tr w:rsidR="00494260" w:rsidRPr="0051240D" w14:paraId="25009659" w14:textId="77777777" w:rsidTr="00D37B1B">
        <w:tc>
          <w:tcPr>
            <w:tcW w:w="4010" w:type="dxa"/>
          </w:tcPr>
          <w:p w14:paraId="55192DFB" w14:textId="77777777" w:rsidR="00E60A5C" w:rsidRPr="0051240D" w:rsidRDefault="00E60A5C" w:rsidP="00D37B1B">
            <w:pPr>
              <w:pStyle w:val="NoSpacing"/>
              <w:numPr>
                <w:ilvl w:val="0"/>
                <w:numId w:val="34"/>
              </w:numPr>
              <w:spacing w:line="360" w:lineRule="auto"/>
              <w:jc w:val="both"/>
              <w:rPr>
                <w:rFonts w:cstheme="minorHAnsi"/>
                <w:color w:val="000000" w:themeColor="text1"/>
                <w:sz w:val="24"/>
                <w:szCs w:val="24"/>
                <w:rtl/>
              </w:rPr>
            </w:pPr>
            <w:r w:rsidRPr="0051240D">
              <w:rPr>
                <w:rFonts w:cstheme="minorHAnsi"/>
                <w:color w:val="000000" w:themeColor="text1"/>
                <w:sz w:val="24"/>
                <w:szCs w:val="24"/>
                <w:rtl/>
              </w:rPr>
              <w:t xml:space="preserve">יתרת תיק הנכסים שבידי הציבור עלתה בשנת 2024 בכ-15%, גידול ניכר בהשוואה לשיעור הגידול הממוצע של התיק בעשור האחרון (6%). </w:t>
            </w:r>
          </w:p>
          <w:p w14:paraId="4205D81D" w14:textId="77777777" w:rsidR="00E60A5C" w:rsidRPr="0051240D" w:rsidRDefault="00E60A5C" w:rsidP="00D37B1B">
            <w:pPr>
              <w:pStyle w:val="NoSpacing"/>
              <w:numPr>
                <w:ilvl w:val="0"/>
                <w:numId w:val="34"/>
              </w:numPr>
              <w:spacing w:line="360" w:lineRule="auto"/>
              <w:jc w:val="both"/>
              <w:rPr>
                <w:rFonts w:cstheme="minorHAnsi"/>
                <w:color w:val="000000" w:themeColor="text1"/>
                <w:sz w:val="24"/>
                <w:szCs w:val="24"/>
                <w:rtl/>
              </w:rPr>
            </w:pPr>
            <w:r w:rsidRPr="0051240D">
              <w:rPr>
                <w:rFonts w:cstheme="minorHAnsi"/>
                <w:color w:val="000000" w:themeColor="text1"/>
                <w:sz w:val="24"/>
                <w:szCs w:val="24"/>
                <w:rtl/>
              </w:rPr>
              <w:t xml:space="preserve">בלטו העליות ברכיב הנכסים הפיננסים בחו"ל ובמניות בישראל, על רקע עליות המחירים בשוקי ההון, בעיקר במחצית השנייה של השנה. </w:t>
            </w:r>
          </w:p>
          <w:p w14:paraId="7540B9E2" w14:textId="77777777" w:rsidR="00494260" w:rsidRPr="0051240D" w:rsidRDefault="00E60A5C" w:rsidP="00D37B1B">
            <w:pPr>
              <w:pStyle w:val="NoSpacing"/>
              <w:numPr>
                <w:ilvl w:val="0"/>
                <w:numId w:val="34"/>
              </w:numPr>
              <w:spacing w:line="360" w:lineRule="auto"/>
              <w:jc w:val="both"/>
              <w:rPr>
                <w:rFonts w:cstheme="minorHAnsi"/>
                <w:sz w:val="24"/>
                <w:szCs w:val="24"/>
                <w:rtl/>
              </w:rPr>
            </w:pPr>
            <w:r w:rsidRPr="0051240D">
              <w:rPr>
                <w:rFonts w:cstheme="minorHAnsi"/>
                <w:color w:val="000000" w:themeColor="text1"/>
                <w:sz w:val="24"/>
                <w:szCs w:val="24"/>
                <w:rtl/>
              </w:rPr>
              <w:t xml:space="preserve">הגופים המוסדיים המשיכו להגדיל את חשיפתם לנכסים זרים; בקרנות הנאמנות יתרת הנכסים הגיעה </w:t>
            </w:r>
            <w:r w:rsidRPr="0051240D">
              <w:rPr>
                <w:rFonts w:cstheme="minorHAnsi"/>
                <w:color w:val="000000" w:themeColor="text1"/>
                <w:sz w:val="24"/>
                <w:szCs w:val="24"/>
                <w:rtl/>
              </w:rPr>
              <w:lastRenderedPageBreak/>
              <w:t xml:space="preserve">לרמת שיא, שילוב של עליות מחירים וצבירה נטו חיובית, בלטו הקרנות הכספיות </w:t>
            </w:r>
            <w:proofErr w:type="spellStart"/>
            <w:r w:rsidRPr="0051240D">
              <w:rPr>
                <w:rFonts w:cstheme="minorHAnsi"/>
                <w:color w:val="000000" w:themeColor="text1"/>
                <w:sz w:val="24"/>
                <w:szCs w:val="24"/>
                <w:rtl/>
              </w:rPr>
              <w:t>השקליות</w:t>
            </w:r>
            <w:proofErr w:type="spellEnd"/>
            <w:r w:rsidRPr="0051240D">
              <w:rPr>
                <w:rFonts w:cstheme="minorHAnsi"/>
                <w:color w:val="000000" w:themeColor="text1"/>
                <w:sz w:val="24"/>
                <w:szCs w:val="24"/>
                <w:rtl/>
              </w:rPr>
              <w:t xml:space="preserve"> וקרנות המתמחות במניות חו"ל.</w:t>
            </w:r>
          </w:p>
        </w:tc>
        <w:tc>
          <w:tcPr>
            <w:tcW w:w="4632" w:type="dxa"/>
          </w:tcPr>
          <w:p w14:paraId="4F27FBC7" w14:textId="20B98E66" w:rsidR="00C340A6" w:rsidRPr="0051240D" w:rsidRDefault="0051240D" w:rsidP="00D37B1B">
            <w:pPr>
              <w:spacing w:line="360" w:lineRule="auto"/>
              <w:jc w:val="both"/>
              <w:rPr>
                <w:rFonts w:eastAsiaTheme="majorEastAsia" w:cstheme="minorHAnsi"/>
                <w:sz w:val="24"/>
                <w:szCs w:val="24"/>
                <w:rtl/>
              </w:rPr>
            </w:pPr>
            <w:r w:rsidRPr="0051240D">
              <w:rPr>
                <w:rFonts w:eastAsiaTheme="majorEastAsia" w:cstheme="minorHAnsi"/>
                <w:b/>
                <w:bCs/>
                <w:noProof/>
                <w:sz w:val="24"/>
                <w:szCs w:val="24"/>
                <w:rtl/>
              </w:rPr>
              <w:lastRenderedPageBreak/>
              <w:drawing>
                <wp:anchor distT="0" distB="0" distL="114300" distR="114300" simplePos="0" relativeHeight="251691008" behindDoc="0" locked="0" layoutInCell="1" allowOverlap="1" wp14:anchorId="2B17CE13" wp14:editId="25005DC8">
                  <wp:simplePos x="0" y="0"/>
                  <wp:positionH relativeFrom="column">
                    <wp:posOffset>146050</wp:posOffset>
                  </wp:positionH>
                  <wp:positionV relativeFrom="paragraph">
                    <wp:posOffset>330200</wp:posOffset>
                  </wp:positionV>
                  <wp:extent cx="2577465" cy="1542415"/>
                  <wp:effectExtent l="0" t="0" r="0" b="635"/>
                  <wp:wrapTopAndBottom/>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7465" cy="1542415"/>
                          </a:xfrm>
                          <a:prstGeom prst="rect">
                            <a:avLst/>
                          </a:prstGeom>
                          <a:noFill/>
                        </pic:spPr>
                      </pic:pic>
                    </a:graphicData>
                  </a:graphic>
                  <wp14:sizeRelH relativeFrom="page">
                    <wp14:pctWidth>0</wp14:pctWidth>
                  </wp14:sizeRelH>
                  <wp14:sizeRelV relativeFrom="page">
                    <wp14:pctHeight>0</wp14:pctHeight>
                  </wp14:sizeRelV>
                </wp:anchor>
              </w:drawing>
            </w:r>
            <w:r w:rsidR="00C340A6" w:rsidRPr="0051240D">
              <w:rPr>
                <w:rFonts w:eastAsiaTheme="majorEastAsia" w:cstheme="minorHAnsi"/>
                <w:b/>
                <w:bCs/>
                <w:sz w:val="24"/>
                <w:szCs w:val="24"/>
                <w:rtl/>
              </w:rPr>
              <w:t xml:space="preserve">יתרת תיק הנכסים </w:t>
            </w:r>
          </w:p>
          <w:p w14:paraId="4BF2D1B1" w14:textId="08758D47" w:rsidR="005A55AA" w:rsidRPr="0051240D" w:rsidRDefault="00C340A6" w:rsidP="00D37B1B">
            <w:pPr>
              <w:spacing w:line="360" w:lineRule="auto"/>
              <w:jc w:val="both"/>
              <w:rPr>
                <w:rFonts w:cstheme="minorHAnsi"/>
                <w:noProof/>
                <w:sz w:val="24"/>
                <w:szCs w:val="24"/>
                <w:rtl/>
              </w:rPr>
            </w:pPr>
            <w:r w:rsidRPr="0051240D">
              <w:rPr>
                <w:rFonts w:eastAsiaTheme="majorEastAsia" w:cstheme="minorHAnsi"/>
                <w:sz w:val="24"/>
                <w:szCs w:val="24"/>
                <w:rtl/>
              </w:rPr>
              <w:t>יתרה בטריליוני ש"ח (קו) ושיעור שינוי שנתי (עמודות)</w:t>
            </w:r>
          </w:p>
          <w:p w14:paraId="3D634952" w14:textId="77777777" w:rsidR="005A55AA" w:rsidRPr="0051240D" w:rsidRDefault="00C340A6" w:rsidP="00D37B1B">
            <w:pPr>
              <w:spacing w:line="360" w:lineRule="auto"/>
              <w:jc w:val="both"/>
              <w:rPr>
                <w:rFonts w:cstheme="minorHAnsi"/>
                <w:sz w:val="24"/>
                <w:szCs w:val="24"/>
                <w:rtl/>
              </w:rPr>
            </w:pPr>
            <w:r w:rsidRPr="0051240D">
              <w:rPr>
                <w:rFonts w:cstheme="minorHAnsi"/>
                <w:noProof/>
                <w:sz w:val="24"/>
                <w:szCs w:val="24"/>
                <w:rtl/>
              </w:rPr>
              <w:t xml:space="preserve">המקור: עיבודי בנק ישראל </w:t>
            </w:r>
          </w:p>
        </w:tc>
      </w:tr>
    </w:tbl>
    <w:p w14:paraId="229499B8" w14:textId="77777777" w:rsidR="00B15636" w:rsidRPr="0051240D" w:rsidRDefault="00B15636" w:rsidP="00DD735B">
      <w:pPr>
        <w:spacing w:line="360" w:lineRule="auto"/>
        <w:jc w:val="both"/>
        <w:rPr>
          <w:rFonts w:cstheme="minorHAnsi"/>
          <w:sz w:val="24"/>
          <w:szCs w:val="24"/>
          <w:rtl/>
        </w:rPr>
      </w:pPr>
    </w:p>
    <w:p w14:paraId="39D9E2F6" w14:textId="77777777" w:rsidR="00494260" w:rsidRPr="0051240D" w:rsidRDefault="00494260" w:rsidP="00DD735B">
      <w:pPr>
        <w:spacing w:line="360" w:lineRule="auto"/>
        <w:jc w:val="both"/>
        <w:rPr>
          <w:rFonts w:cstheme="minorHAnsi"/>
          <w:sz w:val="24"/>
          <w:szCs w:val="24"/>
          <w:rtl/>
        </w:rPr>
      </w:pPr>
    </w:p>
    <w:p w14:paraId="17C488F6" w14:textId="36C1BF77" w:rsidR="00D37B1B" w:rsidRPr="0051240D" w:rsidRDefault="00D37B1B" w:rsidP="00DD735B">
      <w:pPr>
        <w:spacing w:line="360" w:lineRule="auto"/>
        <w:jc w:val="both"/>
        <w:rPr>
          <w:rFonts w:cstheme="minorHAnsi"/>
          <w:sz w:val="24"/>
          <w:szCs w:val="24"/>
          <w:rtl/>
        </w:rPr>
      </w:pPr>
    </w:p>
    <w:tbl>
      <w:tblPr>
        <w:tblStyle w:val="TableGrid"/>
        <w:tblpPr w:vertAnchor="page" w:horzAnchor="margin" w:tblpX="-385" w:tblpY="1135"/>
        <w:bidiVisual/>
        <w:tblW w:w="8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9"/>
        <w:gridCol w:w="4529"/>
      </w:tblGrid>
      <w:tr w:rsidR="0037178A" w:rsidRPr="0051240D" w14:paraId="13DD4A45" w14:textId="77777777" w:rsidTr="00D37B1B">
        <w:trPr>
          <w:trHeight w:val="349"/>
        </w:trPr>
        <w:tc>
          <w:tcPr>
            <w:tcW w:w="8738" w:type="dxa"/>
            <w:gridSpan w:val="2"/>
          </w:tcPr>
          <w:p w14:paraId="69C70A26" w14:textId="77777777" w:rsidR="0037178A" w:rsidRPr="0051240D" w:rsidRDefault="0037178A" w:rsidP="00D37B1B">
            <w:pPr>
              <w:pStyle w:val="ListParagraph"/>
              <w:numPr>
                <w:ilvl w:val="0"/>
                <w:numId w:val="23"/>
              </w:numPr>
              <w:jc w:val="both"/>
              <w:rPr>
                <w:rFonts w:cstheme="minorHAnsi"/>
                <w:noProof/>
                <w:sz w:val="24"/>
                <w:szCs w:val="24"/>
                <w:rtl/>
              </w:rPr>
            </w:pPr>
            <w:r w:rsidRPr="0051240D">
              <w:rPr>
                <w:rFonts w:cstheme="minorHAnsi"/>
                <w:b/>
                <w:bCs/>
                <w:sz w:val="24"/>
                <w:szCs w:val="24"/>
                <w:rtl/>
              </w:rPr>
              <w:lastRenderedPageBreak/>
              <w:t>החוב של המגזר הפרטי הלא-פיננסי</w:t>
            </w:r>
          </w:p>
        </w:tc>
      </w:tr>
      <w:tr w:rsidR="0037178A" w:rsidRPr="0051240D" w14:paraId="346971BD" w14:textId="77777777" w:rsidTr="00D37B1B">
        <w:trPr>
          <w:trHeight w:val="349"/>
        </w:trPr>
        <w:tc>
          <w:tcPr>
            <w:tcW w:w="4209" w:type="dxa"/>
            <w:shd w:val="clear" w:color="auto" w:fill="auto"/>
          </w:tcPr>
          <w:p w14:paraId="2B76F336" w14:textId="77777777" w:rsidR="00D23407" w:rsidRPr="0051240D" w:rsidRDefault="00E60A5C" w:rsidP="00D37B1B">
            <w:pPr>
              <w:pStyle w:val="NoSpacing"/>
              <w:numPr>
                <w:ilvl w:val="0"/>
                <w:numId w:val="34"/>
              </w:numPr>
              <w:spacing w:line="360" w:lineRule="auto"/>
              <w:jc w:val="both"/>
              <w:rPr>
                <w:rFonts w:eastAsia="Times New Roman" w:cstheme="minorHAnsi"/>
                <w:sz w:val="24"/>
                <w:szCs w:val="24"/>
              </w:rPr>
            </w:pPr>
            <w:r w:rsidRPr="0051240D">
              <w:rPr>
                <w:rFonts w:eastAsia="Times New Roman" w:cstheme="minorHAnsi"/>
                <w:sz w:val="24"/>
                <w:szCs w:val="24"/>
                <w:rtl/>
              </w:rPr>
              <w:t xml:space="preserve">בשנת 2024, נמשכה העלייה ביתרת החוב של המגזר הפרטי הלא-פיננסי </w:t>
            </w:r>
            <w:r w:rsidR="00310E21" w:rsidRPr="0051240D">
              <w:rPr>
                <w:rFonts w:eastAsia="Times New Roman" w:cstheme="minorHAnsi"/>
                <w:sz w:val="24"/>
                <w:szCs w:val="24"/>
                <w:rtl/>
              </w:rPr>
              <w:t>בעיקר</w:t>
            </w:r>
            <w:r w:rsidRPr="0051240D">
              <w:rPr>
                <w:rFonts w:eastAsia="Times New Roman" w:cstheme="minorHAnsi"/>
                <w:sz w:val="24"/>
                <w:szCs w:val="24"/>
                <w:rtl/>
              </w:rPr>
              <w:t xml:space="preserve"> במחצית השנייה של השנה; התפתחות זו אפיינה את שני המגזרים הלווים</w:t>
            </w:r>
            <w:r w:rsidR="005F0C49" w:rsidRPr="0051240D">
              <w:rPr>
                <w:rFonts w:eastAsia="Times New Roman" w:cstheme="minorHAnsi"/>
                <w:sz w:val="24"/>
                <w:szCs w:val="24"/>
                <w:rtl/>
              </w:rPr>
              <w:t>,</w:t>
            </w:r>
            <w:r w:rsidRPr="0051240D">
              <w:rPr>
                <w:rFonts w:eastAsia="Times New Roman" w:cstheme="minorHAnsi"/>
                <w:sz w:val="24"/>
                <w:szCs w:val="24"/>
                <w:rtl/>
              </w:rPr>
              <w:t xml:space="preserve"> </w:t>
            </w:r>
            <w:r w:rsidR="005F0C49" w:rsidRPr="0051240D">
              <w:rPr>
                <w:rFonts w:eastAsia="Times New Roman" w:cstheme="minorHAnsi"/>
                <w:sz w:val="24"/>
                <w:szCs w:val="24"/>
                <w:rtl/>
              </w:rPr>
              <w:t xml:space="preserve">המגזר </w:t>
            </w:r>
            <w:r w:rsidRPr="0051240D">
              <w:rPr>
                <w:rFonts w:eastAsia="Times New Roman" w:cstheme="minorHAnsi"/>
                <w:sz w:val="24"/>
                <w:szCs w:val="24"/>
                <w:rtl/>
              </w:rPr>
              <w:t>העסקי ו</w:t>
            </w:r>
            <w:r w:rsidR="005F0C49" w:rsidRPr="0051240D">
              <w:rPr>
                <w:rFonts w:eastAsia="Times New Roman" w:cstheme="minorHAnsi"/>
                <w:sz w:val="24"/>
                <w:szCs w:val="24"/>
                <w:rtl/>
              </w:rPr>
              <w:t xml:space="preserve">מגזר </w:t>
            </w:r>
            <w:r w:rsidRPr="0051240D">
              <w:rPr>
                <w:rFonts w:eastAsia="Times New Roman" w:cstheme="minorHAnsi"/>
                <w:sz w:val="24"/>
                <w:szCs w:val="24"/>
                <w:rtl/>
              </w:rPr>
              <w:t xml:space="preserve">משקי הבית. </w:t>
            </w:r>
          </w:p>
          <w:p w14:paraId="4C06B547" w14:textId="0759A02F" w:rsidR="00310E21" w:rsidRPr="00F275EC" w:rsidRDefault="00E60A5C" w:rsidP="00811479">
            <w:pPr>
              <w:pStyle w:val="ListParagraph"/>
              <w:numPr>
                <w:ilvl w:val="0"/>
                <w:numId w:val="31"/>
              </w:numPr>
              <w:spacing w:line="360" w:lineRule="auto"/>
              <w:jc w:val="both"/>
              <w:rPr>
                <w:rFonts w:eastAsia="Times New Roman" w:cstheme="minorHAnsi"/>
                <w:sz w:val="24"/>
                <w:szCs w:val="24"/>
              </w:rPr>
            </w:pPr>
            <w:r w:rsidRPr="00F275EC">
              <w:rPr>
                <w:rFonts w:eastAsia="Times New Roman" w:cstheme="minorHAnsi"/>
                <w:sz w:val="24"/>
                <w:szCs w:val="24"/>
                <w:rtl/>
              </w:rPr>
              <w:t>יתרת החוב של המגזר העסקי הלא-פיננסי עלתה בשנת 2024 בכ-9</w:t>
            </w:r>
            <w:r w:rsidR="004343CD" w:rsidRPr="00F275EC">
              <w:rPr>
                <w:rFonts w:eastAsia="Times New Roman" w:cstheme="minorHAnsi"/>
                <w:sz w:val="24"/>
                <w:szCs w:val="24"/>
                <w:rtl/>
              </w:rPr>
              <w:t>8</w:t>
            </w:r>
            <w:r w:rsidRPr="00F275EC">
              <w:rPr>
                <w:rFonts w:eastAsia="Times New Roman" w:cstheme="minorHAnsi"/>
                <w:sz w:val="24"/>
                <w:szCs w:val="24"/>
                <w:rtl/>
              </w:rPr>
              <w:t xml:space="preserve"> מיליארדי ש"ח (8%), בעיקר כתוצאה מגיוס חוב נטו</w:t>
            </w:r>
            <w:r w:rsidR="005F0C49" w:rsidRPr="00F275EC">
              <w:rPr>
                <w:rFonts w:eastAsia="Times New Roman" w:cstheme="minorHAnsi"/>
                <w:sz w:val="24"/>
                <w:szCs w:val="24"/>
                <w:rtl/>
              </w:rPr>
              <w:t xml:space="preserve"> </w:t>
            </w:r>
            <w:r w:rsidRPr="00F275EC">
              <w:rPr>
                <w:rFonts w:eastAsia="Times New Roman" w:cstheme="minorHAnsi"/>
                <w:sz w:val="24"/>
                <w:szCs w:val="24"/>
                <w:rtl/>
              </w:rPr>
              <w:t xml:space="preserve">שהתרכז באפיקי ההלוואות הבנקאיות </w:t>
            </w:r>
            <w:proofErr w:type="spellStart"/>
            <w:r w:rsidRPr="00F275EC">
              <w:rPr>
                <w:rFonts w:eastAsia="Times New Roman" w:cstheme="minorHAnsi"/>
                <w:sz w:val="24"/>
                <w:szCs w:val="24"/>
                <w:rtl/>
              </w:rPr>
              <w:t>והאג"ח</w:t>
            </w:r>
            <w:proofErr w:type="spellEnd"/>
            <w:r w:rsidRPr="00F275EC">
              <w:rPr>
                <w:rFonts w:eastAsia="Times New Roman" w:cstheme="minorHAnsi"/>
                <w:sz w:val="24"/>
                <w:szCs w:val="24"/>
                <w:rtl/>
              </w:rPr>
              <w:t xml:space="preserve"> הסחירות בארץ</w:t>
            </w:r>
            <w:r w:rsidR="006973FA" w:rsidRPr="00F275EC">
              <w:rPr>
                <w:rFonts w:eastAsia="Times New Roman" w:cstheme="minorHAnsi"/>
                <w:sz w:val="24"/>
                <w:szCs w:val="24"/>
                <w:rtl/>
              </w:rPr>
              <w:t>.</w:t>
            </w:r>
            <w:r w:rsidRPr="00F275EC">
              <w:rPr>
                <w:rFonts w:eastAsia="Times New Roman" w:cstheme="minorHAnsi"/>
                <w:sz w:val="24"/>
                <w:szCs w:val="24"/>
                <w:rtl/>
              </w:rPr>
              <w:t xml:space="preserve"> חברות מענפי הבינוי והנדל"ן הובילו את העלייה בסך החוב, </w:t>
            </w:r>
            <w:bookmarkStart w:id="0" w:name="_GoBack"/>
            <w:bookmarkEnd w:id="0"/>
          </w:p>
          <w:p w14:paraId="3865545D" w14:textId="77777777" w:rsidR="009E2346" w:rsidRPr="0051240D" w:rsidRDefault="00E60A5C" w:rsidP="00D37B1B">
            <w:pPr>
              <w:pStyle w:val="ListParagraph"/>
              <w:numPr>
                <w:ilvl w:val="0"/>
                <w:numId w:val="31"/>
              </w:numPr>
              <w:spacing w:line="360" w:lineRule="auto"/>
              <w:jc w:val="both"/>
              <w:rPr>
                <w:rFonts w:eastAsia="Times New Roman" w:cstheme="minorHAnsi"/>
                <w:sz w:val="24"/>
                <w:szCs w:val="24"/>
                <w:rtl/>
              </w:rPr>
            </w:pPr>
            <w:r w:rsidRPr="0051240D">
              <w:rPr>
                <w:rFonts w:eastAsia="Times New Roman" w:cstheme="minorHAnsi"/>
                <w:sz w:val="24"/>
                <w:szCs w:val="24"/>
                <w:rtl/>
              </w:rPr>
              <w:t>יתרת החוב של משקי הבית עלתה גם היא בהיקף של כ-</w:t>
            </w:r>
            <w:r w:rsidR="004343CD" w:rsidRPr="0051240D">
              <w:rPr>
                <w:rFonts w:eastAsia="Times New Roman" w:cstheme="minorHAnsi"/>
                <w:sz w:val="24"/>
                <w:szCs w:val="24"/>
                <w:rtl/>
              </w:rPr>
              <w:t>52</w:t>
            </w:r>
            <w:r w:rsidRPr="0051240D">
              <w:rPr>
                <w:rFonts w:eastAsia="Times New Roman" w:cstheme="minorHAnsi"/>
                <w:sz w:val="24"/>
                <w:szCs w:val="24"/>
                <w:rtl/>
              </w:rPr>
              <w:t xml:space="preserve"> מיליארדי ש"ח (</w:t>
            </w:r>
            <w:r w:rsidR="004343CD" w:rsidRPr="0051240D">
              <w:rPr>
                <w:rFonts w:eastAsia="Times New Roman" w:cstheme="minorHAnsi"/>
                <w:sz w:val="24"/>
                <w:szCs w:val="24"/>
                <w:rtl/>
              </w:rPr>
              <w:t>7</w:t>
            </w:r>
            <w:r w:rsidRPr="0051240D">
              <w:rPr>
                <w:rFonts w:eastAsia="Times New Roman" w:cstheme="minorHAnsi"/>
                <w:sz w:val="24"/>
                <w:szCs w:val="24"/>
                <w:rtl/>
              </w:rPr>
              <w:t>%), בעיקר בשל עלייה ביתרת החוב לדיור שמקורה בגידול בנטילת המשכנתאות החדשות על ידי משקי הבית מהבנקים, שהחלה בסוף שנת 2023. השנה עלתה גם יתרת החוב שלא-לדיור ואף נרש</w:t>
            </w:r>
            <w:r w:rsidR="004343CD" w:rsidRPr="0051240D">
              <w:rPr>
                <w:rFonts w:eastAsia="Times New Roman" w:cstheme="minorHAnsi"/>
                <w:sz w:val="24"/>
                <w:szCs w:val="24"/>
                <w:rtl/>
              </w:rPr>
              <w:t>ם בה שיעור גידול חיובי של כ-4%.</w:t>
            </w:r>
          </w:p>
          <w:p w14:paraId="22623905" w14:textId="77777777" w:rsidR="009E2346" w:rsidRPr="0051240D" w:rsidRDefault="009E2346" w:rsidP="00D37B1B">
            <w:pPr>
              <w:ind w:left="720"/>
              <w:jc w:val="both"/>
              <w:rPr>
                <w:rFonts w:eastAsia="Times New Roman" w:cstheme="minorHAnsi"/>
                <w:sz w:val="24"/>
                <w:szCs w:val="24"/>
                <w:rtl/>
              </w:rPr>
            </w:pPr>
          </w:p>
          <w:p w14:paraId="2D32485D" w14:textId="77777777" w:rsidR="004343CD" w:rsidRPr="0051240D" w:rsidRDefault="004343CD" w:rsidP="00D37B1B">
            <w:pPr>
              <w:ind w:left="720"/>
              <w:jc w:val="both"/>
              <w:rPr>
                <w:rFonts w:eastAsia="Times New Roman" w:cstheme="minorHAnsi"/>
                <w:sz w:val="24"/>
                <w:szCs w:val="24"/>
                <w:rtl/>
              </w:rPr>
            </w:pPr>
          </w:p>
          <w:p w14:paraId="7D0EDF90" w14:textId="77777777" w:rsidR="004343CD" w:rsidRPr="0051240D" w:rsidRDefault="004343CD" w:rsidP="00D37B1B">
            <w:pPr>
              <w:ind w:left="720"/>
              <w:jc w:val="both"/>
              <w:rPr>
                <w:rFonts w:eastAsia="Times New Roman" w:cstheme="minorHAnsi"/>
                <w:sz w:val="24"/>
                <w:szCs w:val="24"/>
                <w:rtl/>
              </w:rPr>
            </w:pPr>
          </w:p>
          <w:p w14:paraId="3EA397F7" w14:textId="77777777" w:rsidR="004343CD" w:rsidRPr="0051240D" w:rsidRDefault="004343CD" w:rsidP="00D37B1B">
            <w:pPr>
              <w:ind w:left="720"/>
              <w:jc w:val="both"/>
              <w:rPr>
                <w:rFonts w:eastAsia="Times New Roman" w:cstheme="minorHAnsi"/>
                <w:sz w:val="24"/>
                <w:szCs w:val="24"/>
                <w:rtl/>
              </w:rPr>
            </w:pPr>
          </w:p>
        </w:tc>
        <w:tc>
          <w:tcPr>
            <w:tcW w:w="4529" w:type="dxa"/>
          </w:tcPr>
          <w:p w14:paraId="2509B3ED" w14:textId="77777777" w:rsidR="009E2346" w:rsidRPr="0051240D" w:rsidRDefault="009E2346" w:rsidP="00D37B1B">
            <w:pPr>
              <w:spacing w:line="360" w:lineRule="auto"/>
              <w:jc w:val="both"/>
              <w:rPr>
                <w:rFonts w:eastAsiaTheme="majorEastAsia" w:cstheme="minorHAnsi"/>
                <w:b/>
                <w:bCs/>
                <w:sz w:val="24"/>
                <w:szCs w:val="24"/>
                <w:rtl/>
              </w:rPr>
            </w:pPr>
            <w:r w:rsidRPr="0051240D">
              <w:rPr>
                <w:rFonts w:eastAsiaTheme="majorEastAsia" w:cstheme="minorHAnsi"/>
                <w:b/>
                <w:bCs/>
                <w:sz w:val="24"/>
                <w:szCs w:val="24"/>
                <w:rtl/>
              </w:rPr>
              <w:t>שיעורי השינוי השנתיים ביתרת החוב של המגזר העסקי לפי מלווים</w:t>
            </w:r>
          </w:p>
          <w:p w14:paraId="004852BC" w14:textId="77777777" w:rsidR="009E2346" w:rsidRPr="0051240D" w:rsidRDefault="004343CD" w:rsidP="00D37B1B">
            <w:pPr>
              <w:spacing w:line="360" w:lineRule="auto"/>
              <w:jc w:val="both"/>
              <w:rPr>
                <w:rFonts w:eastAsiaTheme="majorEastAsia" w:cstheme="minorHAnsi"/>
                <w:sz w:val="24"/>
                <w:szCs w:val="24"/>
                <w:rtl/>
              </w:rPr>
            </w:pPr>
            <w:r w:rsidRPr="0051240D">
              <w:rPr>
                <w:rFonts w:eastAsiaTheme="majorEastAsia" w:cstheme="minorHAnsi"/>
                <w:b/>
                <w:bCs/>
                <w:noProof/>
                <w:sz w:val="24"/>
                <w:szCs w:val="24"/>
                <w:rtl/>
              </w:rPr>
              <w:drawing>
                <wp:anchor distT="0" distB="0" distL="114300" distR="114300" simplePos="0" relativeHeight="251692032" behindDoc="0" locked="0" layoutInCell="1" allowOverlap="1" wp14:anchorId="5E8E5883" wp14:editId="15E692FA">
                  <wp:simplePos x="0" y="0"/>
                  <wp:positionH relativeFrom="column">
                    <wp:posOffset>135255</wp:posOffset>
                  </wp:positionH>
                  <wp:positionV relativeFrom="paragraph">
                    <wp:posOffset>182880</wp:posOffset>
                  </wp:positionV>
                  <wp:extent cx="2574000" cy="1548000"/>
                  <wp:effectExtent l="0" t="0" r="0" b="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4000" cy="1548000"/>
                          </a:xfrm>
                          <a:prstGeom prst="rect">
                            <a:avLst/>
                          </a:prstGeom>
                          <a:noFill/>
                        </pic:spPr>
                      </pic:pic>
                    </a:graphicData>
                  </a:graphic>
                  <wp14:sizeRelH relativeFrom="page">
                    <wp14:pctWidth>0</wp14:pctWidth>
                  </wp14:sizeRelH>
                  <wp14:sizeRelV relativeFrom="page">
                    <wp14:pctHeight>0</wp14:pctHeight>
                  </wp14:sizeRelV>
                </wp:anchor>
              </w:drawing>
            </w:r>
            <w:r w:rsidR="009E2346" w:rsidRPr="0051240D">
              <w:rPr>
                <w:rFonts w:eastAsiaTheme="majorEastAsia" w:cstheme="minorHAnsi"/>
                <w:sz w:val="24"/>
                <w:szCs w:val="24"/>
                <w:rtl/>
              </w:rPr>
              <w:t>אחוזים</w:t>
            </w:r>
          </w:p>
          <w:p w14:paraId="719A9C48" w14:textId="77777777" w:rsidR="004343CD" w:rsidRPr="0051240D" w:rsidRDefault="004343CD" w:rsidP="00D37B1B">
            <w:pPr>
              <w:spacing w:line="360" w:lineRule="auto"/>
              <w:jc w:val="both"/>
              <w:rPr>
                <w:rFonts w:eastAsiaTheme="majorEastAsia" w:cstheme="minorHAnsi"/>
                <w:b/>
                <w:bCs/>
                <w:sz w:val="24"/>
                <w:szCs w:val="24"/>
                <w:rtl/>
              </w:rPr>
            </w:pPr>
          </w:p>
          <w:p w14:paraId="536A79E1" w14:textId="77777777" w:rsidR="00E53F9A" w:rsidRPr="0051240D" w:rsidRDefault="00E53F9A" w:rsidP="00D37B1B">
            <w:pPr>
              <w:ind w:right="-112"/>
              <w:rPr>
                <w:rFonts w:eastAsiaTheme="majorEastAsia" w:cstheme="minorHAnsi"/>
                <w:b/>
                <w:bCs/>
                <w:sz w:val="24"/>
                <w:szCs w:val="24"/>
                <w:rtl/>
              </w:rPr>
            </w:pPr>
          </w:p>
          <w:p w14:paraId="36D2A167" w14:textId="77777777" w:rsidR="00E60A5C" w:rsidRPr="0051240D" w:rsidRDefault="00E60A5C" w:rsidP="00D37B1B">
            <w:pPr>
              <w:spacing w:after="180"/>
              <w:ind w:right="-113"/>
              <w:rPr>
                <w:rFonts w:eastAsiaTheme="majorEastAsia" w:cstheme="minorHAnsi"/>
                <w:noProof/>
                <w:sz w:val="24"/>
                <w:szCs w:val="24"/>
                <w:rtl/>
              </w:rPr>
            </w:pPr>
          </w:p>
          <w:p w14:paraId="4986BF23" w14:textId="77777777" w:rsidR="004343CD" w:rsidRPr="0051240D" w:rsidRDefault="004343CD" w:rsidP="00D37B1B">
            <w:pPr>
              <w:spacing w:after="180"/>
              <w:ind w:right="-113"/>
              <w:rPr>
                <w:rFonts w:eastAsiaTheme="majorEastAsia" w:cstheme="minorHAnsi"/>
                <w:sz w:val="24"/>
                <w:szCs w:val="24"/>
                <w:rtl/>
              </w:rPr>
            </w:pPr>
          </w:p>
          <w:p w14:paraId="515F8FEF" w14:textId="77777777" w:rsidR="004343CD" w:rsidRPr="0051240D" w:rsidRDefault="004343CD" w:rsidP="00D37B1B">
            <w:pPr>
              <w:spacing w:after="180"/>
              <w:ind w:right="-113"/>
              <w:rPr>
                <w:rFonts w:eastAsiaTheme="majorEastAsia" w:cstheme="minorHAnsi"/>
                <w:sz w:val="24"/>
                <w:szCs w:val="24"/>
                <w:rtl/>
              </w:rPr>
            </w:pPr>
          </w:p>
          <w:p w14:paraId="5A21A514" w14:textId="77777777" w:rsidR="004343CD" w:rsidRPr="0051240D" w:rsidRDefault="004343CD" w:rsidP="00D37B1B">
            <w:pPr>
              <w:spacing w:after="180"/>
              <w:ind w:right="-113"/>
              <w:rPr>
                <w:rFonts w:eastAsiaTheme="majorEastAsia" w:cstheme="minorHAnsi"/>
                <w:sz w:val="24"/>
                <w:szCs w:val="24"/>
                <w:rtl/>
              </w:rPr>
            </w:pPr>
          </w:p>
          <w:p w14:paraId="57C6E7A0" w14:textId="77777777" w:rsidR="004343CD" w:rsidRPr="0051240D" w:rsidRDefault="004343CD" w:rsidP="00D37B1B">
            <w:pPr>
              <w:spacing w:after="180"/>
              <w:ind w:right="-113"/>
              <w:rPr>
                <w:rFonts w:eastAsiaTheme="majorEastAsia" w:cstheme="minorHAnsi"/>
                <w:sz w:val="24"/>
                <w:szCs w:val="24"/>
                <w:rtl/>
              </w:rPr>
            </w:pPr>
          </w:p>
          <w:p w14:paraId="04B0CC88" w14:textId="77777777" w:rsidR="0083643A" w:rsidRPr="0051240D" w:rsidRDefault="00E53F9A" w:rsidP="00D37B1B">
            <w:pPr>
              <w:spacing w:after="180"/>
              <w:ind w:right="-113"/>
              <w:rPr>
                <w:rFonts w:eastAsiaTheme="majorEastAsia" w:cstheme="minorHAnsi"/>
                <w:noProof/>
                <w:sz w:val="24"/>
                <w:szCs w:val="24"/>
                <w:rtl/>
              </w:rPr>
            </w:pPr>
            <w:r w:rsidRPr="0051240D">
              <w:rPr>
                <w:rFonts w:eastAsiaTheme="majorEastAsia" w:cstheme="minorHAnsi"/>
                <w:sz w:val="24"/>
                <w:szCs w:val="24"/>
                <w:rtl/>
              </w:rPr>
              <w:t>המקור: דיווחים לבנק ישראל, הבורסה לני"ע ועיבודי בנק ישראל.</w:t>
            </w:r>
          </w:p>
          <w:p w14:paraId="0DA323FF" w14:textId="77777777" w:rsidR="004343CD" w:rsidRPr="0051240D" w:rsidRDefault="004343CD" w:rsidP="00D37B1B">
            <w:pPr>
              <w:ind w:right="-112"/>
              <w:rPr>
                <w:rFonts w:eastAsiaTheme="majorEastAsia" w:cstheme="minorHAnsi"/>
                <w:b/>
                <w:bCs/>
                <w:sz w:val="24"/>
                <w:szCs w:val="24"/>
                <w:rtl/>
              </w:rPr>
            </w:pPr>
          </w:p>
          <w:p w14:paraId="46A8B604" w14:textId="77777777" w:rsidR="004343CD" w:rsidRPr="0051240D" w:rsidRDefault="009E2346" w:rsidP="00D37B1B">
            <w:pPr>
              <w:spacing w:line="360" w:lineRule="auto"/>
              <w:jc w:val="both"/>
              <w:rPr>
                <w:rFonts w:eastAsiaTheme="majorEastAsia" w:cstheme="minorHAnsi"/>
                <w:b/>
                <w:bCs/>
                <w:sz w:val="24"/>
                <w:szCs w:val="24"/>
                <w:rtl/>
              </w:rPr>
            </w:pPr>
            <w:r w:rsidRPr="0051240D">
              <w:rPr>
                <w:rFonts w:eastAsiaTheme="majorEastAsia" w:cstheme="minorHAnsi"/>
                <w:b/>
                <w:bCs/>
                <w:sz w:val="24"/>
                <w:szCs w:val="24"/>
                <w:rtl/>
              </w:rPr>
              <w:t xml:space="preserve">שיעורי השינוי השנתיים ביתרת החוב של משקי הבית, לדיור ושלא-לדיור </w:t>
            </w:r>
          </w:p>
          <w:p w14:paraId="515BA320" w14:textId="77777777" w:rsidR="004343CD" w:rsidRPr="0051240D" w:rsidRDefault="004343CD" w:rsidP="00D37B1B">
            <w:pPr>
              <w:spacing w:line="360" w:lineRule="auto"/>
              <w:jc w:val="both"/>
              <w:rPr>
                <w:rFonts w:eastAsiaTheme="majorEastAsia" w:cstheme="minorHAnsi"/>
                <w:sz w:val="24"/>
                <w:szCs w:val="24"/>
                <w:rtl/>
              </w:rPr>
            </w:pPr>
            <w:r w:rsidRPr="0051240D">
              <w:rPr>
                <w:rFonts w:eastAsiaTheme="majorEastAsia" w:cstheme="minorHAnsi"/>
                <w:b/>
                <w:bCs/>
                <w:noProof/>
                <w:sz w:val="24"/>
                <w:szCs w:val="24"/>
                <w:rtl/>
              </w:rPr>
              <w:drawing>
                <wp:anchor distT="0" distB="0" distL="114300" distR="114300" simplePos="0" relativeHeight="251693056" behindDoc="0" locked="0" layoutInCell="1" allowOverlap="1" wp14:anchorId="49A13E30" wp14:editId="49DB8836">
                  <wp:simplePos x="0" y="0"/>
                  <wp:positionH relativeFrom="column">
                    <wp:posOffset>142047</wp:posOffset>
                  </wp:positionH>
                  <wp:positionV relativeFrom="paragraph">
                    <wp:posOffset>203448</wp:posOffset>
                  </wp:positionV>
                  <wp:extent cx="2570400" cy="1548000"/>
                  <wp:effectExtent l="0" t="0" r="1905" b="0"/>
                  <wp:wrapTopAndBottom/>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0400" cy="1548000"/>
                          </a:xfrm>
                          <a:prstGeom prst="rect">
                            <a:avLst/>
                          </a:prstGeom>
                          <a:noFill/>
                        </pic:spPr>
                      </pic:pic>
                    </a:graphicData>
                  </a:graphic>
                  <wp14:sizeRelH relativeFrom="page">
                    <wp14:pctWidth>0</wp14:pctWidth>
                  </wp14:sizeRelH>
                  <wp14:sizeRelV relativeFrom="page">
                    <wp14:pctHeight>0</wp14:pctHeight>
                  </wp14:sizeRelV>
                </wp:anchor>
              </w:drawing>
            </w:r>
            <w:r w:rsidR="009E2346" w:rsidRPr="0051240D">
              <w:rPr>
                <w:rFonts w:eastAsiaTheme="majorEastAsia" w:cstheme="minorHAnsi"/>
                <w:sz w:val="24"/>
                <w:szCs w:val="24"/>
                <w:rtl/>
              </w:rPr>
              <w:t>אחוזים</w:t>
            </w:r>
          </w:p>
          <w:p w14:paraId="438DDD23" w14:textId="77777777" w:rsidR="00046E11" w:rsidRPr="0051240D" w:rsidRDefault="004343CD" w:rsidP="00D37B1B">
            <w:pPr>
              <w:pStyle w:val="ListParagraph"/>
              <w:ind w:left="0"/>
              <w:rPr>
                <w:rFonts w:cstheme="minorHAnsi"/>
                <w:b/>
                <w:bCs/>
                <w:sz w:val="24"/>
                <w:szCs w:val="24"/>
                <w:rtl/>
              </w:rPr>
            </w:pPr>
            <w:r w:rsidRPr="0051240D">
              <w:rPr>
                <w:rFonts w:eastAsiaTheme="majorEastAsia" w:cstheme="minorHAnsi"/>
                <w:sz w:val="24"/>
                <w:szCs w:val="24"/>
                <w:rtl/>
              </w:rPr>
              <w:t>המקור: דיווחים לבנק ישראל ועיבודי בנק ישראל.</w:t>
            </w:r>
          </w:p>
        </w:tc>
      </w:tr>
      <w:tr w:rsidR="00AF714B" w:rsidRPr="0051240D" w14:paraId="08E0BF2D" w14:textId="77777777" w:rsidTr="00D37B1B">
        <w:trPr>
          <w:trHeight w:val="349"/>
        </w:trPr>
        <w:tc>
          <w:tcPr>
            <w:tcW w:w="4209" w:type="dxa"/>
            <w:shd w:val="clear" w:color="auto" w:fill="auto"/>
          </w:tcPr>
          <w:p w14:paraId="4C3D3A53" w14:textId="77777777" w:rsidR="00AF714B" w:rsidRPr="0051240D" w:rsidRDefault="00AF714B" w:rsidP="00AF714B">
            <w:pPr>
              <w:pStyle w:val="NoSpacing"/>
              <w:spacing w:line="360" w:lineRule="auto"/>
              <w:ind w:left="720"/>
              <w:jc w:val="both"/>
              <w:rPr>
                <w:rFonts w:eastAsia="Times New Roman" w:cstheme="minorHAnsi"/>
                <w:sz w:val="24"/>
                <w:szCs w:val="24"/>
                <w:rtl/>
              </w:rPr>
            </w:pPr>
          </w:p>
        </w:tc>
        <w:tc>
          <w:tcPr>
            <w:tcW w:w="4529" w:type="dxa"/>
          </w:tcPr>
          <w:p w14:paraId="63F353BF" w14:textId="77777777" w:rsidR="00AF714B" w:rsidRPr="0051240D" w:rsidRDefault="00AF714B" w:rsidP="00D37B1B">
            <w:pPr>
              <w:spacing w:line="360" w:lineRule="auto"/>
              <w:jc w:val="both"/>
              <w:rPr>
                <w:rFonts w:eastAsiaTheme="majorEastAsia" w:cstheme="minorHAnsi"/>
                <w:b/>
                <w:bCs/>
                <w:sz w:val="24"/>
                <w:szCs w:val="24"/>
                <w:rtl/>
              </w:rPr>
            </w:pPr>
          </w:p>
        </w:tc>
      </w:tr>
      <w:tr w:rsidR="00AF714B" w:rsidRPr="0051240D" w14:paraId="19A9107A" w14:textId="77777777" w:rsidTr="00D37B1B">
        <w:trPr>
          <w:trHeight w:val="349"/>
        </w:trPr>
        <w:tc>
          <w:tcPr>
            <w:tcW w:w="4209" w:type="dxa"/>
            <w:shd w:val="clear" w:color="auto" w:fill="auto"/>
          </w:tcPr>
          <w:p w14:paraId="3112CD55" w14:textId="77777777" w:rsidR="00AF714B" w:rsidRPr="0051240D" w:rsidRDefault="00AF714B" w:rsidP="00AF714B">
            <w:pPr>
              <w:pStyle w:val="ListParagraph"/>
              <w:numPr>
                <w:ilvl w:val="0"/>
                <w:numId w:val="23"/>
              </w:numPr>
              <w:tabs>
                <w:tab w:val="left" w:pos="984"/>
              </w:tabs>
              <w:ind w:right="749"/>
              <w:jc w:val="both"/>
              <w:rPr>
                <w:rFonts w:cstheme="minorHAnsi"/>
                <w:b/>
                <w:bCs/>
                <w:noProof/>
                <w:sz w:val="24"/>
                <w:szCs w:val="24"/>
                <w:rtl/>
              </w:rPr>
            </w:pPr>
            <w:r w:rsidRPr="0051240D">
              <w:rPr>
                <w:rFonts w:cstheme="minorHAnsi"/>
                <w:b/>
                <w:bCs/>
                <w:noProof/>
                <w:sz w:val="24"/>
                <w:szCs w:val="24"/>
                <w:rtl/>
              </w:rPr>
              <w:t xml:space="preserve">פעילות המשק מול חו"ל </w:t>
            </w:r>
          </w:p>
        </w:tc>
        <w:tc>
          <w:tcPr>
            <w:tcW w:w="4529" w:type="dxa"/>
          </w:tcPr>
          <w:p w14:paraId="395C0142" w14:textId="77777777" w:rsidR="00AF714B" w:rsidRPr="0051240D" w:rsidRDefault="00AF714B" w:rsidP="00AF714B">
            <w:pPr>
              <w:spacing w:line="360" w:lineRule="auto"/>
              <w:jc w:val="both"/>
              <w:rPr>
                <w:rFonts w:eastAsiaTheme="majorEastAsia" w:cstheme="minorHAnsi"/>
                <w:b/>
                <w:bCs/>
                <w:sz w:val="24"/>
                <w:szCs w:val="24"/>
                <w:rtl/>
              </w:rPr>
            </w:pPr>
          </w:p>
        </w:tc>
      </w:tr>
      <w:tr w:rsidR="00AF714B" w:rsidRPr="0051240D" w14:paraId="6B3F5317" w14:textId="77777777" w:rsidTr="00D37B1B">
        <w:trPr>
          <w:trHeight w:val="349"/>
        </w:trPr>
        <w:tc>
          <w:tcPr>
            <w:tcW w:w="4209" w:type="dxa"/>
            <w:shd w:val="clear" w:color="auto" w:fill="auto"/>
          </w:tcPr>
          <w:p w14:paraId="05E9E773" w14:textId="77777777" w:rsidR="00AF714B" w:rsidRPr="0051240D" w:rsidRDefault="00AF714B" w:rsidP="00AF714B">
            <w:pPr>
              <w:pStyle w:val="ListParagraph"/>
              <w:numPr>
                <w:ilvl w:val="0"/>
                <w:numId w:val="31"/>
              </w:numPr>
              <w:spacing w:line="360" w:lineRule="auto"/>
              <w:jc w:val="both"/>
              <w:rPr>
                <w:rFonts w:cstheme="minorHAnsi"/>
                <w:sz w:val="24"/>
                <w:szCs w:val="24"/>
                <w:rtl/>
              </w:rPr>
            </w:pPr>
            <w:r w:rsidRPr="0051240D">
              <w:rPr>
                <w:rFonts w:cstheme="minorHAnsi"/>
                <w:sz w:val="24"/>
                <w:szCs w:val="24"/>
                <w:rtl/>
              </w:rPr>
              <w:t xml:space="preserve">בשנת 2024 חלה עלייה בהיקפי ההשקעות של תושבי חוץ במשק, בהשוואה </w:t>
            </w:r>
            <w:proofErr w:type="spellStart"/>
            <w:r w:rsidRPr="0051240D">
              <w:rPr>
                <w:rFonts w:cstheme="minorHAnsi"/>
                <w:sz w:val="24"/>
                <w:szCs w:val="24"/>
                <w:rtl/>
              </w:rPr>
              <w:t>לאשתקד</w:t>
            </w:r>
            <w:proofErr w:type="spellEnd"/>
            <w:r w:rsidRPr="0051240D">
              <w:rPr>
                <w:rFonts w:cstheme="minorHAnsi"/>
                <w:sz w:val="24"/>
                <w:szCs w:val="24"/>
                <w:rtl/>
              </w:rPr>
              <w:t>.</w:t>
            </w:r>
          </w:p>
          <w:p w14:paraId="7960D30F" w14:textId="77777777" w:rsidR="00AF714B" w:rsidRPr="0051240D" w:rsidRDefault="00AF714B" w:rsidP="00AF714B">
            <w:pPr>
              <w:pStyle w:val="ListParagraph"/>
              <w:numPr>
                <w:ilvl w:val="0"/>
                <w:numId w:val="31"/>
              </w:numPr>
              <w:spacing w:line="360" w:lineRule="auto"/>
              <w:jc w:val="both"/>
              <w:rPr>
                <w:rFonts w:cstheme="minorHAnsi"/>
                <w:sz w:val="24"/>
                <w:szCs w:val="24"/>
              </w:rPr>
            </w:pPr>
            <w:r w:rsidRPr="0051240D">
              <w:rPr>
                <w:rFonts w:cstheme="minorHAnsi"/>
                <w:sz w:val="24"/>
                <w:szCs w:val="24"/>
                <w:rtl/>
              </w:rPr>
              <w:lastRenderedPageBreak/>
              <w:t>תושבי חוץ חזרו במחצית השנייה להשקיע בני"ע ישראליים, לראשונה מאז הרביע השלישי של שנת 2022 .</w:t>
            </w:r>
          </w:p>
          <w:p w14:paraId="128DCDB4" w14:textId="77777777" w:rsidR="00AF714B" w:rsidRPr="0051240D" w:rsidRDefault="00AF714B" w:rsidP="00AF714B">
            <w:pPr>
              <w:pStyle w:val="ListParagraph"/>
              <w:numPr>
                <w:ilvl w:val="0"/>
                <w:numId w:val="31"/>
              </w:numPr>
              <w:spacing w:line="360" w:lineRule="auto"/>
              <w:jc w:val="both"/>
              <w:rPr>
                <w:rFonts w:cstheme="minorHAnsi"/>
                <w:sz w:val="24"/>
                <w:szCs w:val="24"/>
              </w:rPr>
            </w:pPr>
            <w:r w:rsidRPr="0051240D">
              <w:rPr>
                <w:rFonts w:cstheme="minorHAnsi"/>
                <w:sz w:val="24"/>
                <w:szCs w:val="24"/>
                <w:rtl/>
              </w:rPr>
              <w:t xml:space="preserve">גם ההשקעות הישירות שהתמתנו מאוד ברביע הראשון של השנה, שבו ועלו החל מהרביע השני. </w:t>
            </w:r>
          </w:p>
          <w:p w14:paraId="6519318E" w14:textId="77777777" w:rsidR="00AF714B" w:rsidRPr="0051240D" w:rsidRDefault="00AF714B" w:rsidP="00AF714B">
            <w:pPr>
              <w:pStyle w:val="ListParagraph"/>
              <w:tabs>
                <w:tab w:val="left" w:pos="984"/>
              </w:tabs>
              <w:ind w:right="749"/>
              <w:jc w:val="both"/>
              <w:rPr>
                <w:rFonts w:cstheme="minorHAnsi"/>
                <w:b/>
                <w:bCs/>
                <w:noProof/>
                <w:sz w:val="24"/>
                <w:szCs w:val="24"/>
                <w:rtl/>
              </w:rPr>
            </w:pPr>
          </w:p>
        </w:tc>
        <w:tc>
          <w:tcPr>
            <w:tcW w:w="4529" w:type="dxa"/>
          </w:tcPr>
          <w:p w14:paraId="128EF326" w14:textId="77777777" w:rsidR="00AF714B" w:rsidRPr="0051240D" w:rsidRDefault="00AF714B" w:rsidP="00AF714B">
            <w:pPr>
              <w:spacing w:line="360" w:lineRule="auto"/>
              <w:jc w:val="both"/>
              <w:rPr>
                <w:rFonts w:cstheme="minorHAnsi"/>
                <w:noProof/>
                <w:sz w:val="24"/>
                <w:szCs w:val="24"/>
                <w:rtl/>
              </w:rPr>
            </w:pPr>
            <w:r w:rsidRPr="0051240D">
              <w:rPr>
                <w:rFonts w:cstheme="minorHAnsi"/>
                <w:b/>
                <w:bCs/>
                <w:noProof/>
                <w:sz w:val="24"/>
                <w:szCs w:val="24"/>
                <w:rtl/>
              </w:rPr>
              <w:lastRenderedPageBreak/>
              <w:t>השקעות נטו של תושבי חוץ בישראל, לפי סוג השקעה</w:t>
            </w:r>
            <w:r w:rsidRPr="0051240D">
              <w:rPr>
                <w:rFonts w:cstheme="minorHAnsi"/>
                <w:noProof/>
                <w:sz w:val="24"/>
                <w:szCs w:val="24"/>
                <w:rtl/>
              </w:rPr>
              <w:t xml:space="preserve"> </w:t>
            </w:r>
          </w:p>
          <w:p w14:paraId="1112B520" w14:textId="77777777" w:rsidR="00AF714B" w:rsidRPr="0051240D" w:rsidRDefault="00AF714B" w:rsidP="00AF714B">
            <w:pPr>
              <w:spacing w:line="360" w:lineRule="auto"/>
              <w:jc w:val="both"/>
              <w:rPr>
                <w:rFonts w:cstheme="minorHAnsi"/>
                <w:b/>
                <w:bCs/>
                <w:noProof/>
                <w:sz w:val="24"/>
                <w:szCs w:val="24"/>
                <w:rtl/>
              </w:rPr>
            </w:pPr>
            <w:r w:rsidRPr="0051240D">
              <w:rPr>
                <w:rFonts w:cstheme="minorHAnsi"/>
                <w:b/>
                <w:bCs/>
                <w:noProof/>
                <w:sz w:val="24"/>
                <w:szCs w:val="24"/>
                <w:rtl/>
              </w:rPr>
              <w:lastRenderedPageBreak/>
              <w:drawing>
                <wp:anchor distT="0" distB="0" distL="114300" distR="114300" simplePos="0" relativeHeight="251701248" behindDoc="0" locked="0" layoutInCell="1" allowOverlap="1" wp14:anchorId="0605521E" wp14:editId="152BFBDA">
                  <wp:simplePos x="0" y="0"/>
                  <wp:positionH relativeFrom="column">
                    <wp:posOffset>135144</wp:posOffset>
                  </wp:positionH>
                  <wp:positionV relativeFrom="paragraph">
                    <wp:posOffset>204167</wp:posOffset>
                  </wp:positionV>
                  <wp:extent cx="2577600" cy="1548000"/>
                  <wp:effectExtent l="0" t="0" r="0" b="0"/>
                  <wp:wrapTopAndBottom/>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7600" cy="1548000"/>
                          </a:xfrm>
                          <a:prstGeom prst="rect">
                            <a:avLst/>
                          </a:prstGeom>
                          <a:noFill/>
                        </pic:spPr>
                      </pic:pic>
                    </a:graphicData>
                  </a:graphic>
                  <wp14:sizeRelH relativeFrom="page">
                    <wp14:pctWidth>0</wp14:pctWidth>
                  </wp14:sizeRelH>
                  <wp14:sizeRelV relativeFrom="page">
                    <wp14:pctHeight>0</wp14:pctHeight>
                  </wp14:sizeRelV>
                </wp:anchor>
              </w:drawing>
            </w:r>
            <w:r w:rsidRPr="0051240D">
              <w:rPr>
                <w:rFonts w:cstheme="minorHAnsi"/>
                <w:noProof/>
                <w:sz w:val="24"/>
                <w:szCs w:val="24"/>
                <w:rtl/>
              </w:rPr>
              <w:t>מיליארדי דולר</w:t>
            </w:r>
            <w:r w:rsidRPr="0051240D">
              <w:rPr>
                <w:rFonts w:cstheme="minorHAnsi"/>
                <w:b/>
                <w:bCs/>
                <w:noProof/>
                <w:sz w:val="24"/>
                <w:szCs w:val="24"/>
                <w:rtl/>
              </w:rPr>
              <w:t>ים</w:t>
            </w:r>
          </w:p>
          <w:p w14:paraId="15BB4892" w14:textId="77777777" w:rsidR="00AF714B" w:rsidRPr="0051240D" w:rsidRDefault="00AF714B" w:rsidP="00AF714B">
            <w:pPr>
              <w:spacing w:after="180"/>
              <w:ind w:right="-113"/>
              <w:rPr>
                <w:rFonts w:eastAsiaTheme="majorEastAsia" w:cstheme="minorHAnsi"/>
                <w:noProof/>
                <w:sz w:val="24"/>
                <w:szCs w:val="24"/>
                <w:rtl/>
              </w:rPr>
            </w:pPr>
            <w:r w:rsidRPr="0051240D">
              <w:rPr>
                <w:rFonts w:eastAsiaTheme="majorEastAsia" w:cstheme="minorHAnsi"/>
                <w:sz w:val="24"/>
                <w:szCs w:val="24"/>
                <w:rtl/>
              </w:rPr>
              <w:t>המקור: נתוני ועיבודי בנק ישראל</w:t>
            </w:r>
          </w:p>
          <w:p w14:paraId="4CDBC881" w14:textId="77777777" w:rsidR="00AF714B" w:rsidRPr="0051240D" w:rsidRDefault="00AF714B" w:rsidP="00AF714B">
            <w:pPr>
              <w:spacing w:line="360" w:lineRule="auto"/>
              <w:jc w:val="both"/>
              <w:rPr>
                <w:rFonts w:cstheme="minorHAnsi"/>
                <w:b/>
                <w:bCs/>
                <w:noProof/>
                <w:sz w:val="24"/>
                <w:szCs w:val="24"/>
                <w:rtl/>
              </w:rPr>
            </w:pPr>
          </w:p>
          <w:p w14:paraId="26A7D0EF" w14:textId="77777777" w:rsidR="00AF714B" w:rsidRPr="0051240D" w:rsidRDefault="00AF714B" w:rsidP="00AF714B">
            <w:pPr>
              <w:spacing w:line="360" w:lineRule="auto"/>
              <w:jc w:val="both"/>
              <w:rPr>
                <w:rFonts w:cstheme="minorHAnsi"/>
                <w:b/>
                <w:bCs/>
                <w:noProof/>
                <w:sz w:val="24"/>
                <w:szCs w:val="24"/>
                <w:rtl/>
              </w:rPr>
            </w:pPr>
          </w:p>
          <w:p w14:paraId="0F073306" w14:textId="77777777" w:rsidR="00AF714B" w:rsidRPr="0051240D" w:rsidRDefault="00AF714B" w:rsidP="00AF714B">
            <w:pPr>
              <w:spacing w:line="360" w:lineRule="auto"/>
              <w:jc w:val="both"/>
              <w:rPr>
                <w:rFonts w:cstheme="minorHAnsi"/>
                <w:b/>
                <w:bCs/>
                <w:noProof/>
                <w:sz w:val="24"/>
                <w:szCs w:val="24"/>
                <w:rtl/>
              </w:rPr>
            </w:pPr>
          </w:p>
          <w:p w14:paraId="223D2A9F" w14:textId="77777777" w:rsidR="00AF714B" w:rsidRPr="0051240D" w:rsidRDefault="00AF714B" w:rsidP="00AF714B">
            <w:pPr>
              <w:spacing w:line="360" w:lineRule="auto"/>
              <w:jc w:val="both"/>
              <w:rPr>
                <w:rFonts w:cstheme="minorHAnsi"/>
                <w:b/>
                <w:bCs/>
                <w:noProof/>
                <w:sz w:val="24"/>
                <w:szCs w:val="24"/>
                <w:rtl/>
              </w:rPr>
            </w:pPr>
          </w:p>
          <w:p w14:paraId="1F98ED81" w14:textId="77777777" w:rsidR="00AF714B" w:rsidRPr="0051240D" w:rsidRDefault="00AF714B" w:rsidP="00AF714B">
            <w:pPr>
              <w:spacing w:line="360" w:lineRule="auto"/>
              <w:jc w:val="both"/>
              <w:rPr>
                <w:rFonts w:cstheme="minorHAnsi"/>
                <w:b/>
                <w:bCs/>
                <w:noProof/>
                <w:sz w:val="24"/>
                <w:szCs w:val="24"/>
                <w:rtl/>
              </w:rPr>
            </w:pPr>
          </w:p>
          <w:p w14:paraId="48DC3C3D" w14:textId="77777777" w:rsidR="00AF714B" w:rsidRPr="0051240D" w:rsidRDefault="00AF714B" w:rsidP="00AF714B">
            <w:pPr>
              <w:spacing w:line="360" w:lineRule="auto"/>
              <w:jc w:val="both"/>
              <w:rPr>
                <w:rFonts w:cstheme="minorHAnsi"/>
                <w:b/>
                <w:bCs/>
                <w:noProof/>
                <w:sz w:val="24"/>
                <w:szCs w:val="24"/>
                <w:rtl/>
              </w:rPr>
            </w:pPr>
          </w:p>
          <w:p w14:paraId="43FFC9D9" w14:textId="77777777" w:rsidR="00AF714B" w:rsidRPr="0051240D" w:rsidRDefault="00AF714B" w:rsidP="00AF714B">
            <w:pPr>
              <w:spacing w:line="360" w:lineRule="auto"/>
              <w:jc w:val="both"/>
              <w:rPr>
                <w:rFonts w:cstheme="minorHAnsi"/>
                <w:b/>
                <w:bCs/>
                <w:noProof/>
                <w:sz w:val="24"/>
                <w:szCs w:val="24"/>
                <w:rtl/>
              </w:rPr>
            </w:pPr>
          </w:p>
          <w:p w14:paraId="46EF73EE" w14:textId="77777777" w:rsidR="00AF714B" w:rsidRPr="0051240D" w:rsidRDefault="00AF714B" w:rsidP="00AF714B">
            <w:pPr>
              <w:ind w:right="-113"/>
              <w:rPr>
                <w:rFonts w:eastAsiaTheme="majorEastAsia" w:cstheme="minorHAnsi"/>
                <w:sz w:val="24"/>
                <w:szCs w:val="24"/>
                <w:rtl/>
              </w:rPr>
            </w:pPr>
          </w:p>
        </w:tc>
      </w:tr>
      <w:tr w:rsidR="00AF714B" w:rsidRPr="0051240D" w14:paraId="3FAC9AC7" w14:textId="77777777" w:rsidTr="00D37B1B">
        <w:trPr>
          <w:trHeight w:val="349"/>
        </w:trPr>
        <w:tc>
          <w:tcPr>
            <w:tcW w:w="4209" w:type="dxa"/>
            <w:shd w:val="clear" w:color="auto" w:fill="auto"/>
          </w:tcPr>
          <w:p w14:paraId="77638D31" w14:textId="77777777" w:rsidR="00CC0C6E" w:rsidRPr="0051240D" w:rsidRDefault="00CC0C6E" w:rsidP="00CC0C6E">
            <w:pPr>
              <w:pStyle w:val="ListParagraph"/>
              <w:numPr>
                <w:ilvl w:val="0"/>
                <w:numId w:val="31"/>
              </w:numPr>
              <w:spacing w:line="360" w:lineRule="auto"/>
              <w:jc w:val="both"/>
              <w:rPr>
                <w:rFonts w:cstheme="minorHAnsi"/>
                <w:sz w:val="24"/>
                <w:szCs w:val="24"/>
                <w:rtl/>
              </w:rPr>
            </w:pPr>
            <w:r w:rsidRPr="0051240D">
              <w:rPr>
                <w:rFonts w:cstheme="minorHAnsi"/>
                <w:sz w:val="24"/>
                <w:szCs w:val="24"/>
                <w:rtl/>
              </w:rPr>
              <w:lastRenderedPageBreak/>
              <w:t>ב-2024 חל גידול גם בהשקעות של תושבי ישראל בחו"ל - שילוב של זרם השקעות ועלייה במחירי המניות הזרות.</w:t>
            </w:r>
          </w:p>
          <w:p w14:paraId="412C8A1C" w14:textId="77777777" w:rsidR="00AF714B" w:rsidRPr="0051240D" w:rsidRDefault="00AF714B" w:rsidP="00CC0C6E">
            <w:pPr>
              <w:pStyle w:val="ListParagraph"/>
              <w:spacing w:line="360" w:lineRule="auto"/>
              <w:jc w:val="both"/>
              <w:rPr>
                <w:rFonts w:cstheme="minorHAnsi"/>
                <w:sz w:val="24"/>
                <w:szCs w:val="24"/>
                <w:rtl/>
              </w:rPr>
            </w:pPr>
          </w:p>
        </w:tc>
        <w:tc>
          <w:tcPr>
            <w:tcW w:w="4529" w:type="dxa"/>
          </w:tcPr>
          <w:p w14:paraId="64BB3102" w14:textId="77777777" w:rsidR="00AF714B" w:rsidRPr="0051240D" w:rsidRDefault="00AF714B" w:rsidP="00AF714B">
            <w:pPr>
              <w:spacing w:line="360" w:lineRule="auto"/>
              <w:jc w:val="both"/>
              <w:rPr>
                <w:rFonts w:cstheme="minorHAnsi"/>
                <w:b/>
                <w:bCs/>
                <w:noProof/>
                <w:sz w:val="24"/>
                <w:szCs w:val="24"/>
                <w:rtl/>
              </w:rPr>
            </w:pPr>
            <w:r w:rsidRPr="0051240D">
              <w:rPr>
                <w:rFonts w:cstheme="minorHAnsi"/>
                <w:b/>
                <w:bCs/>
                <w:noProof/>
                <w:sz w:val="24"/>
                <w:szCs w:val="24"/>
                <w:rtl/>
              </w:rPr>
              <w:t>הגורמים לשינוי ביתרת הנכסים של המשק בחו"ל</w:t>
            </w:r>
          </w:p>
          <w:p w14:paraId="7C53F596" w14:textId="77777777" w:rsidR="00AF714B" w:rsidRPr="0051240D" w:rsidRDefault="00AF714B" w:rsidP="00AF714B">
            <w:pPr>
              <w:spacing w:line="360" w:lineRule="auto"/>
              <w:jc w:val="both"/>
              <w:rPr>
                <w:rFonts w:cstheme="minorHAnsi"/>
                <w:noProof/>
                <w:sz w:val="24"/>
                <w:szCs w:val="24"/>
                <w:rtl/>
              </w:rPr>
            </w:pPr>
            <w:r w:rsidRPr="0051240D">
              <w:rPr>
                <w:rFonts w:cstheme="minorHAnsi"/>
                <w:b/>
                <w:bCs/>
                <w:noProof/>
                <w:sz w:val="24"/>
                <w:szCs w:val="24"/>
                <w:rtl/>
              </w:rPr>
              <w:drawing>
                <wp:anchor distT="0" distB="0" distL="114300" distR="114300" simplePos="0" relativeHeight="251705344" behindDoc="0" locked="0" layoutInCell="1" allowOverlap="1" wp14:anchorId="5369A174" wp14:editId="1663AF04">
                  <wp:simplePos x="0" y="0"/>
                  <wp:positionH relativeFrom="column">
                    <wp:posOffset>143156</wp:posOffset>
                  </wp:positionH>
                  <wp:positionV relativeFrom="paragraph">
                    <wp:posOffset>216618</wp:posOffset>
                  </wp:positionV>
                  <wp:extent cx="2592000" cy="1548000"/>
                  <wp:effectExtent l="0" t="0" r="0" b="0"/>
                  <wp:wrapTopAndBottom/>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2000" cy="1548000"/>
                          </a:xfrm>
                          <a:prstGeom prst="rect">
                            <a:avLst/>
                          </a:prstGeom>
                          <a:noFill/>
                        </pic:spPr>
                      </pic:pic>
                    </a:graphicData>
                  </a:graphic>
                  <wp14:sizeRelH relativeFrom="page">
                    <wp14:pctWidth>0</wp14:pctWidth>
                  </wp14:sizeRelH>
                  <wp14:sizeRelV relativeFrom="page">
                    <wp14:pctHeight>0</wp14:pctHeight>
                  </wp14:sizeRelV>
                </wp:anchor>
              </w:drawing>
            </w:r>
            <w:r w:rsidRPr="0051240D">
              <w:rPr>
                <w:rFonts w:cstheme="minorHAnsi"/>
                <w:noProof/>
                <w:sz w:val="24"/>
                <w:szCs w:val="24"/>
                <w:rtl/>
              </w:rPr>
              <w:t>מיליארדי דולרים</w:t>
            </w:r>
          </w:p>
          <w:p w14:paraId="3C016FDB" w14:textId="77777777" w:rsidR="00AF714B" w:rsidRPr="0051240D" w:rsidRDefault="00AF714B" w:rsidP="00AF714B">
            <w:pPr>
              <w:spacing w:after="180"/>
              <w:ind w:right="-113"/>
              <w:rPr>
                <w:rFonts w:eastAsiaTheme="majorEastAsia" w:cstheme="minorHAnsi"/>
                <w:noProof/>
                <w:sz w:val="24"/>
                <w:szCs w:val="24"/>
                <w:rtl/>
              </w:rPr>
            </w:pPr>
            <w:r w:rsidRPr="0051240D">
              <w:rPr>
                <w:rFonts w:eastAsiaTheme="majorEastAsia" w:cstheme="minorHAnsi"/>
                <w:sz w:val="24"/>
                <w:szCs w:val="24"/>
                <w:rtl/>
              </w:rPr>
              <w:t>המקור: נתוני ועיבודי בנק ישראל.</w:t>
            </w:r>
          </w:p>
          <w:p w14:paraId="1E2D01D9" w14:textId="77777777" w:rsidR="00AF714B" w:rsidRPr="0051240D" w:rsidRDefault="00AF714B" w:rsidP="00AF714B">
            <w:pPr>
              <w:spacing w:line="360" w:lineRule="auto"/>
              <w:jc w:val="both"/>
              <w:rPr>
                <w:rFonts w:cstheme="minorHAnsi"/>
                <w:b/>
                <w:bCs/>
                <w:noProof/>
                <w:sz w:val="24"/>
                <w:szCs w:val="24"/>
                <w:rtl/>
              </w:rPr>
            </w:pPr>
          </w:p>
        </w:tc>
      </w:tr>
      <w:tr w:rsidR="00AF714B" w:rsidRPr="0051240D" w14:paraId="0B241D47" w14:textId="77777777" w:rsidTr="00D37B1B">
        <w:trPr>
          <w:trHeight w:val="349"/>
        </w:trPr>
        <w:tc>
          <w:tcPr>
            <w:tcW w:w="4209" w:type="dxa"/>
            <w:shd w:val="clear" w:color="auto" w:fill="auto"/>
          </w:tcPr>
          <w:p w14:paraId="5BBA9FEE" w14:textId="77777777" w:rsidR="00CC0C6E" w:rsidRPr="0051240D" w:rsidRDefault="00CC0C6E" w:rsidP="00CC0C6E">
            <w:pPr>
              <w:pStyle w:val="ListParagraph"/>
              <w:numPr>
                <w:ilvl w:val="0"/>
                <w:numId w:val="31"/>
              </w:numPr>
              <w:spacing w:line="360" w:lineRule="auto"/>
              <w:jc w:val="both"/>
              <w:rPr>
                <w:rFonts w:cstheme="minorHAnsi"/>
                <w:sz w:val="24"/>
                <w:szCs w:val="24"/>
              </w:rPr>
            </w:pPr>
            <w:r w:rsidRPr="0051240D">
              <w:rPr>
                <w:rFonts w:cstheme="minorHAnsi"/>
                <w:sz w:val="24"/>
                <w:szCs w:val="24"/>
                <w:rtl/>
              </w:rPr>
              <w:t xml:space="preserve">גם משקי הבית בלטו בהשקעותיהם נטו בתיק ני"ע למסחר והגדילו את היקף פעילותם בחו"ל במהלך השנתיים האחרונות. </w:t>
            </w:r>
          </w:p>
          <w:p w14:paraId="21964CEC" w14:textId="77777777" w:rsidR="00AF714B" w:rsidRPr="0051240D" w:rsidRDefault="00AF714B" w:rsidP="00AF714B">
            <w:pPr>
              <w:pStyle w:val="ListParagraph"/>
              <w:spacing w:line="360" w:lineRule="auto"/>
              <w:jc w:val="both"/>
              <w:rPr>
                <w:rFonts w:cstheme="minorHAnsi"/>
                <w:sz w:val="24"/>
                <w:szCs w:val="24"/>
                <w:rtl/>
              </w:rPr>
            </w:pPr>
          </w:p>
        </w:tc>
        <w:tc>
          <w:tcPr>
            <w:tcW w:w="4529" w:type="dxa"/>
          </w:tcPr>
          <w:p w14:paraId="1E11BCF3" w14:textId="77777777" w:rsidR="00AF714B" w:rsidRPr="0051240D" w:rsidRDefault="00AF714B" w:rsidP="00AF714B">
            <w:pPr>
              <w:spacing w:line="360" w:lineRule="auto"/>
              <w:jc w:val="both"/>
              <w:rPr>
                <w:rFonts w:eastAsia="Times New Roman" w:cstheme="minorHAnsi"/>
                <w:b/>
                <w:bCs/>
                <w:color w:val="000000"/>
                <w:sz w:val="24"/>
                <w:szCs w:val="24"/>
                <w:rtl/>
              </w:rPr>
            </w:pPr>
            <w:r w:rsidRPr="0051240D">
              <w:rPr>
                <w:rFonts w:eastAsia="Times New Roman" w:cstheme="minorHAnsi"/>
                <w:b/>
                <w:bCs/>
                <w:color w:val="000000"/>
                <w:sz w:val="24"/>
                <w:szCs w:val="24"/>
                <w:rtl/>
              </w:rPr>
              <w:t xml:space="preserve">פעילות משקי בית* מול חו"ל </w:t>
            </w:r>
          </w:p>
          <w:p w14:paraId="298A6722" w14:textId="77777777" w:rsidR="00AF714B" w:rsidRPr="0051240D" w:rsidRDefault="00AF714B" w:rsidP="00AF714B">
            <w:pPr>
              <w:spacing w:line="360" w:lineRule="auto"/>
              <w:jc w:val="both"/>
              <w:rPr>
                <w:rFonts w:eastAsia="Times New Roman" w:cstheme="minorHAnsi"/>
                <w:color w:val="000000"/>
                <w:sz w:val="24"/>
                <w:szCs w:val="24"/>
              </w:rPr>
            </w:pPr>
            <w:r w:rsidRPr="0051240D">
              <w:rPr>
                <w:rFonts w:cstheme="minorHAnsi"/>
                <w:b/>
                <w:bCs/>
                <w:noProof/>
                <w:sz w:val="24"/>
                <w:szCs w:val="24"/>
                <w:rtl/>
              </w:rPr>
              <w:drawing>
                <wp:anchor distT="0" distB="0" distL="114300" distR="114300" simplePos="0" relativeHeight="251707392" behindDoc="0" locked="0" layoutInCell="1" allowOverlap="1" wp14:anchorId="093DF80F" wp14:editId="2962157E">
                  <wp:simplePos x="0" y="0"/>
                  <wp:positionH relativeFrom="column">
                    <wp:posOffset>173852</wp:posOffset>
                  </wp:positionH>
                  <wp:positionV relativeFrom="paragraph">
                    <wp:posOffset>201958</wp:posOffset>
                  </wp:positionV>
                  <wp:extent cx="2577465" cy="1547495"/>
                  <wp:effectExtent l="0" t="0" r="0" b="0"/>
                  <wp:wrapTopAndBottom/>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7465" cy="1547495"/>
                          </a:xfrm>
                          <a:prstGeom prst="rect">
                            <a:avLst/>
                          </a:prstGeom>
                          <a:noFill/>
                        </pic:spPr>
                      </pic:pic>
                    </a:graphicData>
                  </a:graphic>
                  <wp14:sizeRelH relativeFrom="page">
                    <wp14:pctWidth>0</wp14:pctWidth>
                  </wp14:sizeRelH>
                  <wp14:sizeRelV relativeFrom="page">
                    <wp14:pctHeight>0</wp14:pctHeight>
                  </wp14:sizeRelV>
                </wp:anchor>
              </w:drawing>
            </w:r>
            <w:r w:rsidRPr="0051240D">
              <w:rPr>
                <w:rFonts w:cstheme="minorHAnsi"/>
                <w:noProof/>
                <w:sz w:val="24"/>
                <w:szCs w:val="24"/>
                <w:rtl/>
              </w:rPr>
              <w:t>מיליארדי</w:t>
            </w:r>
            <w:r w:rsidRPr="0051240D">
              <w:rPr>
                <w:rFonts w:eastAsia="Times New Roman" w:cstheme="minorHAnsi"/>
                <w:color w:val="000000"/>
                <w:sz w:val="24"/>
                <w:szCs w:val="24"/>
                <w:rtl/>
              </w:rPr>
              <w:t xml:space="preserve"> דולרים</w:t>
            </w:r>
          </w:p>
          <w:p w14:paraId="3DA34750" w14:textId="77777777" w:rsidR="00AF714B" w:rsidRPr="0051240D" w:rsidRDefault="00AF714B" w:rsidP="00AF714B">
            <w:pPr>
              <w:ind w:right="-113"/>
              <w:rPr>
                <w:rFonts w:eastAsiaTheme="majorEastAsia" w:cstheme="minorHAnsi"/>
                <w:sz w:val="24"/>
                <w:szCs w:val="24"/>
                <w:rtl/>
              </w:rPr>
            </w:pPr>
            <w:r w:rsidRPr="0051240D">
              <w:rPr>
                <w:rFonts w:eastAsiaTheme="majorEastAsia" w:cstheme="minorHAnsi"/>
                <w:sz w:val="24"/>
                <w:szCs w:val="24"/>
                <w:rtl/>
              </w:rPr>
              <w:t>המקור: נתוני ועיבודי בנק ישראל.</w:t>
            </w:r>
          </w:p>
          <w:p w14:paraId="3BF3983D" w14:textId="77777777" w:rsidR="00AF714B" w:rsidRPr="0051240D" w:rsidRDefault="00AF714B" w:rsidP="00AF714B">
            <w:pPr>
              <w:spacing w:line="360" w:lineRule="auto"/>
              <w:jc w:val="both"/>
              <w:rPr>
                <w:rFonts w:cstheme="minorHAnsi"/>
                <w:b/>
                <w:bCs/>
                <w:noProof/>
                <w:sz w:val="24"/>
                <w:szCs w:val="24"/>
                <w:rtl/>
              </w:rPr>
            </w:pPr>
            <w:r w:rsidRPr="0051240D">
              <w:rPr>
                <w:rFonts w:eastAsiaTheme="majorEastAsia" w:cstheme="minorHAnsi"/>
                <w:sz w:val="24"/>
                <w:szCs w:val="24"/>
                <w:rtl/>
              </w:rPr>
              <w:lastRenderedPageBreak/>
              <w:t>*כולל קרנות נאמנות</w:t>
            </w:r>
          </w:p>
        </w:tc>
      </w:tr>
      <w:tr w:rsidR="00CC0C6E" w:rsidRPr="0051240D" w14:paraId="19B2E6B1" w14:textId="77777777" w:rsidTr="00D37B1B">
        <w:trPr>
          <w:trHeight w:val="349"/>
        </w:trPr>
        <w:tc>
          <w:tcPr>
            <w:tcW w:w="4209" w:type="dxa"/>
            <w:shd w:val="clear" w:color="auto" w:fill="auto"/>
          </w:tcPr>
          <w:p w14:paraId="0383DA5A" w14:textId="77777777" w:rsidR="00CC0C6E" w:rsidRPr="0051240D" w:rsidRDefault="00CC0C6E" w:rsidP="00CC0C6E">
            <w:pPr>
              <w:pStyle w:val="ListParagraph"/>
              <w:spacing w:line="360" w:lineRule="auto"/>
              <w:jc w:val="both"/>
              <w:rPr>
                <w:rFonts w:cstheme="minorHAnsi"/>
                <w:sz w:val="24"/>
                <w:szCs w:val="24"/>
                <w:rtl/>
              </w:rPr>
            </w:pPr>
          </w:p>
        </w:tc>
        <w:tc>
          <w:tcPr>
            <w:tcW w:w="4529" w:type="dxa"/>
          </w:tcPr>
          <w:p w14:paraId="745C72F4" w14:textId="77777777" w:rsidR="00CC0C6E" w:rsidRPr="0051240D" w:rsidRDefault="00CC0C6E" w:rsidP="00AF714B">
            <w:pPr>
              <w:spacing w:line="360" w:lineRule="auto"/>
              <w:jc w:val="both"/>
              <w:rPr>
                <w:rFonts w:eastAsia="Times New Roman" w:cstheme="minorHAnsi"/>
                <w:b/>
                <w:bCs/>
                <w:color w:val="000000"/>
                <w:sz w:val="24"/>
                <w:szCs w:val="24"/>
                <w:rtl/>
              </w:rPr>
            </w:pPr>
          </w:p>
        </w:tc>
      </w:tr>
      <w:tr w:rsidR="00AF714B" w:rsidRPr="0051240D" w14:paraId="70096F34" w14:textId="77777777" w:rsidTr="00D37B1B">
        <w:trPr>
          <w:trHeight w:val="349"/>
        </w:trPr>
        <w:tc>
          <w:tcPr>
            <w:tcW w:w="4209" w:type="dxa"/>
            <w:shd w:val="clear" w:color="auto" w:fill="auto"/>
          </w:tcPr>
          <w:p w14:paraId="7F48C513" w14:textId="77777777" w:rsidR="00AF714B" w:rsidRPr="0051240D" w:rsidRDefault="00AF714B" w:rsidP="00AF714B">
            <w:pPr>
              <w:pStyle w:val="ListParagraph"/>
              <w:numPr>
                <w:ilvl w:val="0"/>
                <w:numId w:val="23"/>
              </w:numPr>
              <w:tabs>
                <w:tab w:val="left" w:pos="984"/>
              </w:tabs>
              <w:ind w:right="749"/>
              <w:jc w:val="both"/>
              <w:rPr>
                <w:rFonts w:cstheme="minorHAnsi"/>
                <w:b/>
                <w:bCs/>
                <w:sz w:val="24"/>
                <w:szCs w:val="24"/>
                <w:rtl/>
              </w:rPr>
            </w:pPr>
            <w:r w:rsidRPr="0051240D">
              <w:rPr>
                <w:rFonts w:cstheme="minorHAnsi"/>
                <w:b/>
                <w:bCs/>
                <w:sz w:val="24"/>
                <w:szCs w:val="24"/>
                <w:rtl/>
              </w:rPr>
              <w:t>פעילות המגזרים העיקריים במטבע חוץ</w:t>
            </w:r>
          </w:p>
        </w:tc>
        <w:tc>
          <w:tcPr>
            <w:tcW w:w="4529" w:type="dxa"/>
          </w:tcPr>
          <w:p w14:paraId="25BD739F" w14:textId="77777777" w:rsidR="00AF714B" w:rsidRPr="0051240D" w:rsidRDefault="00AF714B" w:rsidP="00AF714B">
            <w:pPr>
              <w:spacing w:line="360" w:lineRule="auto"/>
              <w:jc w:val="both"/>
              <w:rPr>
                <w:rFonts w:eastAsia="Times New Roman" w:cstheme="minorHAnsi"/>
                <w:b/>
                <w:bCs/>
                <w:color w:val="000000"/>
                <w:sz w:val="24"/>
                <w:szCs w:val="24"/>
                <w:rtl/>
              </w:rPr>
            </w:pPr>
          </w:p>
        </w:tc>
      </w:tr>
      <w:tr w:rsidR="00AF714B" w:rsidRPr="0051240D" w14:paraId="29F1E825" w14:textId="77777777" w:rsidTr="00D37B1B">
        <w:trPr>
          <w:trHeight w:val="349"/>
        </w:trPr>
        <w:tc>
          <w:tcPr>
            <w:tcW w:w="4209" w:type="dxa"/>
            <w:shd w:val="clear" w:color="auto" w:fill="auto"/>
          </w:tcPr>
          <w:p w14:paraId="34FC12EE" w14:textId="77777777" w:rsidR="00CC0C6E" w:rsidRPr="0051240D" w:rsidRDefault="00CC0C6E" w:rsidP="00CC0C6E">
            <w:pPr>
              <w:pStyle w:val="ListParagraph"/>
              <w:numPr>
                <w:ilvl w:val="0"/>
                <w:numId w:val="31"/>
              </w:numPr>
              <w:spacing w:line="360" w:lineRule="auto"/>
              <w:jc w:val="both"/>
              <w:rPr>
                <w:rFonts w:cstheme="minorHAnsi"/>
                <w:sz w:val="24"/>
                <w:szCs w:val="24"/>
              </w:rPr>
            </w:pPr>
            <w:r w:rsidRPr="0051240D">
              <w:rPr>
                <w:rFonts w:cstheme="minorHAnsi"/>
                <w:sz w:val="24"/>
                <w:szCs w:val="24"/>
                <w:rtl/>
              </w:rPr>
              <w:t xml:space="preserve">בשנת 2024 השקל נחלש מול הדולר בשיעור מתון של כ-0.6%, אך התחזק מול האירו ומול סל המטבעות. </w:t>
            </w:r>
          </w:p>
          <w:p w14:paraId="456F03CF" w14:textId="77777777" w:rsidR="00CC0C6E" w:rsidRPr="0051240D" w:rsidRDefault="00CC0C6E" w:rsidP="00CC0C6E">
            <w:pPr>
              <w:pStyle w:val="ListParagraph"/>
              <w:numPr>
                <w:ilvl w:val="0"/>
                <w:numId w:val="31"/>
              </w:numPr>
              <w:spacing w:line="360" w:lineRule="auto"/>
              <w:jc w:val="both"/>
              <w:rPr>
                <w:rFonts w:cstheme="minorHAnsi"/>
                <w:sz w:val="24"/>
                <w:szCs w:val="24"/>
              </w:rPr>
            </w:pPr>
            <w:r w:rsidRPr="0051240D">
              <w:rPr>
                <w:rFonts w:cstheme="minorHAnsi"/>
                <w:sz w:val="24"/>
                <w:szCs w:val="24"/>
                <w:rtl/>
              </w:rPr>
              <w:t xml:space="preserve">מפעילות המגזרים העיקריים בשוק </w:t>
            </w:r>
            <w:proofErr w:type="spellStart"/>
            <w:r w:rsidRPr="0051240D">
              <w:rPr>
                <w:rFonts w:cstheme="minorHAnsi"/>
                <w:sz w:val="24"/>
                <w:szCs w:val="24"/>
                <w:rtl/>
              </w:rPr>
              <w:t>המט"ח</w:t>
            </w:r>
            <w:proofErr w:type="spellEnd"/>
            <w:r w:rsidRPr="0051240D">
              <w:rPr>
                <w:rFonts w:cstheme="minorHAnsi"/>
                <w:sz w:val="24"/>
                <w:szCs w:val="24"/>
                <w:rtl/>
              </w:rPr>
              <w:t xml:space="preserve"> עולה כי, תושבי חוץ מהמגזר הפיננסי היו מאוד מתואמים עם השינויים במגמת שער  החליפין; </w:t>
            </w:r>
          </w:p>
          <w:p w14:paraId="4EF203C0" w14:textId="77777777" w:rsidR="00CC0C6E" w:rsidRPr="0051240D" w:rsidRDefault="00CC0C6E" w:rsidP="00CC0C6E">
            <w:pPr>
              <w:pStyle w:val="ListParagraph"/>
              <w:numPr>
                <w:ilvl w:val="0"/>
                <w:numId w:val="31"/>
              </w:numPr>
              <w:spacing w:line="360" w:lineRule="auto"/>
              <w:jc w:val="both"/>
              <w:rPr>
                <w:rFonts w:cstheme="minorHAnsi"/>
                <w:sz w:val="24"/>
                <w:szCs w:val="24"/>
                <w:rtl/>
              </w:rPr>
            </w:pPr>
            <w:r w:rsidRPr="0051240D">
              <w:rPr>
                <w:rFonts w:cstheme="minorHAnsi"/>
                <w:sz w:val="24"/>
                <w:szCs w:val="24"/>
                <w:rtl/>
              </w:rPr>
              <w:t>הגופים המוסדיים, בניגוד לפעילותם בשנתיים הקודמות, מכרו נטו כ-9 מיליארדי דולרים בשנת 2024, במקביל לעליות במחירי המניות בעולם.</w:t>
            </w:r>
          </w:p>
          <w:p w14:paraId="3586B7A4" w14:textId="77777777" w:rsidR="00AF714B" w:rsidRPr="0051240D" w:rsidRDefault="00AF714B" w:rsidP="00CC0C6E">
            <w:pPr>
              <w:pStyle w:val="ListParagraph"/>
              <w:tabs>
                <w:tab w:val="left" w:pos="984"/>
              </w:tabs>
              <w:ind w:right="749"/>
              <w:jc w:val="both"/>
              <w:rPr>
                <w:rFonts w:cstheme="minorHAnsi"/>
                <w:b/>
                <w:bCs/>
                <w:sz w:val="24"/>
                <w:szCs w:val="24"/>
                <w:rtl/>
              </w:rPr>
            </w:pPr>
          </w:p>
        </w:tc>
        <w:tc>
          <w:tcPr>
            <w:tcW w:w="4529" w:type="dxa"/>
          </w:tcPr>
          <w:p w14:paraId="0C3FCEB8" w14:textId="77777777" w:rsidR="00AF714B" w:rsidRPr="0051240D" w:rsidRDefault="00AF714B" w:rsidP="00AF714B">
            <w:pPr>
              <w:pStyle w:val="ListParagraph"/>
              <w:spacing w:line="360" w:lineRule="auto"/>
              <w:ind w:left="0"/>
              <w:jc w:val="both"/>
              <w:rPr>
                <w:rFonts w:cstheme="minorHAnsi"/>
                <w:sz w:val="24"/>
                <w:szCs w:val="24"/>
                <w:rtl/>
              </w:rPr>
            </w:pPr>
            <w:r w:rsidRPr="0051240D">
              <w:rPr>
                <w:rFonts w:cstheme="minorHAnsi"/>
                <w:b/>
                <w:bCs/>
                <w:sz w:val="24"/>
                <w:szCs w:val="24"/>
                <w:rtl/>
              </w:rPr>
              <w:t>אומדן רכישות מטבע החוץ (+) המצטברות נטו של המגזרים העיקריים</w:t>
            </w:r>
          </w:p>
          <w:p w14:paraId="06EA2EE8" w14:textId="77777777" w:rsidR="00AF714B" w:rsidRPr="0051240D" w:rsidRDefault="00AF714B" w:rsidP="00AF714B">
            <w:pPr>
              <w:pStyle w:val="ListParagraph"/>
              <w:spacing w:line="360" w:lineRule="auto"/>
              <w:ind w:left="0"/>
              <w:jc w:val="both"/>
              <w:rPr>
                <w:rFonts w:cstheme="minorHAnsi"/>
                <w:sz w:val="24"/>
                <w:szCs w:val="24"/>
                <w:rtl/>
              </w:rPr>
            </w:pPr>
            <w:r w:rsidRPr="0051240D">
              <w:rPr>
                <w:rFonts w:cstheme="minorHAnsi"/>
                <w:b/>
                <w:bCs/>
                <w:noProof/>
                <w:sz w:val="24"/>
                <w:szCs w:val="24"/>
                <w:rtl/>
              </w:rPr>
              <w:drawing>
                <wp:anchor distT="0" distB="0" distL="114300" distR="114300" simplePos="0" relativeHeight="251709440" behindDoc="0" locked="0" layoutInCell="1" allowOverlap="1" wp14:anchorId="32DF4589" wp14:editId="3A7B6C8A">
                  <wp:simplePos x="0" y="0"/>
                  <wp:positionH relativeFrom="column">
                    <wp:posOffset>147679</wp:posOffset>
                  </wp:positionH>
                  <wp:positionV relativeFrom="paragraph">
                    <wp:posOffset>184289</wp:posOffset>
                  </wp:positionV>
                  <wp:extent cx="2592000" cy="1548000"/>
                  <wp:effectExtent l="0" t="0" r="0" b="0"/>
                  <wp:wrapTopAndBottom/>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2000" cy="1548000"/>
                          </a:xfrm>
                          <a:prstGeom prst="rect">
                            <a:avLst/>
                          </a:prstGeom>
                          <a:noFill/>
                        </pic:spPr>
                      </pic:pic>
                    </a:graphicData>
                  </a:graphic>
                  <wp14:sizeRelH relativeFrom="page">
                    <wp14:pctWidth>0</wp14:pctWidth>
                  </wp14:sizeRelH>
                  <wp14:sizeRelV relativeFrom="page">
                    <wp14:pctHeight>0</wp14:pctHeight>
                  </wp14:sizeRelV>
                </wp:anchor>
              </w:drawing>
            </w:r>
            <w:r w:rsidRPr="0051240D">
              <w:rPr>
                <w:rFonts w:cstheme="minorHAnsi"/>
                <w:sz w:val="24"/>
                <w:szCs w:val="24"/>
                <w:rtl/>
              </w:rPr>
              <w:t>מיליארדי דולרים</w:t>
            </w:r>
          </w:p>
          <w:p w14:paraId="61162763" w14:textId="77777777" w:rsidR="00AF714B" w:rsidRPr="0051240D" w:rsidRDefault="00AF714B" w:rsidP="00AF714B">
            <w:pPr>
              <w:spacing w:line="360" w:lineRule="auto"/>
              <w:jc w:val="both"/>
              <w:rPr>
                <w:rFonts w:eastAsia="Times New Roman" w:cstheme="minorHAnsi"/>
                <w:b/>
                <w:bCs/>
                <w:color w:val="000000"/>
                <w:sz w:val="24"/>
                <w:szCs w:val="24"/>
                <w:rtl/>
              </w:rPr>
            </w:pPr>
            <w:r w:rsidRPr="0051240D">
              <w:rPr>
                <w:rFonts w:eastAsiaTheme="majorEastAsia" w:cstheme="minorHAnsi"/>
                <w:sz w:val="24"/>
                <w:szCs w:val="24"/>
                <w:rtl/>
              </w:rPr>
              <w:t>המקור: דיווחים לבנק ישראל מהמוסדות הפיננסיים ומחברות עסקיות, ועיבודי בנק ישראל.</w:t>
            </w:r>
          </w:p>
        </w:tc>
      </w:tr>
    </w:tbl>
    <w:p w14:paraId="40638B7D" w14:textId="77777777" w:rsidR="00C5044F" w:rsidRPr="0051240D" w:rsidRDefault="00C5044F" w:rsidP="009C66C0">
      <w:pPr>
        <w:spacing w:line="360" w:lineRule="auto"/>
        <w:jc w:val="both"/>
        <w:rPr>
          <w:rFonts w:cstheme="minorHAnsi"/>
          <w:b/>
          <w:bCs/>
          <w:sz w:val="24"/>
          <w:szCs w:val="24"/>
          <w:rtl/>
        </w:rPr>
      </w:pPr>
    </w:p>
    <w:p w14:paraId="45EB0F27" w14:textId="77777777" w:rsidR="00CC0C6E" w:rsidRPr="0051240D" w:rsidRDefault="00CC0C6E" w:rsidP="00EB7595">
      <w:pPr>
        <w:spacing w:line="360" w:lineRule="auto"/>
        <w:ind w:left="-58"/>
        <w:jc w:val="both"/>
        <w:rPr>
          <w:rFonts w:cstheme="minorHAnsi"/>
          <w:b/>
          <w:bCs/>
          <w:sz w:val="24"/>
          <w:szCs w:val="24"/>
          <w:rtl/>
        </w:rPr>
      </w:pPr>
    </w:p>
    <w:p w14:paraId="65B135B7" w14:textId="77777777" w:rsidR="00CC0C6E" w:rsidRPr="0051240D" w:rsidRDefault="00CC0C6E" w:rsidP="00EB7595">
      <w:pPr>
        <w:spacing w:line="360" w:lineRule="auto"/>
        <w:ind w:left="-58"/>
        <w:jc w:val="both"/>
        <w:rPr>
          <w:rFonts w:cstheme="minorHAnsi"/>
          <w:b/>
          <w:bCs/>
          <w:sz w:val="24"/>
          <w:szCs w:val="24"/>
          <w:rtl/>
        </w:rPr>
      </w:pPr>
    </w:p>
    <w:p w14:paraId="5A66928F" w14:textId="77777777" w:rsidR="00CC0C6E" w:rsidRPr="0051240D" w:rsidRDefault="00CC0C6E" w:rsidP="00EB7595">
      <w:pPr>
        <w:spacing w:line="360" w:lineRule="auto"/>
        <w:ind w:left="-58"/>
        <w:jc w:val="both"/>
        <w:rPr>
          <w:rFonts w:cstheme="minorHAnsi"/>
          <w:b/>
          <w:bCs/>
          <w:sz w:val="24"/>
          <w:szCs w:val="24"/>
          <w:rtl/>
        </w:rPr>
      </w:pPr>
    </w:p>
    <w:p w14:paraId="2C115310" w14:textId="77777777" w:rsidR="00716312" w:rsidRPr="0051240D" w:rsidRDefault="002D2EE7" w:rsidP="00EB7595">
      <w:pPr>
        <w:spacing w:line="360" w:lineRule="auto"/>
        <w:ind w:left="-58"/>
        <w:jc w:val="both"/>
        <w:rPr>
          <w:rFonts w:cstheme="minorHAnsi"/>
          <w:sz w:val="24"/>
          <w:szCs w:val="24"/>
          <w:rtl/>
        </w:rPr>
      </w:pPr>
      <w:r w:rsidRPr="0051240D">
        <w:rPr>
          <w:rFonts w:cstheme="minorHAnsi"/>
          <w:b/>
          <w:bCs/>
          <w:sz w:val="24"/>
          <w:szCs w:val="24"/>
          <w:rtl/>
        </w:rPr>
        <w:t>ה</w:t>
      </w:r>
      <w:r w:rsidR="00716312" w:rsidRPr="0051240D">
        <w:rPr>
          <w:rFonts w:cstheme="minorHAnsi"/>
          <w:b/>
          <w:bCs/>
          <w:sz w:val="24"/>
          <w:szCs w:val="24"/>
          <w:rtl/>
        </w:rPr>
        <w:t xml:space="preserve">חלק השני של </w:t>
      </w:r>
      <w:r w:rsidR="00EA773C" w:rsidRPr="0051240D">
        <w:rPr>
          <w:rFonts w:cstheme="minorHAnsi"/>
          <w:b/>
          <w:bCs/>
          <w:sz w:val="24"/>
          <w:szCs w:val="24"/>
          <w:rtl/>
        </w:rPr>
        <w:t>"</w:t>
      </w:r>
      <w:r w:rsidR="00716312" w:rsidRPr="0051240D">
        <w:rPr>
          <w:rFonts w:cstheme="minorHAnsi"/>
          <w:b/>
          <w:bCs/>
          <w:sz w:val="24"/>
          <w:szCs w:val="24"/>
          <w:rtl/>
        </w:rPr>
        <w:t xml:space="preserve">מבט סטטיסטי </w:t>
      </w:r>
      <w:r w:rsidR="00313D6D" w:rsidRPr="0051240D">
        <w:rPr>
          <w:rFonts w:cstheme="minorHAnsi"/>
          <w:b/>
          <w:bCs/>
          <w:sz w:val="24"/>
          <w:szCs w:val="24"/>
          <w:rtl/>
        </w:rPr>
        <w:t>2024</w:t>
      </w:r>
      <w:r w:rsidR="00EA773C" w:rsidRPr="0051240D">
        <w:rPr>
          <w:rFonts w:cstheme="minorHAnsi"/>
          <w:b/>
          <w:bCs/>
          <w:sz w:val="24"/>
          <w:szCs w:val="24"/>
          <w:rtl/>
        </w:rPr>
        <w:t xml:space="preserve"> "</w:t>
      </w:r>
      <w:r w:rsidRPr="0051240D">
        <w:rPr>
          <w:rFonts w:cstheme="minorHAnsi"/>
          <w:b/>
          <w:bCs/>
          <w:sz w:val="24"/>
          <w:szCs w:val="24"/>
          <w:rtl/>
        </w:rPr>
        <w:t xml:space="preserve"> </w:t>
      </w:r>
      <w:r w:rsidRPr="0051240D">
        <w:rPr>
          <w:rFonts w:cstheme="minorHAnsi"/>
          <w:sz w:val="24"/>
          <w:szCs w:val="24"/>
          <w:rtl/>
        </w:rPr>
        <w:t xml:space="preserve">כולל </w:t>
      </w:r>
      <w:r w:rsidR="00313D6D" w:rsidRPr="0051240D">
        <w:rPr>
          <w:rFonts w:cstheme="minorHAnsi"/>
          <w:sz w:val="24"/>
          <w:szCs w:val="24"/>
          <w:rtl/>
        </w:rPr>
        <w:t>ארבע</w:t>
      </w:r>
      <w:r w:rsidRPr="0051240D">
        <w:rPr>
          <w:rFonts w:cstheme="minorHAnsi"/>
          <w:sz w:val="24"/>
          <w:szCs w:val="24"/>
          <w:rtl/>
        </w:rPr>
        <w:t xml:space="preserve"> עבודות בתחום המתודולוגיה הסטטיסטית</w:t>
      </w:r>
      <w:r w:rsidR="00D84901" w:rsidRPr="0051240D">
        <w:rPr>
          <w:rFonts w:cstheme="minorHAnsi"/>
          <w:sz w:val="24"/>
          <w:szCs w:val="24"/>
          <w:rtl/>
        </w:rPr>
        <w:t xml:space="preserve"> והמידע הכלכלי</w:t>
      </w:r>
      <w:r w:rsidR="00716312" w:rsidRPr="0051240D">
        <w:rPr>
          <w:rFonts w:cstheme="minorHAnsi"/>
          <w:sz w:val="24"/>
          <w:szCs w:val="24"/>
          <w:rtl/>
        </w:rPr>
        <w:t>:</w:t>
      </w:r>
    </w:p>
    <w:p w14:paraId="2FAC61DC" w14:textId="77777777" w:rsidR="00EA773C" w:rsidRPr="0051240D" w:rsidRDefault="002C01D5" w:rsidP="00EB7595">
      <w:pPr>
        <w:pStyle w:val="ListParagraph"/>
        <w:numPr>
          <w:ilvl w:val="0"/>
          <w:numId w:val="26"/>
        </w:numPr>
        <w:spacing w:line="360" w:lineRule="auto"/>
        <w:jc w:val="both"/>
        <w:rPr>
          <w:rFonts w:cstheme="minorHAnsi"/>
          <w:b/>
          <w:bCs/>
          <w:sz w:val="24"/>
          <w:szCs w:val="24"/>
        </w:rPr>
      </w:pPr>
      <w:r w:rsidRPr="0051240D">
        <w:rPr>
          <w:rFonts w:cstheme="minorHAnsi"/>
          <w:b/>
          <w:bCs/>
          <w:sz w:val="24"/>
          <w:szCs w:val="24"/>
          <w:rtl/>
        </w:rPr>
        <w:t>השקעות משקי בית באפיקים סולידיים</w:t>
      </w:r>
      <w:r w:rsidR="00817162" w:rsidRPr="0051240D">
        <w:rPr>
          <w:rFonts w:cstheme="minorHAnsi"/>
          <w:b/>
          <w:bCs/>
          <w:sz w:val="24"/>
          <w:szCs w:val="24"/>
          <w:rtl/>
        </w:rPr>
        <w:t xml:space="preserve"> נושאי ריבית</w:t>
      </w:r>
    </w:p>
    <w:p w14:paraId="0332EE9F" w14:textId="77777777" w:rsidR="002C01D5" w:rsidRPr="0051240D" w:rsidRDefault="002C01D5" w:rsidP="00EB7595">
      <w:pPr>
        <w:spacing w:after="120" w:line="360" w:lineRule="auto"/>
        <w:ind w:left="360"/>
        <w:jc w:val="both"/>
        <w:rPr>
          <w:rFonts w:cstheme="minorHAnsi"/>
          <w:sz w:val="24"/>
          <w:szCs w:val="24"/>
          <w:rtl/>
        </w:rPr>
      </w:pPr>
      <w:r w:rsidRPr="0051240D">
        <w:rPr>
          <w:rFonts w:cstheme="minorHAnsi"/>
          <w:sz w:val="24"/>
          <w:szCs w:val="24"/>
          <w:rtl/>
        </w:rPr>
        <w:t xml:space="preserve">משקי </w:t>
      </w:r>
      <w:r w:rsidR="00D84901" w:rsidRPr="0051240D">
        <w:rPr>
          <w:rFonts w:cstheme="minorHAnsi"/>
          <w:sz w:val="24"/>
          <w:szCs w:val="24"/>
          <w:rtl/>
        </w:rPr>
        <w:t>ה</w:t>
      </w:r>
      <w:r w:rsidRPr="0051240D">
        <w:rPr>
          <w:rFonts w:cstheme="minorHAnsi"/>
          <w:sz w:val="24"/>
          <w:szCs w:val="24"/>
          <w:rtl/>
        </w:rPr>
        <w:t xml:space="preserve">בית בישראל מחפשים אפיקי השקעה סולידיים עבור חסכונותיהם, תוך רצון ליהנות מסביבת הריבית המאפשרת תשואה נאה ברמת סיכון נמוכה ונזילות גבוהה.  </w:t>
      </w:r>
    </w:p>
    <w:p w14:paraId="53F8F7FE" w14:textId="77777777" w:rsidR="002C01D5" w:rsidRPr="0051240D" w:rsidRDefault="002C01D5" w:rsidP="00EB7595">
      <w:pPr>
        <w:spacing w:after="120" w:line="360" w:lineRule="auto"/>
        <w:ind w:left="360"/>
        <w:jc w:val="both"/>
        <w:rPr>
          <w:rFonts w:cstheme="minorHAnsi"/>
          <w:sz w:val="24"/>
          <w:szCs w:val="24"/>
          <w:rtl/>
        </w:rPr>
      </w:pPr>
      <w:r w:rsidRPr="0051240D">
        <w:rPr>
          <w:rFonts w:cstheme="minorHAnsi"/>
          <w:sz w:val="24"/>
          <w:szCs w:val="24"/>
          <w:rtl/>
        </w:rPr>
        <w:t>מאז חודש אפריל 2022 חלה עלייה בריבית בנק ישראל</w:t>
      </w:r>
      <w:r w:rsidR="00190133" w:rsidRPr="0051240D">
        <w:rPr>
          <w:rFonts w:cstheme="minorHAnsi"/>
          <w:sz w:val="24"/>
          <w:szCs w:val="24"/>
          <w:rtl/>
        </w:rPr>
        <w:t>.</w:t>
      </w:r>
      <w:r w:rsidRPr="0051240D">
        <w:rPr>
          <w:rFonts w:cstheme="minorHAnsi"/>
          <w:sz w:val="24"/>
          <w:szCs w:val="24"/>
          <w:rtl/>
        </w:rPr>
        <w:t xml:space="preserve"> עלייה זו הפכה את ההשקעות באפיקים סולידיים </w:t>
      </w:r>
      <w:proofErr w:type="spellStart"/>
      <w:r w:rsidRPr="0051240D">
        <w:rPr>
          <w:rFonts w:cstheme="minorHAnsi"/>
          <w:sz w:val="24"/>
          <w:szCs w:val="24"/>
          <w:rtl/>
        </w:rPr>
        <w:t>שקליים</w:t>
      </w:r>
      <w:proofErr w:type="spellEnd"/>
      <w:r w:rsidRPr="0051240D">
        <w:rPr>
          <w:rFonts w:cstheme="minorHAnsi"/>
          <w:sz w:val="24"/>
          <w:szCs w:val="24"/>
          <w:rtl/>
        </w:rPr>
        <w:t xml:space="preserve"> לאטרקטיביות יותר</w:t>
      </w:r>
      <w:r w:rsidRPr="0051240D">
        <w:rPr>
          <w:rFonts w:cstheme="minorHAnsi"/>
          <w:sz w:val="24"/>
          <w:szCs w:val="24"/>
        </w:rPr>
        <w:t>.</w:t>
      </w:r>
    </w:p>
    <w:p w14:paraId="114EA7E4" w14:textId="77777777" w:rsidR="002C01D5" w:rsidRPr="0051240D" w:rsidRDefault="002C01D5" w:rsidP="00EB7595">
      <w:pPr>
        <w:spacing w:after="120" w:line="360" w:lineRule="auto"/>
        <w:ind w:left="360"/>
        <w:jc w:val="both"/>
        <w:rPr>
          <w:rFonts w:cstheme="minorHAnsi"/>
          <w:sz w:val="24"/>
          <w:szCs w:val="24"/>
          <w:rtl/>
        </w:rPr>
      </w:pPr>
      <w:r w:rsidRPr="0051240D">
        <w:rPr>
          <w:rFonts w:cstheme="minorHAnsi"/>
          <w:sz w:val="24"/>
          <w:szCs w:val="24"/>
          <w:rtl/>
        </w:rPr>
        <w:t>השקעות במלווה קצר מועד (מק"מ) ובקרנות נאמנות כספיות שקליות מהוות חלופות לפיקדונות הבנקאים. בעבודה זו נבחנו, בהתבסס על נתוני אחזקות בניירות ערך של משקי הבית ונתוני פיקדונות של משקי הבית, האם משקי הבית אכן הגדילו את השקעותיהם באפיקים אלה.</w:t>
      </w:r>
    </w:p>
    <w:p w14:paraId="118B8D6E" w14:textId="77777777" w:rsidR="006A78B4" w:rsidRPr="0051240D" w:rsidRDefault="006A78B4" w:rsidP="00EB7595">
      <w:pPr>
        <w:pStyle w:val="ListParagraph"/>
        <w:spacing w:line="360" w:lineRule="auto"/>
        <w:jc w:val="both"/>
        <w:rPr>
          <w:rFonts w:cstheme="minorHAnsi"/>
          <w:b/>
          <w:bCs/>
          <w:color w:val="FF0000"/>
          <w:sz w:val="24"/>
          <w:szCs w:val="24"/>
          <w:rtl/>
        </w:rPr>
      </w:pPr>
    </w:p>
    <w:p w14:paraId="31BD5FE5" w14:textId="77777777" w:rsidR="000041FE" w:rsidRPr="0051240D" w:rsidRDefault="002C01D5" w:rsidP="00EB7595">
      <w:pPr>
        <w:pStyle w:val="ListParagraph"/>
        <w:numPr>
          <w:ilvl w:val="0"/>
          <w:numId w:val="26"/>
        </w:numPr>
        <w:spacing w:line="360" w:lineRule="auto"/>
        <w:jc w:val="both"/>
        <w:rPr>
          <w:rFonts w:cstheme="minorHAnsi"/>
          <w:b/>
          <w:bCs/>
          <w:sz w:val="24"/>
          <w:szCs w:val="24"/>
        </w:rPr>
      </w:pPr>
      <w:r w:rsidRPr="0051240D">
        <w:rPr>
          <w:rFonts w:cstheme="minorHAnsi"/>
          <w:b/>
          <w:bCs/>
          <w:sz w:val="24"/>
          <w:szCs w:val="24"/>
          <w:rtl/>
        </w:rPr>
        <w:t>השקעות ישירות של תושבי חוץ במשק</w:t>
      </w:r>
      <w:r w:rsidR="00817162" w:rsidRPr="0051240D">
        <w:rPr>
          <w:rFonts w:cstheme="minorHAnsi"/>
          <w:b/>
          <w:bCs/>
          <w:sz w:val="24"/>
          <w:szCs w:val="24"/>
          <w:rtl/>
        </w:rPr>
        <w:t xml:space="preserve"> – מגמות בעשור האחרון</w:t>
      </w:r>
    </w:p>
    <w:p w14:paraId="4914B11A" w14:textId="77777777" w:rsidR="002C01D5" w:rsidRPr="0051240D" w:rsidRDefault="002C01D5" w:rsidP="00EB7595">
      <w:pPr>
        <w:spacing w:before="120" w:line="360" w:lineRule="auto"/>
        <w:ind w:left="360"/>
        <w:jc w:val="both"/>
        <w:rPr>
          <w:rFonts w:cstheme="minorHAnsi"/>
          <w:sz w:val="24"/>
          <w:szCs w:val="24"/>
          <w:rtl/>
        </w:rPr>
      </w:pPr>
      <w:r w:rsidRPr="0051240D">
        <w:rPr>
          <w:rFonts w:cstheme="minorHAnsi"/>
          <w:sz w:val="24"/>
          <w:szCs w:val="24"/>
          <w:rtl/>
        </w:rPr>
        <w:t>במהלך העשור האחרון, יתרת ההשקעות הישירות של תושבי חוץ בישראל גדלה בעיקר כתוצאה מזרם השקעות נטו. לאורך העשור, ההשקעות הישירות החדשות בהון היו בהיקפים גבוהים יותר מהרווחים שנצברו להשקעה מחדש אך בשנת 2023 מגמה זו התהפכה.  בשנת 2023 חלה ירידה משמעותית בזרם ההשקעות,  כחלק ממגמה עולמית של צמצום בהשקעות ישירות.</w:t>
      </w:r>
    </w:p>
    <w:p w14:paraId="39DB1547" w14:textId="77777777" w:rsidR="002C01D5" w:rsidRPr="0051240D" w:rsidRDefault="002C01D5" w:rsidP="00EB7595">
      <w:pPr>
        <w:spacing w:before="120" w:line="360" w:lineRule="auto"/>
        <w:ind w:left="360"/>
        <w:jc w:val="both"/>
        <w:rPr>
          <w:rFonts w:cstheme="minorHAnsi"/>
          <w:sz w:val="24"/>
          <w:szCs w:val="24"/>
          <w:rtl/>
        </w:rPr>
      </w:pPr>
      <w:r w:rsidRPr="0051240D">
        <w:rPr>
          <w:rFonts w:cstheme="minorHAnsi"/>
          <w:sz w:val="24"/>
          <w:szCs w:val="24"/>
          <w:rtl/>
        </w:rPr>
        <w:t xml:space="preserve">השוואה בינלאומית של מדדי השקעות ישירות זרות נבחרים על פני זמן מול מדינות ייחוס נבחרות עם תמ"ג לנפש שדומה לזה של ישראל, מצביעה על דירוג גבוהה של ישראל. דירוג זה נשמר גם ביחס למצרף מדינות ה- </w:t>
      </w:r>
      <w:r w:rsidRPr="0051240D">
        <w:rPr>
          <w:rFonts w:cstheme="minorHAnsi"/>
          <w:sz w:val="24"/>
          <w:szCs w:val="24"/>
        </w:rPr>
        <w:t>OECD</w:t>
      </w:r>
      <w:r w:rsidRPr="0051240D">
        <w:rPr>
          <w:rFonts w:cstheme="minorHAnsi"/>
          <w:sz w:val="24"/>
          <w:szCs w:val="24"/>
          <w:rtl/>
        </w:rPr>
        <w:t xml:space="preserve"> ומדינות העולם.  מדדים אלו מלמדים על תרומת ההשקעות הישירות הזרות לצמיחה הכלכלית של ישראל ועל מידת האטרקטיביות של המשק למשקיעים זרים.</w:t>
      </w:r>
    </w:p>
    <w:p w14:paraId="24CC0EAD" w14:textId="77777777" w:rsidR="00817162" w:rsidRPr="0051240D" w:rsidRDefault="00817162" w:rsidP="00EB7595">
      <w:pPr>
        <w:pStyle w:val="ListParagraph"/>
        <w:numPr>
          <w:ilvl w:val="0"/>
          <w:numId w:val="26"/>
        </w:numPr>
        <w:spacing w:line="360" w:lineRule="auto"/>
        <w:jc w:val="both"/>
        <w:rPr>
          <w:rFonts w:cstheme="minorHAnsi"/>
          <w:b/>
          <w:bCs/>
          <w:sz w:val="24"/>
          <w:szCs w:val="24"/>
        </w:rPr>
      </w:pPr>
      <w:r w:rsidRPr="0051240D">
        <w:rPr>
          <w:rFonts w:cstheme="minorHAnsi"/>
          <w:b/>
          <w:bCs/>
          <w:sz w:val="24"/>
          <w:szCs w:val="24"/>
          <w:rtl/>
        </w:rPr>
        <w:t>ניתוח השינויים במדדי המניות ומדדי אגרות החוב</w:t>
      </w:r>
      <w:r w:rsidRPr="0051240D">
        <w:rPr>
          <w:rFonts w:cstheme="minorHAnsi"/>
          <w:sz w:val="24"/>
          <w:szCs w:val="24"/>
          <w:rtl/>
        </w:rPr>
        <w:t xml:space="preserve"> </w:t>
      </w:r>
    </w:p>
    <w:p w14:paraId="435BBA12" w14:textId="77777777" w:rsidR="00817162" w:rsidRPr="0051240D" w:rsidRDefault="00817162" w:rsidP="00EB7595">
      <w:pPr>
        <w:spacing w:line="360" w:lineRule="auto"/>
        <w:ind w:left="360"/>
        <w:jc w:val="both"/>
        <w:rPr>
          <w:rFonts w:cstheme="minorHAnsi"/>
          <w:sz w:val="24"/>
          <w:szCs w:val="24"/>
          <w:rtl/>
        </w:rPr>
      </w:pPr>
      <w:r w:rsidRPr="0051240D">
        <w:rPr>
          <w:rFonts w:cstheme="minorHAnsi"/>
          <w:sz w:val="24"/>
          <w:szCs w:val="24"/>
          <w:rtl/>
        </w:rPr>
        <w:t>בנק ישראל עוקב באופן שוטף אחר הפעילות בשוק איגרות החוב והמניות בישראל, כחלק מתהליך הניהול של המדיניות הכלכלית. העבודה מתארת את המתודולוגיה של הבורסה לחישוב ולעדכון של מדדי המניות ואיגרות החוב המרכזיים. על בסיס מתודולוגיה זו, בוצעו חישובים בבנק ישראל להערכת התרומה של כל נייר ערך לשינוי בערכו של המדד. בחלק האחרון של העבודה מוצגים חישובים וניתוחים שהתרחשו במדדי המניות ומדדי אגרות החוב בחודשים הראשונים של מלחמת "חרבות ברזל".</w:t>
      </w:r>
    </w:p>
    <w:p w14:paraId="30FE195C" w14:textId="77777777" w:rsidR="00190133" w:rsidRPr="0051240D" w:rsidRDefault="00D84901" w:rsidP="00EB7595">
      <w:pPr>
        <w:pStyle w:val="ListParagraph"/>
        <w:numPr>
          <w:ilvl w:val="0"/>
          <w:numId w:val="26"/>
        </w:numPr>
        <w:spacing w:line="360" w:lineRule="auto"/>
        <w:jc w:val="both"/>
        <w:rPr>
          <w:rFonts w:cstheme="minorHAnsi"/>
          <w:b/>
          <w:bCs/>
          <w:sz w:val="24"/>
          <w:szCs w:val="24"/>
        </w:rPr>
      </w:pPr>
      <w:r w:rsidRPr="0051240D">
        <w:rPr>
          <w:rFonts w:cstheme="minorHAnsi"/>
          <w:b/>
          <w:bCs/>
          <w:sz w:val="24"/>
          <w:szCs w:val="24"/>
          <w:rtl/>
        </w:rPr>
        <w:t>אפיון הנתונים לאמידת ההיצע והביקוש בשוק העבודה</w:t>
      </w:r>
    </w:p>
    <w:p w14:paraId="1F1FA994" w14:textId="77777777" w:rsidR="00D84901" w:rsidRPr="0051240D" w:rsidRDefault="00D84901" w:rsidP="00EB7595">
      <w:pPr>
        <w:spacing w:line="360" w:lineRule="auto"/>
        <w:ind w:left="360"/>
        <w:jc w:val="both"/>
        <w:rPr>
          <w:rFonts w:cstheme="minorHAnsi"/>
          <w:sz w:val="24"/>
          <w:szCs w:val="24"/>
          <w:rtl/>
        </w:rPr>
      </w:pPr>
      <w:r w:rsidRPr="0051240D">
        <w:rPr>
          <w:rFonts w:eastAsia="Times New Roman" w:cstheme="minorHAnsi"/>
          <w:sz w:val="24"/>
          <w:szCs w:val="24"/>
          <w:rtl/>
        </w:rPr>
        <w:t xml:space="preserve">המקור העיקרי לנתונים שמשמשים לאמידת ההיצע והביקוש בשוק העבודה היא הלשכה המרכזית לסטטיסטיקה. </w:t>
      </w:r>
      <w:r w:rsidRPr="0051240D">
        <w:rPr>
          <w:rFonts w:cstheme="minorHAnsi"/>
          <w:sz w:val="24"/>
          <w:szCs w:val="24"/>
          <w:rtl/>
        </w:rPr>
        <w:t xml:space="preserve">בעבודה זו נציג ונאפיין את הנתונים שמשמשים לאמידת ההיצע והביקוש בשוק העבודה בישראל ונתאר את ההתפתחויות המרכזיות בשוק זה. כמו כן, נתאר בעבודה זו תועלות ושימושים אפשריים נוספים של הנתונים הללו. </w:t>
      </w:r>
    </w:p>
    <w:p w14:paraId="1CB94D5D" w14:textId="77777777" w:rsidR="00190133" w:rsidRPr="0051240D" w:rsidRDefault="00190133" w:rsidP="00EB7595">
      <w:pPr>
        <w:spacing w:line="360" w:lineRule="auto"/>
        <w:ind w:left="360"/>
        <w:jc w:val="both"/>
        <w:rPr>
          <w:rFonts w:cstheme="minorHAnsi"/>
          <w:sz w:val="24"/>
          <w:szCs w:val="24"/>
        </w:rPr>
      </w:pPr>
    </w:p>
    <w:sectPr w:rsidR="00190133" w:rsidRPr="0051240D" w:rsidSect="00F9496C">
      <w:footerReference w:type="default" r:id="rId16"/>
      <w:pgSz w:w="11906" w:h="16838"/>
      <w:pgMar w:top="1134" w:right="1797" w:bottom="1134" w:left="1797" w:header="709" w:footer="0"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18140" w16cex:dateUtc="2023-03-19T10:40:00Z"/>
  <w16cex:commentExtensible w16cex:durableId="27C181F1" w16cex:dateUtc="2023-03-19T10:43:00Z"/>
  <w16cex:commentExtensible w16cex:durableId="27C18264" w16cex:dateUtc="2023-03-19T1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FE331F" w16cid:durableId="27C18140"/>
  <w16cid:commentId w16cid:paraId="5B3EDCAF" w16cid:durableId="27C181F1"/>
  <w16cid:commentId w16cid:paraId="23847715" w16cid:durableId="27C182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03753" w14:textId="77777777" w:rsidR="00C902FB" w:rsidRDefault="00C902FB" w:rsidP="006E4A40">
      <w:pPr>
        <w:spacing w:after="0" w:line="240" w:lineRule="auto"/>
      </w:pPr>
      <w:r>
        <w:separator/>
      </w:r>
    </w:p>
  </w:endnote>
  <w:endnote w:type="continuationSeparator" w:id="0">
    <w:p w14:paraId="1CC3A366" w14:textId="77777777" w:rsidR="00C902FB" w:rsidRDefault="00C902FB" w:rsidP="006E4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15501717"/>
      <w:docPartObj>
        <w:docPartGallery w:val="Page Numbers (Bottom of Page)"/>
        <w:docPartUnique/>
      </w:docPartObj>
    </w:sdtPr>
    <w:sdtEndPr/>
    <w:sdtContent>
      <w:sdt>
        <w:sdtPr>
          <w:rPr>
            <w:rFonts w:cs="David"/>
            <w:sz w:val="18"/>
            <w:szCs w:val="18"/>
            <w:rtl/>
          </w:rPr>
          <w:id w:val="-1817257504"/>
          <w:docPartObj>
            <w:docPartGallery w:val="Page Numbers (Bottom of Page)"/>
            <w:docPartUnique/>
          </w:docPartObj>
        </w:sdtPr>
        <w:sdtEndPr>
          <w:rPr>
            <w:cs/>
          </w:rPr>
        </w:sdtEndPr>
        <w:sdtContent>
          <w:sdt>
            <w:sdtPr>
              <w:rPr>
                <w:rFonts w:cs="David"/>
                <w:sz w:val="18"/>
                <w:szCs w:val="18"/>
                <w:rtl/>
              </w:rPr>
              <w:id w:val="860082579"/>
              <w:docPartObj>
                <w:docPartGallery w:val="Page Numbers (Top of Page)"/>
                <w:docPartUnique/>
              </w:docPartObj>
            </w:sdtPr>
            <w:sdtEndPr/>
            <w:sdtContent>
              <w:p w14:paraId="3E916F79" w14:textId="5CD93FC5" w:rsidR="006E4A40" w:rsidRPr="006E4A40" w:rsidRDefault="006E4A40" w:rsidP="00C340A6">
                <w:pPr>
                  <w:ind w:right="-1276"/>
                  <w:rPr>
                    <w:rFonts w:cs="David"/>
                    <w:sz w:val="18"/>
                    <w:szCs w:val="18"/>
                  </w:rPr>
                </w:pPr>
                <w:r>
                  <w:rPr>
                    <w:rFonts w:cs="David" w:hint="cs"/>
                    <w:sz w:val="18"/>
                    <w:szCs w:val="18"/>
                    <w:rtl/>
                    <w:lang w:val="he-IL"/>
                  </w:rPr>
                  <w:t>בנק ישראל</w:t>
                </w:r>
                <w:r>
                  <w:rPr>
                    <w:rFonts w:cs="David" w:hint="cs"/>
                    <w:sz w:val="18"/>
                    <w:szCs w:val="18"/>
                    <w:rtl/>
                    <w:lang w:val="he-IL"/>
                  </w:rPr>
                  <w:tab/>
                  <w:t xml:space="preserve"> -  'מבט סטטיסטי</w:t>
                </w:r>
                <w:r w:rsidRPr="006E4A40">
                  <w:rPr>
                    <w:rFonts w:cs="David" w:hint="cs"/>
                    <w:sz w:val="18"/>
                    <w:szCs w:val="18"/>
                    <w:rtl/>
                    <w:lang w:val="he-IL"/>
                  </w:rPr>
                  <w:t>'</w:t>
                </w:r>
                <w:r>
                  <w:rPr>
                    <w:rFonts w:cs="David" w:hint="cs"/>
                    <w:sz w:val="18"/>
                    <w:szCs w:val="18"/>
                    <w:rtl/>
                    <w:lang w:val="he-IL"/>
                  </w:rPr>
                  <w:t xml:space="preserve"> - </w:t>
                </w:r>
                <w:r w:rsidRPr="006E4A40">
                  <w:rPr>
                    <w:rFonts w:cs="David" w:hint="cs"/>
                    <w:sz w:val="18"/>
                    <w:szCs w:val="18"/>
                    <w:rtl/>
                    <w:lang w:val="he-IL"/>
                  </w:rPr>
                  <w:t xml:space="preserve">הנתונים והמצרפים הפיננסיים המרכזיים במשק לשנת </w:t>
                </w:r>
                <w:r w:rsidR="00C340A6">
                  <w:rPr>
                    <w:rFonts w:cs="David" w:hint="cs"/>
                    <w:sz w:val="18"/>
                    <w:szCs w:val="18"/>
                    <w:rtl/>
                    <w:lang w:val="he-IL"/>
                  </w:rPr>
                  <w:t>2024</w:t>
                </w:r>
                <w:r>
                  <w:rPr>
                    <w:rFonts w:cs="David" w:hint="cs"/>
                    <w:sz w:val="18"/>
                    <w:szCs w:val="18"/>
                    <w:rtl/>
                    <w:lang w:val="he-IL"/>
                  </w:rPr>
                  <w:tab/>
                  <w:t xml:space="preserve">                    </w:t>
                </w:r>
                <w:r w:rsidRPr="00301815">
                  <w:rPr>
                    <w:rFonts w:cs="David"/>
                    <w:sz w:val="18"/>
                    <w:szCs w:val="18"/>
                    <w:rtl/>
                    <w:cs/>
                    <w:lang w:val="he-IL"/>
                  </w:rPr>
                  <w:t xml:space="preserve">עמוד </w:t>
                </w:r>
                <w:r w:rsidRPr="00301815">
                  <w:rPr>
                    <w:rFonts w:cs="David"/>
                    <w:b/>
                    <w:bCs/>
                    <w:sz w:val="18"/>
                    <w:szCs w:val="18"/>
                  </w:rPr>
                  <w:fldChar w:fldCharType="begin"/>
                </w:r>
                <w:r w:rsidRPr="00301815">
                  <w:rPr>
                    <w:rFonts w:cs="David"/>
                    <w:b/>
                    <w:bCs/>
                    <w:sz w:val="18"/>
                    <w:szCs w:val="18"/>
                    <w:rtl/>
                    <w:cs/>
                  </w:rPr>
                  <w:instrText>PAGE</w:instrText>
                </w:r>
                <w:r w:rsidRPr="00301815">
                  <w:rPr>
                    <w:rFonts w:cs="David"/>
                    <w:b/>
                    <w:bCs/>
                    <w:sz w:val="18"/>
                    <w:szCs w:val="18"/>
                  </w:rPr>
                  <w:fldChar w:fldCharType="separate"/>
                </w:r>
                <w:r w:rsidR="00F275EC">
                  <w:rPr>
                    <w:rFonts w:cs="David"/>
                    <w:b/>
                    <w:bCs/>
                    <w:noProof/>
                    <w:sz w:val="18"/>
                    <w:szCs w:val="18"/>
                    <w:rtl/>
                  </w:rPr>
                  <w:t>6</w:t>
                </w:r>
                <w:r w:rsidRPr="00301815">
                  <w:rPr>
                    <w:rFonts w:cs="David"/>
                    <w:b/>
                    <w:bCs/>
                    <w:sz w:val="18"/>
                    <w:szCs w:val="18"/>
                  </w:rPr>
                  <w:fldChar w:fldCharType="end"/>
                </w:r>
                <w:r w:rsidRPr="00301815">
                  <w:rPr>
                    <w:rFonts w:cs="David"/>
                    <w:sz w:val="18"/>
                    <w:szCs w:val="18"/>
                    <w:rtl/>
                    <w:cs/>
                    <w:lang w:val="he-IL"/>
                  </w:rPr>
                  <w:t xml:space="preserve"> מתוך </w:t>
                </w:r>
                <w:r w:rsidRPr="00301815">
                  <w:rPr>
                    <w:rFonts w:cs="David"/>
                    <w:b/>
                    <w:bCs/>
                    <w:sz w:val="18"/>
                    <w:szCs w:val="18"/>
                  </w:rPr>
                  <w:fldChar w:fldCharType="begin"/>
                </w:r>
                <w:r w:rsidRPr="00301815">
                  <w:rPr>
                    <w:rFonts w:cs="David"/>
                    <w:b/>
                    <w:bCs/>
                    <w:sz w:val="18"/>
                    <w:szCs w:val="18"/>
                    <w:rtl/>
                    <w:cs/>
                  </w:rPr>
                  <w:instrText>NUMPAGES</w:instrText>
                </w:r>
                <w:r w:rsidRPr="00301815">
                  <w:rPr>
                    <w:rFonts w:cs="David"/>
                    <w:b/>
                    <w:bCs/>
                    <w:sz w:val="18"/>
                    <w:szCs w:val="18"/>
                  </w:rPr>
                  <w:fldChar w:fldCharType="separate"/>
                </w:r>
                <w:r w:rsidR="00F275EC">
                  <w:rPr>
                    <w:rFonts w:cs="David"/>
                    <w:b/>
                    <w:bCs/>
                    <w:noProof/>
                    <w:sz w:val="18"/>
                    <w:szCs w:val="18"/>
                    <w:rtl/>
                  </w:rPr>
                  <w:t>6</w:t>
                </w:r>
                <w:r w:rsidRPr="00301815">
                  <w:rPr>
                    <w:rFonts w:cs="David"/>
                    <w:b/>
                    <w:bCs/>
                    <w:sz w:val="18"/>
                    <w:szCs w:val="18"/>
                  </w:rPr>
                  <w:fldChar w:fldCharType="end"/>
                </w:r>
              </w:p>
            </w:sdtContent>
          </w:sdt>
        </w:sdtContent>
      </w:sdt>
    </w:sdtContent>
  </w:sdt>
  <w:p w14:paraId="6C6E55B0" w14:textId="77777777" w:rsidR="006E4A40" w:rsidRDefault="006E4A40" w:rsidP="006E4A40">
    <w:pPr>
      <w:pStyle w:val="Footer"/>
      <w:rPr>
        <w:rtl/>
        <w:cs/>
      </w:rPr>
    </w:pPr>
  </w:p>
  <w:p w14:paraId="5FDA2DE2" w14:textId="77777777" w:rsidR="006E4A40" w:rsidRDefault="006E4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B2CF9" w14:textId="77777777" w:rsidR="00C902FB" w:rsidRDefault="00C902FB" w:rsidP="006E4A40">
      <w:pPr>
        <w:spacing w:after="0" w:line="240" w:lineRule="auto"/>
      </w:pPr>
      <w:r>
        <w:separator/>
      </w:r>
    </w:p>
  </w:footnote>
  <w:footnote w:type="continuationSeparator" w:id="0">
    <w:p w14:paraId="6538C2E8" w14:textId="77777777" w:rsidR="00C902FB" w:rsidRDefault="00C902FB" w:rsidP="006E4A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21.75pt" o:bullet="t">
        <v:imagedata r:id="rId1" o:title="Picture331"/>
      </v:shape>
    </w:pict>
  </w:numPicBullet>
  <w:abstractNum w:abstractNumId="0" w15:restartNumberingAfterBreak="0">
    <w:nsid w:val="0058578A"/>
    <w:multiLevelType w:val="hybridMultilevel"/>
    <w:tmpl w:val="40626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47DE9"/>
    <w:multiLevelType w:val="hybridMultilevel"/>
    <w:tmpl w:val="2F5ADC30"/>
    <w:lvl w:ilvl="0" w:tplc="E8ACC3F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A5520"/>
    <w:multiLevelType w:val="hybridMultilevel"/>
    <w:tmpl w:val="D7FEC37A"/>
    <w:lvl w:ilvl="0" w:tplc="AA701748">
      <w:start w:val="1"/>
      <w:numFmt w:val="hebrew1"/>
      <w:lvlText w:val="%1."/>
      <w:lvlJc w:val="left"/>
      <w:pPr>
        <w:ind w:left="720" w:hanging="360"/>
      </w:pPr>
      <w:rPr>
        <w:rFonts w:ascii="David" w:hAnsi="David" w:cs="David"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07246"/>
    <w:multiLevelType w:val="hybridMultilevel"/>
    <w:tmpl w:val="58F28D90"/>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4" w15:restartNumberingAfterBreak="0">
    <w:nsid w:val="0A883739"/>
    <w:multiLevelType w:val="hybridMultilevel"/>
    <w:tmpl w:val="998C183C"/>
    <w:lvl w:ilvl="0" w:tplc="1390D8D4">
      <w:start w:val="1"/>
      <w:numFmt w:val="hebrew1"/>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05F1D"/>
    <w:multiLevelType w:val="hybridMultilevel"/>
    <w:tmpl w:val="2DFA5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E144A"/>
    <w:multiLevelType w:val="hybridMultilevel"/>
    <w:tmpl w:val="F944700A"/>
    <w:lvl w:ilvl="0" w:tplc="4E0EF99C">
      <w:start w:val="1"/>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B265C"/>
    <w:multiLevelType w:val="hybridMultilevel"/>
    <w:tmpl w:val="C3562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4829D4"/>
    <w:multiLevelType w:val="hybridMultilevel"/>
    <w:tmpl w:val="BA08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2C4D9C"/>
    <w:multiLevelType w:val="hybridMultilevel"/>
    <w:tmpl w:val="0ED2CE8A"/>
    <w:lvl w:ilvl="0" w:tplc="F8C09228">
      <w:start w:val="1"/>
      <w:numFmt w:val="hebrew1"/>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147F09"/>
    <w:multiLevelType w:val="hybridMultilevel"/>
    <w:tmpl w:val="A48C42DA"/>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1" w15:restartNumberingAfterBreak="0">
    <w:nsid w:val="18E40E75"/>
    <w:multiLevelType w:val="hybridMultilevel"/>
    <w:tmpl w:val="1136C03A"/>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12" w15:restartNumberingAfterBreak="0">
    <w:nsid w:val="19381D0A"/>
    <w:multiLevelType w:val="hybridMultilevel"/>
    <w:tmpl w:val="72301658"/>
    <w:lvl w:ilvl="0" w:tplc="4E0EF99C">
      <w:start w:val="1"/>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504CDD"/>
    <w:multiLevelType w:val="hybridMultilevel"/>
    <w:tmpl w:val="E722A16A"/>
    <w:lvl w:ilvl="0" w:tplc="F8C09228">
      <w:start w:val="1"/>
      <w:numFmt w:val="hebrew1"/>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9A5FB0"/>
    <w:multiLevelType w:val="hybridMultilevel"/>
    <w:tmpl w:val="8204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363AE9"/>
    <w:multiLevelType w:val="hybridMultilevel"/>
    <w:tmpl w:val="709A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AE30F2"/>
    <w:multiLevelType w:val="hybridMultilevel"/>
    <w:tmpl w:val="23CC8B7E"/>
    <w:lvl w:ilvl="0" w:tplc="F8C09228">
      <w:start w:val="1"/>
      <w:numFmt w:val="hebrew1"/>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B23F6C"/>
    <w:multiLevelType w:val="hybridMultilevel"/>
    <w:tmpl w:val="25FED19C"/>
    <w:lvl w:ilvl="0" w:tplc="DFBE00E2">
      <w:start w:val="1"/>
      <w:numFmt w:val="hebrew1"/>
      <w:lvlText w:val="%1."/>
      <w:lvlJc w:val="left"/>
      <w:pPr>
        <w:ind w:left="360" w:hanging="360"/>
      </w:pPr>
      <w:rPr>
        <w:rFonts w:asciiTheme="minorHAnsi" w:eastAsiaTheme="minorHAnsi" w:hAnsiTheme="minorHAnsi" w:cs="Davi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C74199C"/>
    <w:multiLevelType w:val="hybridMultilevel"/>
    <w:tmpl w:val="5C884684"/>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19" w15:restartNumberingAfterBreak="0">
    <w:nsid w:val="2E86009E"/>
    <w:multiLevelType w:val="hybridMultilevel"/>
    <w:tmpl w:val="CA70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8A71FB"/>
    <w:multiLevelType w:val="hybridMultilevel"/>
    <w:tmpl w:val="022EDDB4"/>
    <w:lvl w:ilvl="0" w:tplc="B22E28A2">
      <w:start w:val="1"/>
      <w:numFmt w:val="bullet"/>
      <w:lvlText w:val=""/>
      <w:lvlJc w:val="left"/>
      <w:pPr>
        <w:ind w:left="360" w:hanging="360"/>
      </w:pPr>
      <w:rPr>
        <w:rFonts w:ascii="Symbol" w:hAnsi="Symbol" w:hint="default"/>
        <w:b/>
        <w:bCs/>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AA1485"/>
    <w:multiLevelType w:val="hybridMultilevel"/>
    <w:tmpl w:val="2E08474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2E3791F"/>
    <w:multiLevelType w:val="hybridMultilevel"/>
    <w:tmpl w:val="F7B8D902"/>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73312C"/>
    <w:multiLevelType w:val="hybridMultilevel"/>
    <w:tmpl w:val="604EF50C"/>
    <w:lvl w:ilvl="0" w:tplc="953EFB66">
      <w:start w:val="1"/>
      <w:numFmt w:val="decimal"/>
      <w:pStyle w:val="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63959EB"/>
    <w:multiLevelType w:val="hybridMultilevel"/>
    <w:tmpl w:val="EBD28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932EE6"/>
    <w:multiLevelType w:val="hybridMultilevel"/>
    <w:tmpl w:val="B3541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87808D5"/>
    <w:multiLevelType w:val="hybridMultilevel"/>
    <w:tmpl w:val="1A00F7DE"/>
    <w:lvl w:ilvl="0" w:tplc="4E0EF99C">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E67B1D"/>
    <w:multiLevelType w:val="hybridMultilevel"/>
    <w:tmpl w:val="A0E4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6B68EB"/>
    <w:multiLevelType w:val="hybridMultilevel"/>
    <w:tmpl w:val="BEB48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2D4082"/>
    <w:multiLevelType w:val="hybridMultilevel"/>
    <w:tmpl w:val="3A64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EA49C2"/>
    <w:multiLevelType w:val="hybridMultilevel"/>
    <w:tmpl w:val="D7789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A57B8E"/>
    <w:multiLevelType w:val="hybridMultilevel"/>
    <w:tmpl w:val="23CC8B7E"/>
    <w:lvl w:ilvl="0" w:tplc="F8C09228">
      <w:start w:val="1"/>
      <w:numFmt w:val="hebrew1"/>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866231"/>
    <w:multiLevelType w:val="hybridMultilevel"/>
    <w:tmpl w:val="9758A59E"/>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A126BC"/>
    <w:multiLevelType w:val="hybridMultilevel"/>
    <w:tmpl w:val="765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955409"/>
    <w:multiLevelType w:val="hybridMultilevel"/>
    <w:tmpl w:val="3916566E"/>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35" w15:restartNumberingAfterBreak="0">
    <w:nsid w:val="77071CF1"/>
    <w:multiLevelType w:val="hybridMultilevel"/>
    <w:tmpl w:val="F47E47A4"/>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874419"/>
    <w:multiLevelType w:val="hybridMultilevel"/>
    <w:tmpl w:val="982A0106"/>
    <w:lvl w:ilvl="0" w:tplc="B22E28A2">
      <w:start w:val="1"/>
      <w:numFmt w:val="bullet"/>
      <w:lvlText w:val=""/>
      <w:lvlJc w:val="left"/>
      <w:pPr>
        <w:ind w:left="360" w:hanging="360"/>
      </w:pPr>
      <w:rPr>
        <w:rFonts w:ascii="Symbol" w:hAnsi="Symbol" w:hint="default"/>
        <w:b/>
        <w:bCs/>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1"/>
  </w:num>
  <w:num w:numId="3">
    <w:abstractNumId w:val="36"/>
  </w:num>
  <w:num w:numId="4">
    <w:abstractNumId w:val="29"/>
  </w:num>
  <w:num w:numId="5">
    <w:abstractNumId w:val="26"/>
  </w:num>
  <w:num w:numId="6">
    <w:abstractNumId w:val="12"/>
  </w:num>
  <w:num w:numId="7">
    <w:abstractNumId w:val="3"/>
  </w:num>
  <w:num w:numId="8">
    <w:abstractNumId w:val="19"/>
  </w:num>
  <w:num w:numId="9">
    <w:abstractNumId w:val="18"/>
  </w:num>
  <w:num w:numId="10">
    <w:abstractNumId w:val="10"/>
  </w:num>
  <w:num w:numId="11">
    <w:abstractNumId w:val="9"/>
  </w:num>
  <w:num w:numId="12">
    <w:abstractNumId w:val="34"/>
  </w:num>
  <w:num w:numId="13">
    <w:abstractNumId w:val="31"/>
  </w:num>
  <w:num w:numId="14">
    <w:abstractNumId w:val="0"/>
  </w:num>
  <w:num w:numId="15">
    <w:abstractNumId w:val="24"/>
  </w:num>
  <w:num w:numId="16">
    <w:abstractNumId w:val="8"/>
  </w:num>
  <w:num w:numId="17">
    <w:abstractNumId w:val="16"/>
  </w:num>
  <w:num w:numId="18">
    <w:abstractNumId w:val="15"/>
  </w:num>
  <w:num w:numId="19">
    <w:abstractNumId w:val="1"/>
  </w:num>
  <w:num w:numId="20">
    <w:abstractNumId w:val="6"/>
  </w:num>
  <w:num w:numId="21">
    <w:abstractNumId w:val="11"/>
  </w:num>
  <w:num w:numId="22">
    <w:abstractNumId w:val="25"/>
  </w:num>
  <w:num w:numId="23">
    <w:abstractNumId w:val="2"/>
  </w:num>
  <w:num w:numId="24">
    <w:abstractNumId w:val="13"/>
  </w:num>
  <w:num w:numId="25">
    <w:abstractNumId w:val="20"/>
  </w:num>
  <w:num w:numId="26">
    <w:abstractNumId w:val="4"/>
  </w:num>
  <w:num w:numId="27">
    <w:abstractNumId w:val="14"/>
  </w:num>
  <w:num w:numId="28">
    <w:abstractNumId w:val="23"/>
  </w:num>
  <w:num w:numId="29">
    <w:abstractNumId w:val="23"/>
    <w:lvlOverride w:ilvl="0">
      <w:startOverride w:val="2"/>
    </w:lvlOverride>
  </w:num>
  <w:num w:numId="30">
    <w:abstractNumId w:val="30"/>
  </w:num>
  <w:num w:numId="31">
    <w:abstractNumId w:val="5"/>
  </w:num>
  <w:num w:numId="32">
    <w:abstractNumId w:val="27"/>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8"/>
  </w:num>
  <w:num w:numId="36">
    <w:abstractNumId w:val="7"/>
  </w:num>
  <w:num w:numId="37">
    <w:abstractNumId w:val="22"/>
  </w:num>
  <w:num w:numId="38">
    <w:abstractNumId w:val="35"/>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F43"/>
    <w:rsid w:val="000016BB"/>
    <w:rsid w:val="000041FE"/>
    <w:rsid w:val="00011EC8"/>
    <w:rsid w:val="00017BE6"/>
    <w:rsid w:val="00026D2F"/>
    <w:rsid w:val="00033B59"/>
    <w:rsid w:val="0003662F"/>
    <w:rsid w:val="0003795F"/>
    <w:rsid w:val="00046E11"/>
    <w:rsid w:val="00054235"/>
    <w:rsid w:val="00055A64"/>
    <w:rsid w:val="00057548"/>
    <w:rsid w:val="000657A8"/>
    <w:rsid w:val="00071097"/>
    <w:rsid w:val="00077DA2"/>
    <w:rsid w:val="00094114"/>
    <w:rsid w:val="0009617F"/>
    <w:rsid w:val="0009720D"/>
    <w:rsid w:val="000973EF"/>
    <w:rsid w:val="000A3948"/>
    <w:rsid w:val="000B2E2C"/>
    <w:rsid w:val="000B3125"/>
    <w:rsid w:val="000B3BAC"/>
    <w:rsid w:val="000B7FBE"/>
    <w:rsid w:val="000D40E4"/>
    <w:rsid w:val="000E03B8"/>
    <w:rsid w:val="000E132E"/>
    <w:rsid w:val="000E5356"/>
    <w:rsid w:val="000E5B5B"/>
    <w:rsid w:val="000F159A"/>
    <w:rsid w:val="0010369E"/>
    <w:rsid w:val="00107B6D"/>
    <w:rsid w:val="00113841"/>
    <w:rsid w:val="00114562"/>
    <w:rsid w:val="00117B1C"/>
    <w:rsid w:val="00142177"/>
    <w:rsid w:val="001504F0"/>
    <w:rsid w:val="0015142D"/>
    <w:rsid w:val="00167544"/>
    <w:rsid w:val="0017411C"/>
    <w:rsid w:val="001875A7"/>
    <w:rsid w:val="00190133"/>
    <w:rsid w:val="00192B5B"/>
    <w:rsid w:val="001A1017"/>
    <w:rsid w:val="001A392B"/>
    <w:rsid w:val="001B0709"/>
    <w:rsid w:val="001B64B5"/>
    <w:rsid w:val="001C14F1"/>
    <w:rsid w:val="001C5155"/>
    <w:rsid w:val="001D3AE5"/>
    <w:rsid w:val="001D3FC4"/>
    <w:rsid w:val="001D70FE"/>
    <w:rsid w:val="001E017A"/>
    <w:rsid w:val="001E024F"/>
    <w:rsid w:val="001E12EC"/>
    <w:rsid w:val="001E6A40"/>
    <w:rsid w:val="001F384B"/>
    <w:rsid w:val="001F396A"/>
    <w:rsid w:val="00211E29"/>
    <w:rsid w:val="00213D34"/>
    <w:rsid w:val="00215BBE"/>
    <w:rsid w:val="002351C6"/>
    <w:rsid w:val="00264F77"/>
    <w:rsid w:val="00265734"/>
    <w:rsid w:val="00272D51"/>
    <w:rsid w:val="002802BC"/>
    <w:rsid w:val="0028675A"/>
    <w:rsid w:val="00292122"/>
    <w:rsid w:val="00296EBE"/>
    <w:rsid w:val="002A1BC9"/>
    <w:rsid w:val="002A27FD"/>
    <w:rsid w:val="002B1D5A"/>
    <w:rsid w:val="002B6A84"/>
    <w:rsid w:val="002C01D5"/>
    <w:rsid w:val="002C6B31"/>
    <w:rsid w:val="002D2EE7"/>
    <w:rsid w:val="00306545"/>
    <w:rsid w:val="00310E21"/>
    <w:rsid w:val="003115ED"/>
    <w:rsid w:val="00313D6D"/>
    <w:rsid w:val="00316DB3"/>
    <w:rsid w:val="00320549"/>
    <w:rsid w:val="00341EC2"/>
    <w:rsid w:val="003451B1"/>
    <w:rsid w:val="0037178A"/>
    <w:rsid w:val="003A1466"/>
    <w:rsid w:val="003B2848"/>
    <w:rsid w:val="003E45CC"/>
    <w:rsid w:val="003E5AA3"/>
    <w:rsid w:val="00402021"/>
    <w:rsid w:val="00403506"/>
    <w:rsid w:val="0042241D"/>
    <w:rsid w:val="004343CD"/>
    <w:rsid w:val="00435E46"/>
    <w:rsid w:val="004373EF"/>
    <w:rsid w:val="00450898"/>
    <w:rsid w:val="00451D95"/>
    <w:rsid w:val="00477FBB"/>
    <w:rsid w:val="00480E5F"/>
    <w:rsid w:val="00490BCD"/>
    <w:rsid w:val="00494260"/>
    <w:rsid w:val="004A5B71"/>
    <w:rsid w:val="004B0D0C"/>
    <w:rsid w:val="004B5DF8"/>
    <w:rsid w:val="004C0534"/>
    <w:rsid w:val="004D3F3D"/>
    <w:rsid w:val="004D694C"/>
    <w:rsid w:val="004D7F68"/>
    <w:rsid w:val="004E30FA"/>
    <w:rsid w:val="004E63AA"/>
    <w:rsid w:val="0051240D"/>
    <w:rsid w:val="005175CE"/>
    <w:rsid w:val="00517D1F"/>
    <w:rsid w:val="0053375E"/>
    <w:rsid w:val="00547BEE"/>
    <w:rsid w:val="00551E33"/>
    <w:rsid w:val="00567E5F"/>
    <w:rsid w:val="005801F4"/>
    <w:rsid w:val="005A317B"/>
    <w:rsid w:val="005A34BE"/>
    <w:rsid w:val="005A55AA"/>
    <w:rsid w:val="005A741C"/>
    <w:rsid w:val="005B0998"/>
    <w:rsid w:val="005C3BD4"/>
    <w:rsid w:val="005D6EE3"/>
    <w:rsid w:val="005E416D"/>
    <w:rsid w:val="005F0C49"/>
    <w:rsid w:val="006005D8"/>
    <w:rsid w:val="00603043"/>
    <w:rsid w:val="00614AF5"/>
    <w:rsid w:val="006212DF"/>
    <w:rsid w:val="006224AD"/>
    <w:rsid w:val="00622B08"/>
    <w:rsid w:val="00630DB3"/>
    <w:rsid w:val="0064721B"/>
    <w:rsid w:val="00653851"/>
    <w:rsid w:val="00653BAE"/>
    <w:rsid w:val="0067310C"/>
    <w:rsid w:val="00674F2B"/>
    <w:rsid w:val="00682A6E"/>
    <w:rsid w:val="00685430"/>
    <w:rsid w:val="00692BB8"/>
    <w:rsid w:val="00695FF6"/>
    <w:rsid w:val="006972AC"/>
    <w:rsid w:val="006973FA"/>
    <w:rsid w:val="006A0382"/>
    <w:rsid w:val="006A293A"/>
    <w:rsid w:val="006A78B4"/>
    <w:rsid w:val="006B32C4"/>
    <w:rsid w:val="006B36AB"/>
    <w:rsid w:val="006B68EB"/>
    <w:rsid w:val="006D0446"/>
    <w:rsid w:val="006D1620"/>
    <w:rsid w:val="006D6B05"/>
    <w:rsid w:val="006E0481"/>
    <w:rsid w:val="006E4A40"/>
    <w:rsid w:val="006F2A5F"/>
    <w:rsid w:val="006F5D9B"/>
    <w:rsid w:val="007001D9"/>
    <w:rsid w:val="00716312"/>
    <w:rsid w:val="007208C0"/>
    <w:rsid w:val="00722615"/>
    <w:rsid w:val="00734FE5"/>
    <w:rsid w:val="00745B43"/>
    <w:rsid w:val="007509E6"/>
    <w:rsid w:val="00763678"/>
    <w:rsid w:val="00770340"/>
    <w:rsid w:val="007819A4"/>
    <w:rsid w:val="00795EF5"/>
    <w:rsid w:val="007971F2"/>
    <w:rsid w:val="007A11FA"/>
    <w:rsid w:val="007A60E0"/>
    <w:rsid w:val="007A69C0"/>
    <w:rsid w:val="007B1AD6"/>
    <w:rsid w:val="007B36D2"/>
    <w:rsid w:val="007B373F"/>
    <w:rsid w:val="007B518D"/>
    <w:rsid w:val="007C3E87"/>
    <w:rsid w:val="007D5DF9"/>
    <w:rsid w:val="007E102D"/>
    <w:rsid w:val="0080246E"/>
    <w:rsid w:val="008112EF"/>
    <w:rsid w:val="00815292"/>
    <w:rsid w:val="00817162"/>
    <w:rsid w:val="00835150"/>
    <w:rsid w:val="0083643A"/>
    <w:rsid w:val="00836D81"/>
    <w:rsid w:val="008448AD"/>
    <w:rsid w:val="00845527"/>
    <w:rsid w:val="00855288"/>
    <w:rsid w:val="008711DD"/>
    <w:rsid w:val="008775A5"/>
    <w:rsid w:val="008853A8"/>
    <w:rsid w:val="0088572C"/>
    <w:rsid w:val="0088602E"/>
    <w:rsid w:val="00895886"/>
    <w:rsid w:val="008C27BD"/>
    <w:rsid w:val="008D7EF6"/>
    <w:rsid w:val="008E0F81"/>
    <w:rsid w:val="008E2AAA"/>
    <w:rsid w:val="008E7241"/>
    <w:rsid w:val="008F4267"/>
    <w:rsid w:val="00911363"/>
    <w:rsid w:val="009316EE"/>
    <w:rsid w:val="0093532C"/>
    <w:rsid w:val="009361EE"/>
    <w:rsid w:val="0094102F"/>
    <w:rsid w:val="00952B15"/>
    <w:rsid w:val="00962019"/>
    <w:rsid w:val="00964D0D"/>
    <w:rsid w:val="009848D9"/>
    <w:rsid w:val="00985093"/>
    <w:rsid w:val="0098781E"/>
    <w:rsid w:val="009879AC"/>
    <w:rsid w:val="00996A45"/>
    <w:rsid w:val="009B1E43"/>
    <w:rsid w:val="009C66C0"/>
    <w:rsid w:val="009E03A9"/>
    <w:rsid w:val="009E2346"/>
    <w:rsid w:val="009E3E11"/>
    <w:rsid w:val="009F1B56"/>
    <w:rsid w:val="009F63EB"/>
    <w:rsid w:val="00A12B0A"/>
    <w:rsid w:val="00A15F73"/>
    <w:rsid w:val="00A23475"/>
    <w:rsid w:val="00A242D6"/>
    <w:rsid w:val="00A248F6"/>
    <w:rsid w:val="00A45B71"/>
    <w:rsid w:val="00A54EE9"/>
    <w:rsid w:val="00A62DEB"/>
    <w:rsid w:val="00A86CDA"/>
    <w:rsid w:val="00AA72FA"/>
    <w:rsid w:val="00AB575A"/>
    <w:rsid w:val="00AB75BA"/>
    <w:rsid w:val="00AC2448"/>
    <w:rsid w:val="00AC5A9B"/>
    <w:rsid w:val="00AF714B"/>
    <w:rsid w:val="00B05370"/>
    <w:rsid w:val="00B10151"/>
    <w:rsid w:val="00B11F05"/>
    <w:rsid w:val="00B15636"/>
    <w:rsid w:val="00B15D4C"/>
    <w:rsid w:val="00B16A28"/>
    <w:rsid w:val="00B172B4"/>
    <w:rsid w:val="00B2577C"/>
    <w:rsid w:val="00B25DCB"/>
    <w:rsid w:val="00B3157C"/>
    <w:rsid w:val="00B346E6"/>
    <w:rsid w:val="00B43ACC"/>
    <w:rsid w:val="00B623A8"/>
    <w:rsid w:val="00B65AD6"/>
    <w:rsid w:val="00B67F14"/>
    <w:rsid w:val="00B75EE7"/>
    <w:rsid w:val="00B93C3E"/>
    <w:rsid w:val="00BA3848"/>
    <w:rsid w:val="00BA5E14"/>
    <w:rsid w:val="00BB3636"/>
    <w:rsid w:val="00BB7CA3"/>
    <w:rsid w:val="00BB7F6C"/>
    <w:rsid w:val="00BC7E91"/>
    <w:rsid w:val="00BE22E1"/>
    <w:rsid w:val="00BF6B09"/>
    <w:rsid w:val="00C00E94"/>
    <w:rsid w:val="00C0514F"/>
    <w:rsid w:val="00C129D0"/>
    <w:rsid w:val="00C20025"/>
    <w:rsid w:val="00C3025C"/>
    <w:rsid w:val="00C340A6"/>
    <w:rsid w:val="00C5044F"/>
    <w:rsid w:val="00C51A6A"/>
    <w:rsid w:val="00C54497"/>
    <w:rsid w:val="00C55998"/>
    <w:rsid w:val="00C673FA"/>
    <w:rsid w:val="00C709C0"/>
    <w:rsid w:val="00C72839"/>
    <w:rsid w:val="00C74F6D"/>
    <w:rsid w:val="00C848D3"/>
    <w:rsid w:val="00C871E2"/>
    <w:rsid w:val="00C902FB"/>
    <w:rsid w:val="00CA2BC0"/>
    <w:rsid w:val="00CB1369"/>
    <w:rsid w:val="00CC0C6E"/>
    <w:rsid w:val="00CC3C00"/>
    <w:rsid w:val="00CC6614"/>
    <w:rsid w:val="00CE0FF0"/>
    <w:rsid w:val="00CF68A8"/>
    <w:rsid w:val="00D16DB2"/>
    <w:rsid w:val="00D23407"/>
    <w:rsid w:val="00D37B1B"/>
    <w:rsid w:val="00D45B67"/>
    <w:rsid w:val="00D52B75"/>
    <w:rsid w:val="00D72C1D"/>
    <w:rsid w:val="00D77455"/>
    <w:rsid w:val="00D84901"/>
    <w:rsid w:val="00D946FC"/>
    <w:rsid w:val="00D959C0"/>
    <w:rsid w:val="00D96A3C"/>
    <w:rsid w:val="00DB4882"/>
    <w:rsid w:val="00DB5734"/>
    <w:rsid w:val="00DC39CB"/>
    <w:rsid w:val="00DC5066"/>
    <w:rsid w:val="00DD735B"/>
    <w:rsid w:val="00DF50B7"/>
    <w:rsid w:val="00E134F1"/>
    <w:rsid w:val="00E144C3"/>
    <w:rsid w:val="00E22E80"/>
    <w:rsid w:val="00E24DBC"/>
    <w:rsid w:val="00E4510C"/>
    <w:rsid w:val="00E53F9A"/>
    <w:rsid w:val="00E60A5C"/>
    <w:rsid w:val="00E63A7E"/>
    <w:rsid w:val="00E77671"/>
    <w:rsid w:val="00E823B2"/>
    <w:rsid w:val="00E92AF6"/>
    <w:rsid w:val="00EA48EA"/>
    <w:rsid w:val="00EA51C4"/>
    <w:rsid w:val="00EA773C"/>
    <w:rsid w:val="00EA791D"/>
    <w:rsid w:val="00EB3718"/>
    <w:rsid w:val="00EB7595"/>
    <w:rsid w:val="00EB7C4C"/>
    <w:rsid w:val="00EC5B3C"/>
    <w:rsid w:val="00ED2C0E"/>
    <w:rsid w:val="00EE087A"/>
    <w:rsid w:val="00EE5318"/>
    <w:rsid w:val="00EE756A"/>
    <w:rsid w:val="00F01701"/>
    <w:rsid w:val="00F0257F"/>
    <w:rsid w:val="00F11718"/>
    <w:rsid w:val="00F13238"/>
    <w:rsid w:val="00F1492F"/>
    <w:rsid w:val="00F2062E"/>
    <w:rsid w:val="00F275EC"/>
    <w:rsid w:val="00F31AC7"/>
    <w:rsid w:val="00F31E26"/>
    <w:rsid w:val="00F34384"/>
    <w:rsid w:val="00F35C66"/>
    <w:rsid w:val="00F424B6"/>
    <w:rsid w:val="00F62F43"/>
    <w:rsid w:val="00F71074"/>
    <w:rsid w:val="00F9496C"/>
    <w:rsid w:val="00F95291"/>
    <w:rsid w:val="00FA18A0"/>
    <w:rsid w:val="00FA3F80"/>
    <w:rsid w:val="00FA75FC"/>
    <w:rsid w:val="00FB1D63"/>
    <w:rsid w:val="00FB305E"/>
    <w:rsid w:val="00FC325B"/>
    <w:rsid w:val="00FC75AD"/>
    <w:rsid w:val="00FD0BCE"/>
    <w:rsid w:val="00FF0950"/>
    <w:rsid w:val="00FF2187"/>
    <w:rsid w:val="00FF314C"/>
    <w:rsid w:val="00FF36B5"/>
    <w:rsid w:val="00FF6B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963AA"/>
  <w15:docId w15:val="{8EE5D64B-5536-46C6-BA84-C46A65A3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F43"/>
    <w:pPr>
      <w:bidi/>
    </w:pPr>
  </w:style>
  <w:style w:type="paragraph" w:styleId="Heading1">
    <w:name w:val="heading 1"/>
    <w:basedOn w:val="Normal"/>
    <w:next w:val="Normal"/>
    <w:link w:val="Heading1Char"/>
    <w:autoRedefine/>
    <w:uiPriority w:val="9"/>
    <w:qFormat/>
    <w:rsid w:val="001E6A40"/>
    <w:pPr>
      <w:keepNext/>
      <w:keepLines/>
      <w:spacing w:after="0" w:line="360" w:lineRule="auto"/>
      <w:ind w:left="720"/>
      <w:jc w:val="center"/>
      <w:outlineLvl w:val="0"/>
    </w:pPr>
    <w:rPr>
      <w:rFonts w:asciiTheme="majorHAnsi" w:eastAsiaTheme="majorEastAsia" w:hAnsiTheme="majorHAnsi" w:cs="David"/>
      <w:b/>
      <w:bCs/>
      <w:color w:val="01818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6EE"/>
    <w:pPr>
      <w:ind w:left="720"/>
      <w:contextualSpacing/>
    </w:pPr>
  </w:style>
  <w:style w:type="paragraph" w:styleId="BalloonText">
    <w:name w:val="Balloon Text"/>
    <w:basedOn w:val="Normal"/>
    <w:link w:val="BalloonTextChar"/>
    <w:uiPriority w:val="99"/>
    <w:semiHidden/>
    <w:unhideWhenUsed/>
    <w:rsid w:val="006E4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A40"/>
    <w:rPr>
      <w:rFonts w:ascii="Tahoma" w:hAnsi="Tahoma" w:cs="Tahoma"/>
      <w:sz w:val="16"/>
      <w:szCs w:val="16"/>
    </w:rPr>
  </w:style>
  <w:style w:type="paragraph" w:styleId="Header">
    <w:name w:val="header"/>
    <w:basedOn w:val="Normal"/>
    <w:link w:val="HeaderChar"/>
    <w:uiPriority w:val="99"/>
    <w:unhideWhenUsed/>
    <w:rsid w:val="006E4A40"/>
    <w:pPr>
      <w:tabs>
        <w:tab w:val="center" w:pos="4153"/>
        <w:tab w:val="right" w:pos="8306"/>
      </w:tabs>
      <w:spacing w:after="0" w:line="240" w:lineRule="auto"/>
    </w:pPr>
  </w:style>
  <w:style w:type="character" w:customStyle="1" w:styleId="HeaderChar">
    <w:name w:val="Header Char"/>
    <w:basedOn w:val="DefaultParagraphFont"/>
    <w:link w:val="Header"/>
    <w:uiPriority w:val="99"/>
    <w:rsid w:val="006E4A40"/>
  </w:style>
  <w:style w:type="paragraph" w:styleId="Footer">
    <w:name w:val="footer"/>
    <w:basedOn w:val="Normal"/>
    <w:link w:val="FooterChar"/>
    <w:uiPriority w:val="99"/>
    <w:unhideWhenUsed/>
    <w:rsid w:val="006E4A40"/>
    <w:pPr>
      <w:tabs>
        <w:tab w:val="center" w:pos="4153"/>
        <w:tab w:val="right" w:pos="8306"/>
      </w:tabs>
      <w:spacing w:after="0" w:line="240" w:lineRule="auto"/>
    </w:pPr>
  </w:style>
  <w:style w:type="character" w:customStyle="1" w:styleId="FooterChar">
    <w:name w:val="Footer Char"/>
    <w:basedOn w:val="DefaultParagraphFont"/>
    <w:link w:val="Footer"/>
    <w:uiPriority w:val="99"/>
    <w:rsid w:val="006E4A40"/>
  </w:style>
  <w:style w:type="character" w:styleId="Hyperlink">
    <w:name w:val="Hyperlink"/>
    <w:basedOn w:val="DefaultParagraphFont"/>
    <w:uiPriority w:val="99"/>
    <w:unhideWhenUsed/>
    <w:rsid w:val="008775A5"/>
    <w:rPr>
      <w:color w:val="0000FF" w:themeColor="hyperlink"/>
      <w:u w:val="single"/>
    </w:rPr>
  </w:style>
  <w:style w:type="character" w:styleId="FollowedHyperlink">
    <w:name w:val="FollowedHyperlink"/>
    <w:basedOn w:val="DefaultParagraphFont"/>
    <w:uiPriority w:val="99"/>
    <w:semiHidden/>
    <w:unhideWhenUsed/>
    <w:rsid w:val="00A248F6"/>
    <w:rPr>
      <w:color w:val="800080" w:themeColor="followedHyperlink"/>
      <w:u w:val="single"/>
    </w:rPr>
  </w:style>
  <w:style w:type="table" w:styleId="TableGrid">
    <w:name w:val="Table Grid"/>
    <w:basedOn w:val="TableNormal"/>
    <w:uiPriority w:val="59"/>
    <w:rsid w:val="00781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34F1"/>
    <w:rPr>
      <w:sz w:val="16"/>
      <w:szCs w:val="16"/>
    </w:rPr>
  </w:style>
  <w:style w:type="paragraph" w:styleId="CommentText">
    <w:name w:val="annotation text"/>
    <w:basedOn w:val="Normal"/>
    <w:link w:val="CommentTextChar"/>
    <w:uiPriority w:val="99"/>
    <w:semiHidden/>
    <w:unhideWhenUsed/>
    <w:rsid w:val="00E134F1"/>
    <w:pPr>
      <w:spacing w:line="240" w:lineRule="auto"/>
    </w:pPr>
    <w:rPr>
      <w:sz w:val="20"/>
      <w:szCs w:val="20"/>
    </w:rPr>
  </w:style>
  <w:style w:type="character" w:customStyle="1" w:styleId="CommentTextChar">
    <w:name w:val="Comment Text Char"/>
    <w:basedOn w:val="DefaultParagraphFont"/>
    <w:link w:val="CommentText"/>
    <w:uiPriority w:val="99"/>
    <w:semiHidden/>
    <w:rsid w:val="00E134F1"/>
    <w:rPr>
      <w:sz w:val="20"/>
      <w:szCs w:val="20"/>
    </w:rPr>
  </w:style>
  <w:style w:type="paragraph" w:styleId="CommentSubject">
    <w:name w:val="annotation subject"/>
    <w:basedOn w:val="CommentText"/>
    <w:next w:val="CommentText"/>
    <w:link w:val="CommentSubjectChar"/>
    <w:uiPriority w:val="99"/>
    <w:semiHidden/>
    <w:unhideWhenUsed/>
    <w:rsid w:val="00E134F1"/>
    <w:rPr>
      <w:b/>
      <w:bCs/>
    </w:rPr>
  </w:style>
  <w:style w:type="character" w:customStyle="1" w:styleId="CommentSubjectChar">
    <w:name w:val="Comment Subject Char"/>
    <w:basedOn w:val="CommentTextChar"/>
    <w:link w:val="CommentSubject"/>
    <w:uiPriority w:val="99"/>
    <w:semiHidden/>
    <w:rsid w:val="00E134F1"/>
    <w:rPr>
      <w:b/>
      <w:bCs/>
      <w:sz w:val="20"/>
      <w:szCs w:val="20"/>
    </w:rPr>
  </w:style>
  <w:style w:type="paragraph" w:styleId="FootnoteText">
    <w:name w:val="footnote text"/>
    <w:basedOn w:val="Normal"/>
    <w:link w:val="FootnoteTextChar"/>
    <w:uiPriority w:val="99"/>
    <w:unhideWhenUsed/>
    <w:rsid w:val="006A293A"/>
    <w:pPr>
      <w:spacing w:after="0" w:line="240" w:lineRule="auto"/>
    </w:pPr>
    <w:rPr>
      <w:sz w:val="20"/>
      <w:szCs w:val="20"/>
    </w:rPr>
  </w:style>
  <w:style w:type="character" w:customStyle="1" w:styleId="FootnoteTextChar">
    <w:name w:val="Footnote Text Char"/>
    <w:basedOn w:val="DefaultParagraphFont"/>
    <w:link w:val="FootnoteText"/>
    <w:uiPriority w:val="99"/>
    <w:rsid w:val="006A293A"/>
    <w:rPr>
      <w:sz w:val="20"/>
      <w:szCs w:val="20"/>
    </w:rPr>
  </w:style>
  <w:style w:type="character" w:styleId="FootnoteReference">
    <w:name w:val="footnote reference"/>
    <w:aliases w:val="טקסט הערת שוליים חדש,Footnote Reference Number,Footnote Reference_LVL6,Footnote Reference_LVL61,Footnote Reference_LVL62,Footnote Reference_LVL63,Footnote Reference_LVL64,fr,SUPERS,EN Footnote Reference,number,Footnote symbol"/>
    <w:basedOn w:val="DefaultParagraphFont"/>
    <w:uiPriority w:val="99"/>
    <w:unhideWhenUsed/>
    <w:rsid w:val="006A293A"/>
    <w:rPr>
      <w:vertAlign w:val="superscript"/>
    </w:rPr>
  </w:style>
  <w:style w:type="character" w:customStyle="1" w:styleId="Heading1Char">
    <w:name w:val="Heading 1 Char"/>
    <w:basedOn w:val="DefaultParagraphFont"/>
    <w:link w:val="Heading1"/>
    <w:uiPriority w:val="9"/>
    <w:rsid w:val="001E6A40"/>
    <w:rPr>
      <w:rFonts w:asciiTheme="majorHAnsi" w:eastAsiaTheme="majorEastAsia" w:hAnsiTheme="majorHAnsi" w:cs="David"/>
      <w:b/>
      <w:bCs/>
      <w:color w:val="018181"/>
      <w:sz w:val="28"/>
      <w:szCs w:val="28"/>
    </w:rPr>
  </w:style>
  <w:style w:type="paragraph" w:customStyle="1" w:styleId="a">
    <w:name w:val="כותרת ראשית"/>
    <w:basedOn w:val="Normal"/>
    <w:qFormat/>
    <w:rsid w:val="00EE087A"/>
    <w:pPr>
      <w:spacing w:after="0" w:line="240" w:lineRule="auto"/>
      <w:ind w:left="-7"/>
      <w:jc w:val="both"/>
    </w:pPr>
    <w:rPr>
      <w:rFonts w:ascii="Assistant" w:hAnsi="Assistant" w:cs="Assistant"/>
      <w:b/>
      <w:bCs/>
      <w:color w:val="177990"/>
      <w:sz w:val="28"/>
      <w:szCs w:val="28"/>
    </w:rPr>
  </w:style>
  <w:style w:type="paragraph" w:styleId="NoSpacing">
    <w:name w:val="No Spacing"/>
    <w:uiPriority w:val="1"/>
    <w:qFormat/>
    <w:rsid w:val="009C66C0"/>
    <w:pPr>
      <w:bidi/>
      <w:spacing w:after="0" w:line="240" w:lineRule="auto"/>
    </w:pPr>
    <w:rPr>
      <w:rFonts w:eastAsiaTheme="minorEastAsia"/>
    </w:rPr>
  </w:style>
  <w:style w:type="paragraph" w:styleId="Revision">
    <w:name w:val="Revision"/>
    <w:hidden/>
    <w:uiPriority w:val="99"/>
    <w:semiHidden/>
    <w:rsid w:val="0028675A"/>
    <w:pPr>
      <w:spacing w:after="0" w:line="240" w:lineRule="auto"/>
    </w:pPr>
  </w:style>
  <w:style w:type="paragraph" w:customStyle="1" w:styleId="1">
    <w:name w:val="כותרת1"/>
    <w:basedOn w:val="NoSpacing"/>
    <w:qFormat/>
    <w:rsid w:val="008853A8"/>
    <w:pPr>
      <w:framePr w:hSpace="181" w:wrap="around" w:vAnchor="page" w:hAnchor="text" w:y="2382"/>
      <w:numPr>
        <w:numId w:val="28"/>
      </w:numPr>
      <w:ind w:right="-112"/>
      <w:suppressOverlap/>
    </w:pPr>
    <w:rPr>
      <w:rFonts w:ascii="Assistant" w:eastAsiaTheme="majorEastAsia" w:hAnsi="Assistant" w:cs="Assistant"/>
      <w:b/>
      <w:bC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922348">
      <w:bodyDiv w:val="1"/>
      <w:marLeft w:val="0"/>
      <w:marRight w:val="0"/>
      <w:marTop w:val="0"/>
      <w:marBottom w:val="0"/>
      <w:divBdr>
        <w:top w:val="none" w:sz="0" w:space="0" w:color="auto"/>
        <w:left w:val="none" w:sz="0" w:space="0" w:color="auto"/>
        <w:bottom w:val="none" w:sz="0" w:space="0" w:color="auto"/>
        <w:right w:val="none" w:sz="0" w:space="0" w:color="auto"/>
      </w:divBdr>
    </w:div>
    <w:div w:id="209743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23" Type="http://schemas.microsoft.com/office/2016/09/relationships/commentsIds" Target="commentsId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microsoft.com/office/2018/08/relationships/commentsExtensible" Target="commentsExtensi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A9D30-8CEA-4665-99D0-D83B5C59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952</Words>
  <Characters>4763</Characters>
  <Application>Microsoft Office Word</Application>
  <DocSecurity>0</DocSecurity>
  <Lines>39</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BOI</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יאיר חיים</dc:creator>
  <cp:lastModifiedBy>רוסול דכוור</cp:lastModifiedBy>
  <cp:revision>3</cp:revision>
  <cp:lastPrinted>2019-03-11T11:18:00Z</cp:lastPrinted>
  <dcterms:created xsi:type="dcterms:W3CDTF">2025-03-20T08:09:00Z</dcterms:created>
  <dcterms:modified xsi:type="dcterms:W3CDTF">2025-03-20T09:52:00Z</dcterms:modified>
</cp:coreProperties>
</file>