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77777777" w:rsidR="00B44B19" w:rsidRPr="00D1485E" w:rsidRDefault="00B44B19" w:rsidP="00D1485E">
      <w:pPr>
        <w:bidi w:val="0"/>
        <w:spacing w:line="360" w:lineRule="auto"/>
        <w:jc w:val="center"/>
        <w:rPr>
          <w:rFonts w:asciiTheme="minorHAnsi" w:hAnsiTheme="minorHAnsi" w:cstheme="minorHAnsi"/>
        </w:rPr>
      </w:pPr>
      <w:r w:rsidRPr="00D1485E">
        <w:rPr>
          <w:rFonts w:asciiTheme="minorHAnsi" w:hAnsiTheme="minorHAnsi" w:cstheme="minorHAnsi"/>
          <w:noProof/>
          <w:rtl/>
        </w:rPr>
        <w:drawing>
          <wp:anchor distT="0" distB="0" distL="114300" distR="114300" simplePos="0" relativeHeight="251659264" behindDoc="0" locked="0" layoutInCell="1" allowOverlap="1" wp14:anchorId="3068A2D9" wp14:editId="393C2F15">
            <wp:simplePos x="0" y="0"/>
            <wp:positionH relativeFrom="margin">
              <wp:align>center</wp:align>
            </wp:positionH>
            <wp:positionV relativeFrom="margin">
              <wp:posOffset>-424180</wp:posOffset>
            </wp:positionV>
            <wp:extent cx="1054800" cy="105480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800" cy="105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D1485E" w:rsidRDefault="00B44B19" w:rsidP="00D1485E">
      <w:pPr>
        <w:bidi w:val="0"/>
        <w:spacing w:line="360" w:lineRule="auto"/>
        <w:jc w:val="center"/>
        <w:rPr>
          <w:rFonts w:asciiTheme="minorHAnsi" w:hAnsiTheme="minorHAnsi" w:cstheme="minorHAnsi"/>
          <w:rtl/>
        </w:rPr>
      </w:pPr>
    </w:p>
    <w:p w14:paraId="035D8B95" w14:textId="77777777" w:rsidR="00B44B19" w:rsidRPr="00D1485E" w:rsidRDefault="00B44B19" w:rsidP="00D1485E">
      <w:pPr>
        <w:pStyle w:val="LetterheadBOI"/>
        <w:spacing w:line="360" w:lineRule="auto"/>
        <w:rPr>
          <w:rFonts w:asciiTheme="minorHAnsi" w:hAnsiTheme="minorHAnsi" w:cstheme="minorHAnsi"/>
        </w:rPr>
      </w:pPr>
    </w:p>
    <w:p w14:paraId="36C08B2D" w14:textId="77777777" w:rsidR="00B44B19" w:rsidRPr="00D1485E" w:rsidRDefault="00B44B19" w:rsidP="00D1485E">
      <w:pPr>
        <w:pStyle w:val="LetterheadBOI"/>
        <w:spacing w:line="360" w:lineRule="auto"/>
        <w:rPr>
          <w:rFonts w:asciiTheme="minorHAnsi" w:hAnsiTheme="minorHAnsi" w:cstheme="minorHAnsi"/>
        </w:rPr>
      </w:pPr>
    </w:p>
    <w:p w14:paraId="13A81218" w14:textId="77777777" w:rsidR="00B44B19" w:rsidRPr="00D1485E" w:rsidRDefault="00B44B19" w:rsidP="00D1485E">
      <w:pPr>
        <w:pStyle w:val="LetterheadBOI"/>
        <w:spacing w:line="360" w:lineRule="auto"/>
        <w:rPr>
          <w:rFonts w:asciiTheme="minorHAnsi" w:hAnsiTheme="minorHAnsi" w:cstheme="minorHAnsi"/>
        </w:rPr>
      </w:pPr>
      <w:r w:rsidRPr="00D1485E">
        <w:rPr>
          <w:rFonts w:asciiTheme="minorHAnsi" w:hAnsiTheme="minorHAnsi" w:cstheme="minorHAnsi"/>
        </w:rPr>
        <w:t>BANK OF ISRAEL</w:t>
      </w:r>
    </w:p>
    <w:p w14:paraId="31CAE6E8" w14:textId="77777777" w:rsidR="00B44B19" w:rsidRPr="00D1485E" w:rsidRDefault="00B44B19" w:rsidP="00D1485E">
      <w:pPr>
        <w:pStyle w:val="Letterhead2"/>
        <w:spacing w:line="360" w:lineRule="auto"/>
        <w:rPr>
          <w:rFonts w:asciiTheme="minorHAnsi" w:hAnsiTheme="minorHAnsi" w:cstheme="minorHAnsi"/>
          <w:b/>
          <w:sz w:val="24"/>
          <w:szCs w:val="24"/>
        </w:rPr>
      </w:pPr>
      <w:r w:rsidRPr="00D1485E">
        <w:rPr>
          <w:rFonts w:asciiTheme="minorHAnsi" w:hAnsiTheme="minorHAnsi" w:cstheme="minorHAnsi"/>
          <w:sz w:val="24"/>
          <w:szCs w:val="24"/>
        </w:rPr>
        <w:t>Office of the Spokesperson and Economic Information</w:t>
      </w:r>
    </w:p>
    <w:p w14:paraId="500910FF" w14:textId="77777777" w:rsidR="00B44B19" w:rsidRPr="00D1485E" w:rsidRDefault="00B44B19" w:rsidP="00D1485E">
      <w:pPr>
        <w:bidi w:val="0"/>
        <w:spacing w:line="360" w:lineRule="auto"/>
        <w:jc w:val="center"/>
        <w:rPr>
          <w:rFonts w:asciiTheme="minorHAnsi" w:hAnsiTheme="minorHAnsi" w:cstheme="minorHAnsi"/>
          <w:b/>
          <w:bCs/>
        </w:rPr>
      </w:pPr>
    </w:p>
    <w:p w14:paraId="06DDE1C1" w14:textId="58D0C2DE" w:rsidR="00B44B19" w:rsidRPr="00D1485E" w:rsidRDefault="001F3301" w:rsidP="00D1485E">
      <w:pPr>
        <w:bidi w:val="0"/>
        <w:spacing w:line="360" w:lineRule="auto"/>
        <w:jc w:val="right"/>
        <w:rPr>
          <w:rFonts w:asciiTheme="minorHAnsi" w:hAnsiTheme="minorHAnsi" w:cstheme="minorHAnsi"/>
        </w:rPr>
      </w:pPr>
      <w:r w:rsidRPr="00D1485E">
        <w:rPr>
          <w:rFonts w:asciiTheme="minorHAnsi" w:hAnsiTheme="minorHAnsi" w:cstheme="minorHAnsi"/>
        </w:rPr>
        <w:t>July 6</w:t>
      </w:r>
      <w:r w:rsidR="00757359" w:rsidRPr="00D1485E">
        <w:rPr>
          <w:rFonts w:asciiTheme="minorHAnsi" w:hAnsiTheme="minorHAnsi" w:cstheme="minorHAnsi"/>
        </w:rPr>
        <w:t>, 202</w:t>
      </w:r>
      <w:r w:rsidR="0093113B" w:rsidRPr="00D1485E">
        <w:rPr>
          <w:rFonts w:asciiTheme="minorHAnsi" w:hAnsiTheme="minorHAnsi" w:cstheme="minorHAnsi"/>
        </w:rPr>
        <w:t>6</w:t>
      </w:r>
    </w:p>
    <w:p w14:paraId="092A57CC" w14:textId="77777777" w:rsidR="00B44B19" w:rsidRPr="00D1485E" w:rsidRDefault="00B44B19" w:rsidP="00D1485E">
      <w:pPr>
        <w:bidi w:val="0"/>
        <w:spacing w:line="360" w:lineRule="auto"/>
        <w:jc w:val="center"/>
        <w:rPr>
          <w:rFonts w:asciiTheme="minorHAnsi" w:hAnsiTheme="minorHAnsi" w:cstheme="minorHAnsi"/>
          <w:b/>
          <w:bCs/>
        </w:rPr>
      </w:pPr>
    </w:p>
    <w:p w14:paraId="3876E6CE" w14:textId="0AC85ACA" w:rsidR="00A21D01" w:rsidRPr="00D1485E" w:rsidRDefault="00A21D01" w:rsidP="00D1485E">
      <w:pPr>
        <w:bidi w:val="0"/>
        <w:spacing w:line="360" w:lineRule="auto"/>
        <w:jc w:val="center"/>
        <w:rPr>
          <w:rFonts w:asciiTheme="minorHAnsi" w:hAnsiTheme="minorHAnsi" w:cstheme="minorHAnsi"/>
          <w:b/>
          <w:bCs/>
          <w:sz w:val="28"/>
          <w:szCs w:val="28"/>
        </w:rPr>
      </w:pPr>
      <w:r w:rsidRPr="00D1485E">
        <w:rPr>
          <w:rFonts w:asciiTheme="minorHAnsi" w:hAnsiTheme="minorHAnsi" w:cstheme="minorHAnsi"/>
          <w:b/>
          <w:bCs/>
          <w:sz w:val="28"/>
          <w:szCs w:val="28"/>
        </w:rPr>
        <w:t>Rese</w:t>
      </w:r>
      <w:r w:rsidR="00D949B6" w:rsidRPr="00D1485E">
        <w:rPr>
          <w:rFonts w:asciiTheme="minorHAnsi" w:hAnsiTheme="minorHAnsi" w:cstheme="minorHAnsi"/>
          <w:b/>
          <w:bCs/>
          <w:sz w:val="28"/>
          <w:szCs w:val="28"/>
        </w:rPr>
        <w:t xml:space="preserve">arch Department Staff Forecast, </w:t>
      </w:r>
      <w:r w:rsidR="001F3301" w:rsidRPr="00D1485E">
        <w:rPr>
          <w:rFonts w:asciiTheme="minorHAnsi" w:hAnsiTheme="minorHAnsi" w:cstheme="minorHAnsi"/>
          <w:b/>
          <w:bCs/>
          <w:sz w:val="28"/>
          <w:szCs w:val="28"/>
        </w:rPr>
        <w:t>July</w:t>
      </w:r>
      <w:r w:rsidR="00D949B6" w:rsidRPr="00D1485E">
        <w:rPr>
          <w:rFonts w:asciiTheme="minorHAnsi" w:hAnsiTheme="minorHAnsi" w:cstheme="minorHAnsi"/>
          <w:b/>
          <w:bCs/>
          <w:sz w:val="28"/>
          <w:szCs w:val="28"/>
        </w:rPr>
        <w:t xml:space="preserve"> </w:t>
      </w:r>
      <w:r w:rsidR="00757359" w:rsidRPr="00D1485E">
        <w:rPr>
          <w:rFonts w:asciiTheme="minorHAnsi" w:hAnsiTheme="minorHAnsi" w:cstheme="minorHAnsi"/>
          <w:b/>
          <w:bCs/>
          <w:sz w:val="28"/>
          <w:szCs w:val="28"/>
        </w:rPr>
        <w:t>202</w:t>
      </w:r>
      <w:r w:rsidR="0093113B" w:rsidRPr="00D1485E">
        <w:rPr>
          <w:rFonts w:asciiTheme="minorHAnsi" w:hAnsiTheme="minorHAnsi" w:cstheme="minorHAnsi"/>
          <w:b/>
          <w:bCs/>
          <w:sz w:val="28"/>
          <w:szCs w:val="28"/>
        </w:rPr>
        <w:t>6</w:t>
      </w:r>
    </w:p>
    <w:p w14:paraId="4481416E" w14:textId="77777777" w:rsidR="00252B31" w:rsidRPr="00D1485E" w:rsidRDefault="00252B31" w:rsidP="00D1485E">
      <w:pPr>
        <w:bidi w:val="0"/>
        <w:spacing w:line="360" w:lineRule="auto"/>
        <w:jc w:val="both"/>
        <w:rPr>
          <w:rFonts w:asciiTheme="minorHAnsi" w:hAnsiTheme="minorHAnsi" w:cstheme="minorHAnsi"/>
          <w:b/>
          <w:bCs/>
        </w:rPr>
      </w:pPr>
    </w:p>
    <w:p w14:paraId="2DB7F593" w14:textId="77777777" w:rsidR="00A21D01" w:rsidRPr="00D1485E" w:rsidRDefault="00A21D01" w:rsidP="00D1485E">
      <w:pPr>
        <w:bidi w:val="0"/>
        <w:spacing w:line="360" w:lineRule="auto"/>
        <w:jc w:val="both"/>
        <w:rPr>
          <w:rFonts w:asciiTheme="minorHAnsi" w:hAnsiTheme="minorHAnsi" w:cstheme="minorHAnsi"/>
        </w:rPr>
      </w:pPr>
      <w:r w:rsidRPr="00D1485E">
        <w:rPr>
          <w:rFonts w:asciiTheme="minorHAnsi" w:hAnsiTheme="minorHAnsi" w:cstheme="minorHAnsi"/>
          <w:b/>
          <w:bCs/>
        </w:rPr>
        <w:t>Abstract</w:t>
      </w:r>
    </w:p>
    <w:p w14:paraId="2573B91C" w14:textId="25BDB53B" w:rsidR="007D6422" w:rsidRPr="00AD7132" w:rsidRDefault="00B766FF" w:rsidP="00D1485E">
      <w:pPr>
        <w:bidi w:val="0"/>
        <w:spacing w:line="360" w:lineRule="auto"/>
        <w:jc w:val="both"/>
        <w:rPr>
          <w:rFonts w:asciiTheme="minorHAnsi" w:hAnsiTheme="minorHAnsi" w:cstheme="minorHAnsi"/>
          <w:color w:val="FF0000"/>
        </w:rPr>
      </w:pPr>
      <w:r w:rsidRPr="00AD7132">
        <w:rPr>
          <w:rFonts w:asciiTheme="minorHAnsi" w:hAnsiTheme="minorHAnsi" w:cstheme="minorHAnsi"/>
        </w:rPr>
        <w:t xml:space="preserve">This document presents the macroeconomic staff forecast formulated by the Bank of Israel Research Department in </w:t>
      </w:r>
      <w:r w:rsidR="001F3301" w:rsidRPr="00AD7132">
        <w:rPr>
          <w:rFonts w:asciiTheme="minorHAnsi" w:hAnsiTheme="minorHAnsi" w:cstheme="minorHAnsi"/>
        </w:rPr>
        <w:t>July</w:t>
      </w:r>
      <w:r w:rsidR="00757359" w:rsidRPr="00AD7132">
        <w:rPr>
          <w:rFonts w:asciiTheme="minorHAnsi" w:hAnsiTheme="minorHAnsi" w:cstheme="minorHAnsi"/>
        </w:rPr>
        <w:t xml:space="preserve"> 202</w:t>
      </w:r>
      <w:r w:rsidR="0093113B" w:rsidRPr="00AD7132">
        <w:rPr>
          <w:rFonts w:asciiTheme="minorHAnsi" w:hAnsiTheme="minorHAnsi" w:cstheme="minorHAnsi"/>
        </w:rPr>
        <w:t>6</w:t>
      </w:r>
      <w:r w:rsidR="00757359" w:rsidRPr="00AD7132">
        <w:rPr>
          <w:rFonts w:asciiTheme="minorHAnsi" w:hAnsiTheme="minorHAnsi" w:cstheme="minorHAnsi"/>
        </w:rPr>
        <w:t xml:space="preserve"> concerning the main macroeconomic variables—GDP, inflation, and the interest rate.</w:t>
      </w:r>
      <w:r w:rsidR="00A30AC5" w:rsidRPr="00AD7132">
        <w:rPr>
          <w:rStyle w:val="ac"/>
          <w:rFonts w:asciiTheme="minorHAnsi" w:hAnsiTheme="minorHAnsi" w:cstheme="minorHAnsi"/>
        </w:rPr>
        <w:footnoteReference w:id="1"/>
      </w:r>
      <w:r w:rsidRPr="00AD7132">
        <w:rPr>
          <w:rFonts w:asciiTheme="minorHAnsi" w:hAnsiTheme="minorHAnsi" w:cstheme="minorHAnsi"/>
        </w:rPr>
        <w:t xml:space="preserve"> </w:t>
      </w:r>
      <w:r w:rsidR="00D949B6" w:rsidRPr="00AD7132">
        <w:rPr>
          <w:rFonts w:asciiTheme="minorHAnsi" w:hAnsiTheme="minorHAnsi" w:cstheme="minorHAnsi"/>
        </w:rPr>
        <w:t xml:space="preserve">According to </w:t>
      </w:r>
      <w:r w:rsidR="001F3301" w:rsidRPr="00AD7132">
        <w:rPr>
          <w:rFonts w:asciiTheme="minorHAnsi" w:hAnsiTheme="minorHAnsi" w:cstheme="minorHAnsi"/>
        </w:rPr>
        <w:t>the baseline</w:t>
      </w:r>
      <w:r w:rsidR="00D949B6" w:rsidRPr="00AD7132">
        <w:rPr>
          <w:rFonts w:asciiTheme="minorHAnsi" w:hAnsiTheme="minorHAnsi" w:cstheme="minorHAnsi"/>
        </w:rPr>
        <w:t xml:space="preserve"> scenario, GDP </w:t>
      </w:r>
      <w:proofErr w:type="gramStart"/>
      <w:r w:rsidR="00D949B6" w:rsidRPr="00AD7132">
        <w:rPr>
          <w:rFonts w:asciiTheme="minorHAnsi" w:hAnsiTheme="minorHAnsi" w:cstheme="minorHAnsi"/>
        </w:rPr>
        <w:t>is expected</w:t>
      </w:r>
      <w:proofErr w:type="gramEnd"/>
      <w:r w:rsidR="00D949B6" w:rsidRPr="00AD7132">
        <w:rPr>
          <w:rFonts w:asciiTheme="minorHAnsi" w:hAnsiTheme="minorHAnsi" w:cstheme="minorHAnsi"/>
        </w:rPr>
        <w:t xml:space="preserve"> to grow by </w:t>
      </w:r>
      <w:r w:rsidR="001F3301" w:rsidRPr="00AD7132">
        <w:rPr>
          <w:rFonts w:asciiTheme="minorHAnsi" w:hAnsiTheme="minorHAnsi" w:cstheme="minorHAnsi"/>
        </w:rPr>
        <w:t>4.0</w:t>
      </w:r>
      <w:r w:rsidR="00D949B6" w:rsidRPr="00AD7132">
        <w:rPr>
          <w:rFonts w:asciiTheme="minorHAnsi" w:hAnsiTheme="minorHAnsi" w:cstheme="minorHAnsi"/>
        </w:rPr>
        <w:t xml:space="preserve"> percent in 2026 and by 5.5 percent in 2027.</w:t>
      </w:r>
      <w:r w:rsidR="00757359" w:rsidRPr="00AD7132">
        <w:rPr>
          <w:rFonts w:asciiTheme="minorHAnsi" w:hAnsiTheme="minorHAnsi" w:cstheme="minorHAnsi"/>
        </w:rPr>
        <w:t xml:space="preserve"> </w:t>
      </w:r>
      <w:r w:rsidR="007D6422" w:rsidRPr="00AD7132">
        <w:rPr>
          <w:rFonts w:asciiTheme="minorHAnsi" w:hAnsiTheme="minorHAnsi" w:cstheme="minorHAnsi"/>
        </w:rPr>
        <w:t xml:space="preserve">The inflation rate in </w:t>
      </w:r>
      <w:r w:rsidR="00B525D0" w:rsidRPr="00AD7132">
        <w:rPr>
          <w:rFonts w:asciiTheme="minorHAnsi" w:hAnsiTheme="minorHAnsi" w:cstheme="minorHAnsi"/>
        </w:rPr>
        <w:t xml:space="preserve">the coming four quarters (ending in the </w:t>
      </w:r>
      <w:r w:rsidR="001F3301" w:rsidRPr="00AD7132">
        <w:rPr>
          <w:rFonts w:asciiTheme="minorHAnsi" w:hAnsiTheme="minorHAnsi" w:cstheme="minorHAnsi"/>
        </w:rPr>
        <w:t>second</w:t>
      </w:r>
      <w:r w:rsidR="00B525D0" w:rsidRPr="00AD7132">
        <w:rPr>
          <w:rFonts w:asciiTheme="minorHAnsi" w:hAnsiTheme="minorHAnsi" w:cstheme="minorHAnsi"/>
        </w:rPr>
        <w:t xml:space="preserve"> quarter of 202</w:t>
      </w:r>
      <w:r w:rsidR="00D949B6" w:rsidRPr="00AD7132">
        <w:rPr>
          <w:rFonts w:asciiTheme="minorHAnsi" w:hAnsiTheme="minorHAnsi" w:cstheme="minorHAnsi"/>
        </w:rPr>
        <w:t>7</w:t>
      </w:r>
      <w:r w:rsidR="00B525D0" w:rsidRPr="00AD7132">
        <w:rPr>
          <w:rFonts w:asciiTheme="minorHAnsi" w:hAnsiTheme="minorHAnsi" w:cstheme="minorHAnsi"/>
        </w:rPr>
        <w:t xml:space="preserve">) </w:t>
      </w:r>
      <w:proofErr w:type="gramStart"/>
      <w:r w:rsidR="007D6422" w:rsidRPr="00AD7132">
        <w:rPr>
          <w:rFonts w:asciiTheme="minorHAnsi" w:hAnsiTheme="minorHAnsi" w:cstheme="minorHAnsi"/>
        </w:rPr>
        <w:t>is expected</w:t>
      </w:r>
      <w:proofErr w:type="gramEnd"/>
      <w:r w:rsidR="007D6422" w:rsidRPr="00AD7132">
        <w:rPr>
          <w:rFonts w:asciiTheme="minorHAnsi" w:hAnsiTheme="minorHAnsi" w:cstheme="minorHAnsi"/>
        </w:rPr>
        <w:t xml:space="preserve"> to be </w:t>
      </w:r>
      <w:r w:rsidR="001F3301" w:rsidRPr="00AD7132">
        <w:rPr>
          <w:rFonts w:asciiTheme="minorHAnsi" w:hAnsiTheme="minorHAnsi" w:cstheme="minorHAnsi"/>
        </w:rPr>
        <w:t>1.8</w:t>
      </w:r>
      <w:r w:rsidR="007D6422" w:rsidRPr="00AD7132">
        <w:rPr>
          <w:rFonts w:asciiTheme="minorHAnsi" w:hAnsiTheme="minorHAnsi" w:cstheme="minorHAnsi"/>
        </w:rPr>
        <w:t xml:space="preserve"> percent</w:t>
      </w:r>
      <w:r w:rsidR="00D949B6" w:rsidRPr="00AD7132">
        <w:rPr>
          <w:rFonts w:asciiTheme="minorHAnsi" w:hAnsiTheme="minorHAnsi" w:cstheme="minorHAnsi"/>
        </w:rPr>
        <w:t>.</w:t>
      </w:r>
      <w:r w:rsidR="00A53B6A" w:rsidRPr="00AD7132">
        <w:rPr>
          <w:rFonts w:asciiTheme="minorHAnsi" w:hAnsiTheme="minorHAnsi" w:cstheme="minorHAnsi"/>
        </w:rPr>
        <w:t xml:space="preserve"> </w:t>
      </w:r>
      <w:r w:rsidR="00D949B6" w:rsidRPr="00AD7132">
        <w:rPr>
          <w:rFonts w:asciiTheme="minorHAnsi" w:hAnsiTheme="minorHAnsi" w:cstheme="minorHAnsi"/>
        </w:rPr>
        <w:t xml:space="preserve">Annual inflation in 2026 </w:t>
      </w:r>
      <w:proofErr w:type="gramStart"/>
      <w:r w:rsidR="00D949B6" w:rsidRPr="00AD7132">
        <w:rPr>
          <w:rFonts w:asciiTheme="minorHAnsi" w:hAnsiTheme="minorHAnsi" w:cstheme="minorHAnsi"/>
        </w:rPr>
        <w:t>is expected</w:t>
      </w:r>
      <w:proofErr w:type="gramEnd"/>
      <w:r w:rsidR="00D949B6" w:rsidRPr="00AD7132">
        <w:rPr>
          <w:rFonts w:asciiTheme="minorHAnsi" w:hAnsiTheme="minorHAnsi" w:cstheme="minorHAnsi"/>
        </w:rPr>
        <w:t xml:space="preserve"> to be </w:t>
      </w:r>
      <w:r w:rsidR="001F3301" w:rsidRPr="00AD7132">
        <w:rPr>
          <w:rFonts w:asciiTheme="minorHAnsi" w:hAnsiTheme="minorHAnsi" w:cstheme="minorHAnsi"/>
        </w:rPr>
        <w:t>1.8</w:t>
      </w:r>
      <w:r w:rsidR="00D949B6" w:rsidRPr="00AD7132">
        <w:rPr>
          <w:rFonts w:asciiTheme="minorHAnsi" w:hAnsiTheme="minorHAnsi" w:cstheme="minorHAnsi"/>
        </w:rPr>
        <w:t xml:space="preserve"> percent</w:t>
      </w:r>
      <w:r w:rsidR="00757359" w:rsidRPr="00AD7132">
        <w:rPr>
          <w:rFonts w:asciiTheme="minorHAnsi" w:hAnsiTheme="minorHAnsi" w:cstheme="minorHAnsi"/>
        </w:rPr>
        <w:t>.</w:t>
      </w:r>
      <w:r w:rsidR="00653278" w:rsidRPr="00AD7132">
        <w:rPr>
          <w:rFonts w:asciiTheme="minorHAnsi" w:hAnsiTheme="minorHAnsi" w:cstheme="minorHAnsi"/>
        </w:rPr>
        <w:t xml:space="preserve">  The</w:t>
      </w:r>
      <w:r w:rsidR="00757359" w:rsidRPr="00AD7132">
        <w:rPr>
          <w:rFonts w:asciiTheme="minorHAnsi" w:hAnsiTheme="minorHAnsi" w:cstheme="minorHAnsi"/>
        </w:rPr>
        <w:t xml:space="preserve"> average interest rate in the </w:t>
      </w:r>
      <w:r w:rsidR="001F3301" w:rsidRPr="00AD7132">
        <w:rPr>
          <w:rFonts w:asciiTheme="minorHAnsi" w:hAnsiTheme="minorHAnsi" w:cstheme="minorHAnsi"/>
        </w:rPr>
        <w:t>second</w:t>
      </w:r>
      <w:r w:rsidR="00757359" w:rsidRPr="00AD7132">
        <w:rPr>
          <w:rFonts w:asciiTheme="minorHAnsi" w:hAnsiTheme="minorHAnsi" w:cstheme="minorHAnsi"/>
        </w:rPr>
        <w:t xml:space="preserve"> quarter of 202</w:t>
      </w:r>
      <w:r w:rsidR="00D949B6" w:rsidRPr="00AD7132">
        <w:rPr>
          <w:rFonts w:asciiTheme="minorHAnsi" w:hAnsiTheme="minorHAnsi" w:cstheme="minorHAnsi"/>
        </w:rPr>
        <w:t>7</w:t>
      </w:r>
      <w:r w:rsidR="00757359" w:rsidRPr="00AD7132">
        <w:rPr>
          <w:rFonts w:asciiTheme="minorHAnsi" w:hAnsiTheme="minorHAnsi" w:cstheme="minorHAnsi"/>
        </w:rPr>
        <w:t xml:space="preserve"> </w:t>
      </w:r>
      <w:proofErr w:type="gramStart"/>
      <w:r w:rsidR="00757359" w:rsidRPr="00AD7132">
        <w:rPr>
          <w:rFonts w:asciiTheme="minorHAnsi" w:hAnsiTheme="minorHAnsi" w:cstheme="minorHAnsi"/>
        </w:rPr>
        <w:t>is expected</w:t>
      </w:r>
      <w:proofErr w:type="gramEnd"/>
      <w:r w:rsidR="00757359" w:rsidRPr="00AD7132">
        <w:rPr>
          <w:rFonts w:asciiTheme="minorHAnsi" w:hAnsiTheme="minorHAnsi" w:cstheme="minorHAnsi"/>
        </w:rPr>
        <w:t xml:space="preserve"> to be </w:t>
      </w:r>
      <w:r w:rsidR="00E948FF" w:rsidRPr="00AD7132">
        <w:rPr>
          <w:rFonts w:asciiTheme="minorHAnsi" w:hAnsiTheme="minorHAnsi" w:cstheme="minorHAnsi"/>
        </w:rPr>
        <w:t>3.</w:t>
      </w:r>
      <w:r w:rsidR="001F3301" w:rsidRPr="00AD7132">
        <w:rPr>
          <w:rFonts w:asciiTheme="minorHAnsi" w:hAnsiTheme="minorHAnsi" w:cstheme="minorHAnsi"/>
        </w:rPr>
        <w:t>0</w:t>
      </w:r>
      <w:r w:rsidR="00757359" w:rsidRPr="00AD7132">
        <w:rPr>
          <w:rFonts w:asciiTheme="minorHAnsi" w:hAnsiTheme="minorHAnsi" w:cstheme="minorHAnsi"/>
        </w:rPr>
        <w:t xml:space="preserve"> percent.</w:t>
      </w:r>
      <w:r w:rsidR="0093113B" w:rsidRPr="00AD7132">
        <w:rPr>
          <w:rFonts w:asciiTheme="minorHAnsi" w:hAnsiTheme="minorHAnsi" w:cstheme="minorHAnsi"/>
        </w:rPr>
        <w:t xml:space="preserve">  </w:t>
      </w:r>
      <w:r w:rsidR="001F3301" w:rsidRPr="00AD7132">
        <w:rPr>
          <w:rFonts w:asciiTheme="minorHAnsi" w:hAnsiTheme="minorHAnsi" w:cstheme="minorHAnsi"/>
        </w:rPr>
        <w:t xml:space="preserve">If the defense budget is not expanded beyond the reserve allocated in the State budget, the state budget deficit is expected to be 4.9 percent of GDP in </w:t>
      </w:r>
      <w:proofErr w:type="gramStart"/>
      <w:r w:rsidR="001F3301" w:rsidRPr="00AD7132">
        <w:rPr>
          <w:rFonts w:asciiTheme="minorHAnsi" w:hAnsiTheme="minorHAnsi" w:cstheme="minorHAnsi"/>
        </w:rPr>
        <w:t>2026,</w:t>
      </w:r>
      <w:proofErr w:type="gramEnd"/>
      <w:r w:rsidR="001F3301" w:rsidRPr="00AD7132">
        <w:rPr>
          <w:rFonts w:asciiTheme="minorHAnsi" w:hAnsiTheme="minorHAnsi" w:cstheme="minorHAnsi"/>
        </w:rPr>
        <w:t xml:space="preserve"> and 4.</w:t>
      </w:r>
      <w:r w:rsidR="00200A32" w:rsidRPr="00AD7132">
        <w:rPr>
          <w:rFonts w:asciiTheme="minorHAnsi" w:hAnsiTheme="minorHAnsi" w:cstheme="minorHAnsi"/>
        </w:rPr>
        <w:t>2</w:t>
      </w:r>
      <w:r w:rsidR="001F3301" w:rsidRPr="00AD7132">
        <w:rPr>
          <w:rFonts w:asciiTheme="minorHAnsi" w:hAnsiTheme="minorHAnsi" w:cstheme="minorHAnsi"/>
        </w:rPr>
        <w:t xml:space="preserve"> percent of GDP in 2027.  The debt to GDP ratio </w:t>
      </w:r>
      <w:proofErr w:type="gramStart"/>
      <w:r w:rsidR="001F3301" w:rsidRPr="00AD7132">
        <w:rPr>
          <w:rFonts w:asciiTheme="minorHAnsi" w:hAnsiTheme="minorHAnsi" w:cstheme="minorHAnsi"/>
        </w:rPr>
        <w:t>is expected</w:t>
      </w:r>
      <w:proofErr w:type="gramEnd"/>
      <w:r w:rsidR="001F3301" w:rsidRPr="00AD7132">
        <w:rPr>
          <w:rFonts w:asciiTheme="minorHAnsi" w:hAnsiTheme="minorHAnsi" w:cstheme="minorHAnsi"/>
        </w:rPr>
        <w:t xml:space="preserve"> to stabilize at about 69 percent during these years.</w:t>
      </w:r>
    </w:p>
    <w:p w14:paraId="1D58F0CC" w14:textId="2DF60957" w:rsidR="00757359" w:rsidRPr="00AD7132" w:rsidRDefault="00757359" w:rsidP="00D1485E">
      <w:pPr>
        <w:bidi w:val="0"/>
        <w:spacing w:line="360" w:lineRule="auto"/>
        <w:jc w:val="both"/>
        <w:rPr>
          <w:rFonts w:asciiTheme="minorHAnsi" w:hAnsiTheme="minorHAnsi" w:cstheme="minorHAnsi"/>
        </w:rPr>
      </w:pPr>
    </w:p>
    <w:p w14:paraId="529AA135" w14:textId="56C6471F" w:rsidR="001F3301" w:rsidRPr="00AD7132" w:rsidRDefault="00757359" w:rsidP="00D1485E">
      <w:pPr>
        <w:bidi w:val="0"/>
        <w:spacing w:line="360" w:lineRule="auto"/>
        <w:jc w:val="both"/>
        <w:rPr>
          <w:rFonts w:asciiTheme="minorHAnsi" w:hAnsiTheme="minorHAnsi" w:cstheme="minorHAnsi"/>
        </w:rPr>
      </w:pPr>
      <w:r w:rsidRPr="00AD7132">
        <w:rPr>
          <w:rFonts w:asciiTheme="minorHAnsi" w:hAnsiTheme="minorHAnsi" w:cstheme="minorHAnsi"/>
        </w:rPr>
        <w:t>Th</w:t>
      </w:r>
      <w:r w:rsidR="005946CC" w:rsidRPr="00AD7132">
        <w:rPr>
          <w:rFonts w:asciiTheme="minorHAnsi" w:hAnsiTheme="minorHAnsi" w:cstheme="minorHAnsi"/>
        </w:rPr>
        <w:t>e</w:t>
      </w:r>
      <w:r w:rsidRPr="00AD7132">
        <w:rPr>
          <w:rFonts w:asciiTheme="minorHAnsi" w:hAnsiTheme="minorHAnsi" w:cstheme="minorHAnsi"/>
        </w:rPr>
        <w:t xml:space="preserve"> forecast</w:t>
      </w:r>
      <w:r w:rsidR="00E45791" w:rsidRPr="00AD7132">
        <w:rPr>
          <w:rFonts w:asciiTheme="minorHAnsi" w:hAnsiTheme="minorHAnsi" w:cstheme="minorHAnsi"/>
        </w:rPr>
        <w:t xml:space="preserve"> </w:t>
      </w:r>
      <w:proofErr w:type="gramStart"/>
      <w:r w:rsidR="00D949B6" w:rsidRPr="00AD7132">
        <w:rPr>
          <w:rFonts w:asciiTheme="minorHAnsi" w:hAnsiTheme="minorHAnsi" w:cstheme="minorHAnsi"/>
        </w:rPr>
        <w:t>is based</w:t>
      </w:r>
      <w:proofErr w:type="gramEnd"/>
      <w:r w:rsidR="00D949B6" w:rsidRPr="00AD7132">
        <w:rPr>
          <w:rFonts w:asciiTheme="minorHAnsi" w:hAnsiTheme="minorHAnsi" w:cstheme="minorHAnsi"/>
        </w:rPr>
        <w:t xml:space="preserve"> on the working assumption that </w:t>
      </w:r>
      <w:r w:rsidR="001F3301" w:rsidRPr="00AD7132">
        <w:rPr>
          <w:rFonts w:asciiTheme="minorHAnsi" w:hAnsiTheme="minorHAnsi" w:cstheme="minorHAnsi"/>
        </w:rPr>
        <w:t xml:space="preserve">the intensity of the fighting in Lebanon will decline in a way that somewhat eases the supply constraints in the economy. In addition, we assume that there will be no additional fighting with Iran during the forecast horizon. </w:t>
      </w:r>
      <w:r w:rsidR="00D949B6" w:rsidRPr="00AD7132">
        <w:rPr>
          <w:rFonts w:asciiTheme="minorHAnsi" w:hAnsiTheme="minorHAnsi" w:cstheme="minorHAnsi"/>
        </w:rPr>
        <w:t xml:space="preserve"> </w:t>
      </w:r>
      <w:proofErr w:type="gramStart"/>
      <w:r w:rsidR="009C7A47" w:rsidRPr="00AD7132">
        <w:rPr>
          <w:rFonts w:asciiTheme="minorHAnsi" w:hAnsiTheme="minorHAnsi" w:cstheme="minorHAnsi"/>
        </w:rPr>
        <w:t>H</w:t>
      </w:r>
      <w:r w:rsidR="00D949B6" w:rsidRPr="00AD7132">
        <w:rPr>
          <w:rFonts w:asciiTheme="minorHAnsi" w:hAnsiTheme="minorHAnsi" w:cstheme="minorHAnsi"/>
        </w:rPr>
        <w:t>owever</w:t>
      </w:r>
      <w:proofErr w:type="gramEnd"/>
      <w:r w:rsidR="00D949B6" w:rsidRPr="00AD7132">
        <w:rPr>
          <w:rFonts w:asciiTheme="minorHAnsi" w:hAnsiTheme="minorHAnsi" w:cstheme="minorHAnsi"/>
        </w:rPr>
        <w:t xml:space="preserve"> the geopolitical environment</w:t>
      </w:r>
      <w:r w:rsidR="001F3301" w:rsidRPr="00AD7132">
        <w:rPr>
          <w:rFonts w:asciiTheme="minorHAnsi" w:hAnsiTheme="minorHAnsi" w:cstheme="minorHAnsi"/>
        </w:rPr>
        <w:t xml:space="preserve"> is expected to remain tense, so the forecast continues to reflect the need for preparedness should there be an additional round of fighting. Another assumption underpinning the forecast is that global energy prices, which have fallen in view of the agreement, will remain in the current environment throughout the forecast horizon.</w:t>
      </w:r>
      <w:r w:rsidR="00200A32" w:rsidRPr="00AD7132">
        <w:rPr>
          <w:rFonts w:asciiTheme="minorHAnsi" w:hAnsiTheme="minorHAnsi" w:cstheme="minorHAnsi"/>
        </w:rPr>
        <w:t xml:space="preserve"> </w:t>
      </w:r>
      <w:r w:rsidR="00200A32" w:rsidRPr="00AD7132">
        <w:rPr>
          <w:rFonts w:asciiTheme="minorHAnsi" w:hAnsiTheme="minorHAnsi" w:cstheme="minorHAnsi"/>
        </w:rPr>
        <w:lastRenderedPageBreak/>
        <w:t xml:space="preserve">With regard to the state budget, the working assumption is that the defense budget </w:t>
      </w:r>
      <w:proofErr w:type="gramStart"/>
      <w:r w:rsidR="00200A32" w:rsidRPr="00AD7132">
        <w:rPr>
          <w:rFonts w:asciiTheme="minorHAnsi" w:hAnsiTheme="minorHAnsi" w:cstheme="minorHAnsi"/>
        </w:rPr>
        <w:t>will not be increased</w:t>
      </w:r>
      <w:proofErr w:type="gramEnd"/>
      <w:r w:rsidR="00200A32" w:rsidRPr="00AD7132">
        <w:rPr>
          <w:rFonts w:asciiTheme="minorHAnsi" w:hAnsiTheme="minorHAnsi" w:cstheme="minorHAnsi"/>
        </w:rPr>
        <w:t xml:space="preserve"> in 2026 beyond the reserves already set aside in the budget.</w:t>
      </w:r>
    </w:p>
    <w:p w14:paraId="127A8C5B" w14:textId="0CBAB208" w:rsidR="001F3301" w:rsidRPr="00AD7132" w:rsidRDefault="001F3301" w:rsidP="00D1485E">
      <w:pPr>
        <w:bidi w:val="0"/>
        <w:spacing w:line="360" w:lineRule="auto"/>
        <w:jc w:val="both"/>
        <w:rPr>
          <w:rFonts w:asciiTheme="minorHAnsi" w:hAnsiTheme="minorHAnsi" w:cstheme="minorHAnsi"/>
        </w:rPr>
      </w:pPr>
    </w:p>
    <w:p w14:paraId="714C8511" w14:textId="76C40E36" w:rsidR="001F3301" w:rsidRPr="00AD7132" w:rsidRDefault="001F3301" w:rsidP="00D1485E">
      <w:pPr>
        <w:bidi w:val="0"/>
        <w:spacing w:line="360" w:lineRule="auto"/>
        <w:jc w:val="both"/>
        <w:rPr>
          <w:rFonts w:asciiTheme="minorHAnsi" w:hAnsiTheme="minorHAnsi" w:cstheme="minorHAnsi"/>
        </w:rPr>
      </w:pPr>
      <w:proofErr w:type="gramStart"/>
      <w:r w:rsidRPr="00AD7132">
        <w:rPr>
          <w:rFonts w:asciiTheme="minorHAnsi" w:hAnsiTheme="minorHAnsi" w:cstheme="minorHAnsi"/>
        </w:rPr>
        <w:t>On the basis of</w:t>
      </w:r>
      <w:proofErr w:type="gramEnd"/>
      <w:r w:rsidRPr="00AD7132">
        <w:rPr>
          <w:rFonts w:asciiTheme="minorHAnsi" w:hAnsiTheme="minorHAnsi" w:cstheme="minorHAnsi"/>
        </w:rPr>
        <w:t xml:space="preserve"> these assumptions, the forecast reflects continued convergence of GDP toward the trend, supported by continued easing of the supply constraints with the release of reservists and the continued increase in the number of foreign workers.  However, even at the end of the forecast horizon (end of 2027), GDP is expected to remain below the trend, since the supply of workers is still expected to be lower than the level derived from the prewar trend.  In parallel, the easing of supply constraints, the declines in oil prices and in Israel’s risk </w:t>
      </w:r>
      <w:proofErr w:type="gramStart"/>
      <w:r w:rsidRPr="00AD7132">
        <w:rPr>
          <w:rFonts w:asciiTheme="minorHAnsi" w:hAnsiTheme="minorHAnsi" w:cstheme="minorHAnsi"/>
        </w:rPr>
        <w:t>premium,</w:t>
      </w:r>
      <w:proofErr w:type="gramEnd"/>
      <w:r w:rsidRPr="00AD7132">
        <w:rPr>
          <w:rFonts w:asciiTheme="minorHAnsi" w:hAnsiTheme="minorHAnsi" w:cstheme="minorHAnsi"/>
        </w:rPr>
        <w:t xml:space="preserve"> and the appreciation of the shekel contribute to moderation of the inflation environment, which is expected to become entrenched around the midpoint of the target range, and support the process of lowering the interest rate.</w:t>
      </w:r>
    </w:p>
    <w:p w14:paraId="583CF906" w14:textId="77777777" w:rsidR="00E31A80" w:rsidRPr="00AD7132" w:rsidRDefault="00E31A80" w:rsidP="00D1485E">
      <w:pPr>
        <w:bidi w:val="0"/>
        <w:spacing w:line="360" w:lineRule="auto"/>
        <w:jc w:val="both"/>
        <w:rPr>
          <w:rFonts w:asciiTheme="minorHAnsi" w:hAnsiTheme="minorHAnsi" w:cstheme="minorHAnsi"/>
        </w:rPr>
      </w:pPr>
    </w:p>
    <w:p w14:paraId="5213F454" w14:textId="77777777" w:rsidR="00E932DD" w:rsidRPr="00AD7132" w:rsidRDefault="00F7707F" w:rsidP="00D1485E">
      <w:pPr>
        <w:bidi w:val="0"/>
        <w:spacing w:line="360" w:lineRule="auto"/>
        <w:jc w:val="both"/>
        <w:rPr>
          <w:rFonts w:asciiTheme="minorHAnsi" w:hAnsiTheme="minorHAnsi" w:cstheme="minorHAnsi"/>
          <w:b/>
          <w:bCs/>
        </w:rPr>
      </w:pPr>
      <w:r w:rsidRPr="00AD7132">
        <w:rPr>
          <w:rFonts w:asciiTheme="minorHAnsi" w:hAnsiTheme="minorHAnsi" w:cstheme="minorHAnsi"/>
          <w:b/>
          <w:bCs/>
        </w:rPr>
        <w:t>The forecast</w:t>
      </w:r>
    </w:p>
    <w:p w14:paraId="629113FA" w14:textId="77777777" w:rsidR="00F7707F" w:rsidRPr="00AD7132" w:rsidRDefault="00F7707F" w:rsidP="00D1485E">
      <w:pPr>
        <w:bidi w:val="0"/>
        <w:spacing w:line="360" w:lineRule="auto"/>
        <w:jc w:val="both"/>
        <w:rPr>
          <w:rFonts w:asciiTheme="minorHAnsi" w:hAnsiTheme="minorHAnsi" w:cstheme="minorHAnsi"/>
          <w:b/>
          <w:bCs/>
        </w:rPr>
      </w:pPr>
    </w:p>
    <w:p w14:paraId="72B85960" w14:textId="1E6EFECF" w:rsidR="004675C1" w:rsidRPr="00AD7132" w:rsidRDefault="004675C1" w:rsidP="00D1485E">
      <w:pPr>
        <w:bidi w:val="0"/>
        <w:spacing w:line="360" w:lineRule="auto"/>
        <w:jc w:val="both"/>
        <w:rPr>
          <w:rFonts w:asciiTheme="minorHAnsi" w:hAnsiTheme="minorHAnsi" w:cstheme="minorHAnsi"/>
          <w:rtl/>
        </w:rPr>
      </w:pPr>
      <w:r w:rsidRPr="00AD7132">
        <w:rPr>
          <w:rFonts w:asciiTheme="minorHAnsi" w:hAnsiTheme="minorHAnsi" w:cstheme="minorHAnsi"/>
        </w:rPr>
        <w:t xml:space="preserve">The Bank of Israel Research Department compiles a </w:t>
      </w:r>
      <w:r w:rsidR="005D65A1" w:rsidRPr="00AD7132">
        <w:rPr>
          <w:rFonts w:asciiTheme="minorHAnsi" w:hAnsiTheme="minorHAnsi" w:cstheme="minorHAnsi"/>
        </w:rPr>
        <w:t xml:space="preserve">quarterly </w:t>
      </w:r>
      <w:r w:rsidRPr="00AD7132">
        <w:rPr>
          <w:rFonts w:asciiTheme="minorHAnsi" w:hAnsiTheme="minorHAnsi" w:cstheme="minorHAnsi"/>
        </w:rPr>
        <w:t xml:space="preserve">staff forecast of macroeconomic </w:t>
      </w:r>
      <w:r w:rsidR="00E142DB" w:rsidRPr="00AD7132">
        <w:rPr>
          <w:rFonts w:asciiTheme="minorHAnsi" w:hAnsiTheme="minorHAnsi" w:cstheme="minorHAnsi"/>
        </w:rPr>
        <w:t xml:space="preserve">developments based on several models, various data sources, and assessments based on </w:t>
      </w:r>
      <w:r w:rsidRPr="00AD7132">
        <w:rPr>
          <w:rFonts w:asciiTheme="minorHAnsi" w:hAnsiTheme="minorHAnsi" w:cstheme="minorHAnsi"/>
        </w:rPr>
        <w:t>economists</w:t>
      </w:r>
      <w:r w:rsidR="0086132E" w:rsidRPr="00AD7132">
        <w:rPr>
          <w:rFonts w:asciiTheme="minorHAnsi" w:hAnsiTheme="minorHAnsi" w:cstheme="minorHAnsi"/>
        </w:rPr>
        <w:t>’</w:t>
      </w:r>
      <w:r w:rsidRPr="00AD7132">
        <w:rPr>
          <w:rFonts w:asciiTheme="minorHAnsi" w:hAnsiTheme="minorHAnsi" w:cstheme="minorHAnsi"/>
        </w:rPr>
        <w:t xml:space="preserve"> judgment. The Bank</w:t>
      </w:r>
      <w:r w:rsidR="0086132E" w:rsidRPr="00AD7132">
        <w:rPr>
          <w:rFonts w:asciiTheme="minorHAnsi" w:hAnsiTheme="minorHAnsi" w:cstheme="minorHAnsi"/>
        </w:rPr>
        <w:t>’</w:t>
      </w:r>
      <w:r w:rsidRPr="00AD7132">
        <w:rPr>
          <w:rFonts w:asciiTheme="minorHAnsi" w:hAnsiTheme="minorHAnsi" w:cstheme="minorHAnsi"/>
        </w:rPr>
        <w:t>s DSGE (Dynamic Stochastic General Equilibrium) model</w:t>
      </w:r>
      <w:r w:rsidR="009C7A47" w:rsidRPr="00AD7132">
        <w:rPr>
          <w:rFonts w:asciiTheme="minorHAnsi" w:hAnsiTheme="minorHAnsi" w:cstheme="minorHAnsi"/>
        </w:rPr>
        <w:t>s</w:t>
      </w:r>
      <w:r w:rsidRPr="00AD7132">
        <w:rPr>
          <w:rFonts w:asciiTheme="minorHAnsi" w:hAnsiTheme="minorHAnsi" w:cstheme="minorHAnsi"/>
        </w:rPr>
        <w:t>—structural model</w:t>
      </w:r>
      <w:r w:rsidR="009C7A47" w:rsidRPr="00AD7132">
        <w:rPr>
          <w:rFonts w:asciiTheme="minorHAnsi" w:hAnsiTheme="minorHAnsi" w:cstheme="minorHAnsi"/>
        </w:rPr>
        <w:t>s</w:t>
      </w:r>
      <w:r w:rsidRPr="00AD7132">
        <w:rPr>
          <w:rFonts w:asciiTheme="minorHAnsi" w:hAnsiTheme="minorHAnsi" w:cstheme="minorHAnsi"/>
        </w:rPr>
        <w:t xml:space="preserve"> </w:t>
      </w:r>
      <w:r w:rsidR="00F7707F" w:rsidRPr="00AD7132">
        <w:rPr>
          <w:rFonts w:asciiTheme="minorHAnsi" w:hAnsiTheme="minorHAnsi" w:cstheme="minorHAnsi"/>
        </w:rPr>
        <w:t xml:space="preserve">developed in the Research Department and </w:t>
      </w:r>
      <w:r w:rsidRPr="00AD7132">
        <w:rPr>
          <w:rFonts w:asciiTheme="minorHAnsi" w:hAnsiTheme="minorHAnsi" w:cstheme="minorHAnsi"/>
        </w:rPr>
        <w:t>based on microeconomic foundations—play a prim</w:t>
      </w:r>
      <w:r w:rsidR="00A83C38" w:rsidRPr="00AD7132">
        <w:rPr>
          <w:rFonts w:asciiTheme="minorHAnsi" w:hAnsiTheme="minorHAnsi" w:cstheme="minorHAnsi"/>
        </w:rPr>
        <w:t>e</w:t>
      </w:r>
      <w:r w:rsidRPr="00AD7132">
        <w:rPr>
          <w:rFonts w:asciiTheme="minorHAnsi" w:hAnsiTheme="minorHAnsi" w:cstheme="minorHAnsi"/>
        </w:rPr>
        <w:t xml:space="preserve"> role in formulating the macroeconomic forecast. The model</w:t>
      </w:r>
      <w:r w:rsidR="00E142DB" w:rsidRPr="00AD7132">
        <w:rPr>
          <w:rFonts w:asciiTheme="minorHAnsi" w:hAnsiTheme="minorHAnsi" w:cstheme="minorHAnsi"/>
        </w:rPr>
        <w:t>s</w:t>
      </w:r>
      <w:r w:rsidRPr="00AD7132">
        <w:rPr>
          <w:rFonts w:asciiTheme="minorHAnsi" w:hAnsiTheme="minorHAnsi" w:cstheme="minorHAnsi"/>
        </w:rPr>
        <w:t xml:space="preserve"> provide a framework for analyzing the forces that have an effect on the economy, and allow information from various sources to </w:t>
      </w:r>
      <w:proofErr w:type="gramStart"/>
      <w:r w:rsidRPr="00AD7132">
        <w:rPr>
          <w:rFonts w:asciiTheme="minorHAnsi" w:hAnsiTheme="minorHAnsi" w:cstheme="minorHAnsi"/>
        </w:rPr>
        <w:t>be combined</w:t>
      </w:r>
      <w:proofErr w:type="gramEnd"/>
      <w:r w:rsidRPr="00AD7132">
        <w:rPr>
          <w:rFonts w:asciiTheme="minorHAnsi" w:hAnsiTheme="minorHAnsi" w:cstheme="minorHAnsi"/>
        </w:rPr>
        <w:t xml:space="preserve"> into a macroeconomic forecast of real and nominal variables, with an internally consistent “economic story”.</w:t>
      </w:r>
      <w:r w:rsidR="00E142DB" w:rsidRPr="00AD7132">
        <w:rPr>
          <w:rFonts w:asciiTheme="minorHAnsi" w:hAnsiTheme="minorHAnsi" w:cstheme="minorHAnsi"/>
        </w:rPr>
        <w:t xml:space="preserve">  The models also help analyze scenarios and policy alternatives, and thereby support the formulation of policy under uncertain conditions.</w:t>
      </w:r>
    </w:p>
    <w:p w14:paraId="2549A5DF" w14:textId="77777777" w:rsidR="00D975F7" w:rsidRPr="00AD7132" w:rsidRDefault="00D975F7" w:rsidP="00D1485E">
      <w:pPr>
        <w:bidi w:val="0"/>
        <w:spacing w:line="360" w:lineRule="auto"/>
        <w:jc w:val="both"/>
        <w:rPr>
          <w:rFonts w:asciiTheme="minorHAnsi" w:hAnsiTheme="minorHAnsi" w:cstheme="minorHAnsi"/>
        </w:rPr>
      </w:pPr>
    </w:p>
    <w:p w14:paraId="2F7952B8" w14:textId="77777777" w:rsidR="00A21D01" w:rsidRPr="00AD7132" w:rsidRDefault="00A21D01" w:rsidP="00D1485E">
      <w:pPr>
        <w:numPr>
          <w:ilvl w:val="0"/>
          <w:numId w:val="9"/>
        </w:numPr>
        <w:bidi w:val="0"/>
        <w:spacing w:line="360" w:lineRule="auto"/>
        <w:ind w:left="357" w:hanging="357"/>
        <w:jc w:val="both"/>
        <w:rPr>
          <w:rFonts w:asciiTheme="minorHAnsi" w:hAnsiTheme="minorHAnsi" w:cstheme="minorHAnsi"/>
          <w:b/>
          <w:bCs/>
        </w:rPr>
      </w:pPr>
      <w:r w:rsidRPr="00AD7132">
        <w:rPr>
          <w:rFonts w:asciiTheme="minorHAnsi" w:hAnsiTheme="minorHAnsi" w:cstheme="minorHAnsi"/>
          <w:b/>
          <w:bCs/>
        </w:rPr>
        <w:t>The global environment</w:t>
      </w:r>
    </w:p>
    <w:p w14:paraId="7FBA13D9" w14:textId="6AE02EB6" w:rsidR="00EC4295" w:rsidRPr="00AD7132" w:rsidRDefault="00A21D01" w:rsidP="00D1485E">
      <w:pPr>
        <w:bidi w:val="0"/>
        <w:spacing w:line="360" w:lineRule="auto"/>
        <w:jc w:val="both"/>
        <w:rPr>
          <w:rFonts w:asciiTheme="minorHAnsi" w:hAnsiTheme="minorHAnsi" w:cstheme="minorHAnsi"/>
        </w:rPr>
      </w:pPr>
      <w:r w:rsidRPr="00AD7132">
        <w:rPr>
          <w:rFonts w:asciiTheme="minorHAnsi" w:hAnsiTheme="minorHAnsi" w:cstheme="minorHAnsi"/>
        </w:rPr>
        <w:t xml:space="preserve">Our assessments of expected developments in the global economy </w:t>
      </w:r>
      <w:proofErr w:type="gramStart"/>
      <w:r w:rsidRPr="00AD7132">
        <w:rPr>
          <w:rFonts w:asciiTheme="minorHAnsi" w:hAnsiTheme="minorHAnsi" w:cstheme="minorHAnsi"/>
        </w:rPr>
        <w:t>are based</w:t>
      </w:r>
      <w:proofErr w:type="gramEnd"/>
      <w:r w:rsidRPr="00AD7132">
        <w:rPr>
          <w:rFonts w:asciiTheme="minorHAnsi" w:hAnsiTheme="minorHAnsi" w:cstheme="minorHAnsi"/>
        </w:rPr>
        <w:t xml:space="preserve"> mainly on projections by international </w:t>
      </w:r>
      <w:r w:rsidR="00C45D20" w:rsidRPr="00AD7132">
        <w:rPr>
          <w:rFonts w:asciiTheme="minorHAnsi" w:hAnsiTheme="minorHAnsi" w:cstheme="minorHAnsi"/>
        </w:rPr>
        <w:t xml:space="preserve">financial </w:t>
      </w:r>
      <w:r w:rsidRPr="00AD7132">
        <w:rPr>
          <w:rFonts w:asciiTheme="minorHAnsi" w:hAnsiTheme="minorHAnsi" w:cstheme="minorHAnsi"/>
        </w:rPr>
        <w:t>institutions and foreign investment houses.</w:t>
      </w:r>
      <w:r w:rsidR="00C55EB9" w:rsidRPr="00AD7132">
        <w:rPr>
          <w:rFonts w:asciiTheme="minorHAnsi" w:hAnsiTheme="minorHAnsi" w:cstheme="minorHAnsi"/>
        </w:rPr>
        <w:t xml:space="preserve"> </w:t>
      </w:r>
      <w:r w:rsidR="00EC4295" w:rsidRPr="00AD7132">
        <w:rPr>
          <w:rFonts w:asciiTheme="minorHAnsi" w:hAnsiTheme="minorHAnsi" w:cstheme="minorHAnsi"/>
        </w:rPr>
        <w:t xml:space="preserve"> Accordingly, we assume that </w:t>
      </w:r>
      <w:r w:rsidR="002F53E5" w:rsidRPr="00AD7132">
        <w:rPr>
          <w:rFonts w:asciiTheme="minorHAnsi" w:hAnsiTheme="minorHAnsi" w:cstheme="minorHAnsi"/>
        </w:rPr>
        <w:t>GDP in the advanced economies will grow by 1.</w:t>
      </w:r>
      <w:r w:rsidR="00994B25" w:rsidRPr="00AD7132">
        <w:rPr>
          <w:rFonts w:asciiTheme="minorHAnsi" w:hAnsiTheme="minorHAnsi" w:cstheme="minorHAnsi"/>
        </w:rPr>
        <w:t>2</w:t>
      </w:r>
      <w:r w:rsidR="002F53E5" w:rsidRPr="00AD7132">
        <w:rPr>
          <w:rFonts w:asciiTheme="minorHAnsi" w:hAnsiTheme="minorHAnsi" w:cstheme="minorHAnsi"/>
        </w:rPr>
        <w:t xml:space="preserve"> percent in </w:t>
      </w:r>
      <w:proofErr w:type="gramStart"/>
      <w:r w:rsidR="00E45791" w:rsidRPr="00AD7132">
        <w:rPr>
          <w:rFonts w:asciiTheme="minorHAnsi" w:hAnsiTheme="minorHAnsi" w:cstheme="minorHAnsi"/>
        </w:rPr>
        <w:t>2026</w:t>
      </w:r>
      <w:r w:rsidR="0059481A" w:rsidRPr="00AD7132">
        <w:rPr>
          <w:rFonts w:asciiTheme="minorHAnsi" w:hAnsiTheme="minorHAnsi" w:cstheme="minorHAnsi"/>
        </w:rPr>
        <w:t>,</w:t>
      </w:r>
      <w:proofErr w:type="gramEnd"/>
      <w:r w:rsidR="0059481A" w:rsidRPr="00AD7132">
        <w:rPr>
          <w:rFonts w:asciiTheme="minorHAnsi" w:hAnsiTheme="minorHAnsi" w:cstheme="minorHAnsi"/>
        </w:rPr>
        <w:t xml:space="preserve"> and by 1.</w:t>
      </w:r>
      <w:r w:rsidR="00994B25" w:rsidRPr="00AD7132">
        <w:rPr>
          <w:rFonts w:asciiTheme="minorHAnsi" w:hAnsiTheme="minorHAnsi" w:cstheme="minorHAnsi"/>
        </w:rPr>
        <w:t>4</w:t>
      </w:r>
      <w:r w:rsidR="0059481A" w:rsidRPr="00AD7132">
        <w:rPr>
          <w:rFonts w:asciiTheme="minorHAnsi" w:hAnsiTheme="minorHAnsi" w:cstheme="minorHAnsi"/>
        </w:rPr>
        <w:t xml:space="preserve"> percent in 2027</w:t>
      </w:r>
      <w:r w:rsidR="00EC4295" w:rsidRPr="00AD7132">
        <w:rPr>
          <w:rFonts w:asciiTheme="minorHAnsi" w:hAnsiTheme="minorHAnsi" w:cstheme="minorHAnsi"/>
        </w:rPr>
        <w:t xml:space="preserve"> (</w:t>
      </w:r>
      <w:r w:rsidR="00994B25" w:rsidRPr="00AD7132">
        <w:rPr>
          <w:rFonts w:asciiTheme="minorHAnsi" w:hAnsiTheme="minorHAnsi" w:cstheme="minorHAnsi"/>
        </w:rPr>
        <w:t>compared with 1.5 percent and 1.6 percent respectively in the March</w:t>
      </w:r>
      <w:r w:rsidR="00EC4295" w:rsidRPr="00AD7132">
        <w:rPr>
          <w:rFonts w:asciiTheme="minorHAnsi" w:hAnsiTheme="minorHAnsi" w:cstheme="minorHAnsi"/>
        </w:rPr>
        <w:t xml:space="preserve"> forecast)</w:t>
      </w:r>
      <w:r w:rsidR="00994B25" w:rsidRPr="00AD7132">
        <w:rPr>
          <w:rFonts w:asciiTheme="minorHAnsi" w:hAnsiTheme="minorHAnsi" w:cstheme="minorHAnsi"/>
        </w:rPr>
        <w:t>.  We further assume that</w:t>
      </w:r>
      <w:r w:rsidR="00EC4295" w:rsidRPr="00AD7132">
        <w:rPr>
          <w:rFonts w:asciiTheme="minorHAnsi" w:hAnsiTheme="minorHAnsi" w:cstheme="minorHAnsi"/>
        </w:rPr>
        <w:t xml:space="preserve"> </w:t>
      </w:r>
      <w:r w:rsidR="00E45791" w:rsidRPr="00AD7132">
        <w:rPr>
          <w:rFonts w:asciiTheme="minorHAnsi" w:hAnsiTheme="minorHAnsi" w:cstheme="minorHAnsi"/>
        </w:rPr>
        <w:t xml:space="preserve">inflation in these economies will be </w:t>
      </w:r>
      <w:r w:rsidR="00994B25" w:rsidRPr="00AD7132">
        <w:rPr>
          <w:rFonts w:asciiTheme="minorHAnsi" w:hAnsiTheme="minorHAnsi" w:cstheme="minorHAnsi"/>
        </w:rPr>
        <w:t>3.0</w:t>
      </w:r>
      <w:r w:rsidR="00E45791" w:rsidRPr="00AD7132">
        <w:rPr>
          <w:rFonts w:asciiTheme="minorHAnsi" w:hAnsiTheme="minorHAnsi" w:cstheme="minorHAnsi"/>
        </w:rPr>
        <w:t xml:space="preserve"> percent in 202</w:t>
      </w:r>
      <w:r w:rsidR="0059481A" w:rsidRPr="00AD7132">
        <w:rPr>
          <w:rFonts w:asciiTheme="minorHAnsi" w:hAnsiTheme="minorHAnsi" w:cstheme="minorHAnsi"/>
        </w:rPr>
        <w:t>6</w:t>
      </w:r>
      <w:r w:rsidR="00E45791" w:rsidRPr="00AD7132">
        <w:rPr>
          <w:rFonts w:asciiTheme="minorHAnsi" w:hAnsiTheme="minorHAnsi" w:cstheme="minorHAnsi"/>
        </w:rPr>
        <w:t xml:space="preserve"> </w:t>
      </w:r>
      <w:r w:rsidR="00A241A2" w:rsidRPr="00AD7132">
        <w:rPr>
          <w:rFonts w:asciiTheme="minorHAnsi" w:hAnsiTheme="minorHAnsi" w:cstheme="minorHAnsi"/>
        </w:rPr>
        <w:lastRenderedPageBreak/>
        <w:t>(compared with 2.</w:t>
      </w:r>
      <w:r w:rsidR="00994B25" w:rsidRPr="00AD7132">
        <w:rPr>
          <w:rFonts w:asciiTheme="minorHAnsi" w:hAnsiTheme="minorHAnsi" w:cstheme="minorHAnsi"/>
        </w:rPr>
        <w:t>4</w:t>
      </w:r>
      <w:r w:rsidR="00A241A2" w:rsidRPr="00AD7132">
        <w:rPr>
          <w:rFonts w:asciiTheme="minorHAnsi" w:hAnsiTheme="minorHAnsi" w:cstheme="minorHAnsi"/>
        </w:rPr>
        <w:t xml:space="preserve"> percent in the </w:t>
      </w:r>
      <w:r w:rsidR="00994B25" w:rsidRPr="00AD7132">
        <w:rPr>
          <w:rFonts w:asciiTheme="minorHAnsi" w:hAnsiTheme="minorHAnsi" w:cstheme="minorHAnsi"/>
        </w:rPr>
        <w:t>March</w:t>
      </w:r>
      <w:r w:rsidR="00A241A2" w:rsidRPr="00AD7132">
        <w:rPr>
          <w:rFonts w:asciiTheme="minorHAnsi" w:hAnsiTheme="minorHAnsi" w:cstheme="minorHAnsi"/>
        </w:rPr>
        <w:t xml:space="preserve"> forecast) </w:t>
      </w:r>
      <w:r w:rsidR="00E45791" w:rsidRPr="00AD7132">
        <w:rPr>
          <w:rFonts w:asciiTheme="minorHAnsi" w:hAnsiTheme="minorHAnsi" w:cstheme="minorHAnsi"/>
        </w:rPr>
        <w:t>and 2.</w:t>
      </w:r>
      <w:r w:rsidR="00994B25" w:rsidRPr="00AD7132">
        <w:rPr>
          <w:rFonts w:asciiTheme="minorHAnsi" w:hAnsiTheme="minorHAnsi" w:cstheme="minorHAnsi"/>
        </w:rPr>
        <w:t>3</w:t>
      </w:r>
      <w:r w:rsidR="00E45791" w:rsidRPr="00AD7132">
        <w:rPr>
          <w:rFonts w:asciiTheme="minorHAnsi" w:hAnsiTheme="minorHAnsi" w:cstheme="minorHAnsi"/>
        </w:rPr>
        <w:t xml:space="preserve"> percent in 202</w:t>
      </w:r>
      <w:r w:rsidR="0059481A" w:rsidRPr="00AD7132">
        <w:rPr>
          <w:rFonts w:asciiTheme="minorHAnsi" w:hAnsiTheme="minorHAnsi" w:cstheme="minorHAnsi"/>
        </w:rPr>
        <w:t>7</w:t>
      </w:r>
      <w:r w:rsidR="00E45791" w:rsidRPr="00AD7132">
        <w:rPr>
          <w:rFonts w:asciiTheme="minorHAnsi" w:hAnsiTheme="minorHAnsi" w:cstheme="minorHAnsi"/>
        </w:rPr>
        <w:t xml:space="preserve"> (</w:t>
      </w:r>
      <w:r w:rsidR="00A241A2" w:rsidRPr="00AD7132">
        <w:rPr>
          <w:rFonts w:asciiTheme="minorHAnsi" w:hAnsiTheme="minorHAnsi" w:cstheme="minorHAnsi"/>
        </w:rPr>
        <w:t>compared with 2.</w:t>
      </w:r>
      <w:r w:rsidR="00994B25" w:rsidRPr="00AD7132">
        <w:rPr>
          <w:rFonts w:asciiTheme="minorHAnsi" w:hAnsiTheme="minorHAnsi" w:cstheme="minorHAnsi"/>
        </w:rPr>
        <w:t>0</w:t>
      </w:r>
      <w:r w:rsidR="00A241A2" w:rsidRPr="00AD7132">
        <w:rPr>
          <w:rFonts w:asciiTheme="minorHAnsi" w:hAnsiTheme="minorHAnsi" w:cstheme="minorHAnsi"/>
        </w:rPr>
        <w:t xml:space="preserve"> percent in the </w:t>
      </w:r>
      <w:r w:rsidR="00994B25" w:rsidRPr="00AD7132">
        <w:rPr>
          <w:rFonts w:asciiTheme="minorHAnsi" w:hAnsiTheme="minorHAnsi" w:cstheme="minorHAnsi"/>
        </w:rPr>
        <w:t>March</w:t>
      </w:r>
      <w:r w:rsidR="00E45791" w:rsidRPr="00AD7132">
        <w:rPr>
          <w:rFonts w:asciiTheme="minorHAnsi" w:hAnsiTheme="minorHAnsi" w:cstheme="minorHAnsi"/>
        </w:rPr>
        <w:t xml:space="preserve"> forecast)</w:t>
      </w:r>
      <w:r w:rsidR="00994B25" w:rsidRPr="00AD7132">
        <w:rPr>
          <w:rFonts w:asciiTheme="minorHAnsi" w:hAnsiTheme="minorHAnsi" w:cstheme="minorHAnsi"/>
        </w:rPr>
        <w:t>.</w:t>
      </w:r>
      <w:r w:rsidR="00E45791" w:rsidRPr="00AD7132">
        <w:rPr>
          <w:rFonts w:asciiTheme="minorHAnsi" w:hAnsiTheme="minorHAnsi" w:cstheme="minorHAnsi"/>
        </w:rPr>
        <w:t xml:space="preserve"> </w:t>
      </w:r>
      <w:r w:rsidR="00994B25" w:rsidRPr="00AD7132">
        <w:rPr>
          <w:rFonts w:asciiTheme="minorHAnsi" w:hAnsiTheme="minorHAnsi" w:cstheme="minorHAnsi"/>
        </w:rPr>
        <w:t>T</w:t>
      </w:r>
      <w:r w:rsidR="00EC4295" w:rsidRPr="00AD7132">
        <w:rPr>
          <w:rFonts w:asciiTheme="minorHAnsi" w:hAnsiTheme="minorHAnsi" w:cstheme="minorHAnsi"/>
        </w:rPr>
        <w:t xml:space="preserve">he interest rate </w:t>
      </w:r>
      <w:proofErr w:type="gramStart"/>
      <w:r w:rsidR="00994B25" w:rsidRPr="00AD7132">
        <w:rPr>
          <w:rFonts w:asciiTheme="minorHAnsi" w:hAnsiTheme="minorHAnsi" w:cstheme="minorHAnsi"/>
        </w:rPr>
        <w:t>is expected</w:t>
      </w:r>
      <w:proofErr w:type="gramEnd"/>
      <w:r w:rsidR="00994B25" w:rsidRPr="00AD7132">
        <w:rPr>
          <w:rFonts w:asciiTheme="minorHAnsi" w:hAnsiTheme="minorHAnsi" w:cstheme="minorHAnsi"/>
        </w:rPr>
        <w:t xml:space="preserve"> to</w:t>
      </w:r>
      <w:r w:rsidR="00EC4295" w:rsidRPr="00AD7132">
        <w:rPr>
          <w:rFonts w:asciiTheme="minorHAnsi" w:hAnsiTheme="minorHAnsi" w:cstheme="minorHAnsi"/>
        </w:rPr>
        <w:t xml:space="preserve"> be </w:t>
      </w:r>
      <w:r w:rsidR="00994B25" w:rsidRPr="00AD7132">
        <w:rPr>
          <w:rFonts w:asciiTheme="minorHAnsi" w:hAnsiTheme="minorHAnsi" w:cstheme="minorHAnsi"/>
        </w:rPr>
        <w:t>3.0</w:t>
      </w:r>
      <w:r w:rsidR="00EC4295" w:rsidRPr="00AD7132">
        <w:rPr>
          <w:rFonts w:asciiTheme="minorHAnsi" w:hAnsiTheme="minorHAnsi" w:cstheme="minorHAnsi"/>
        </w:rPr>
        <w:t xml:space="preserve"> percent in 2026</w:t>
      </w:r>
      <w:r w:rsidR="00A241A2" w:rsidRPr="00AD7132">
        <w:rPr>
          <w:rFonts w:asciiTheme="minorHAnsi" w:hAnsiTheme="minorHAnsi" w:cstheme="minorHAnsi"/>
        </w:rPr>
        <w:t xml:space="preserve"> (compared with 2.</w:t>
      </w:r>
      <w:r w:rsidR="00994B25" w:rsidRPr="00AD7132">
        <w:rPr>
          <w:rFonts w:asciiTheme="minorHAnsi" w:hAnsiTheme="minorHAnsi" w:cstheme="minorHAnsi"/>
        </w:rPr>
        <w:t>8</w:t>
      </w:r>
      <w:r w:rsidR="00A241A2" w:rsidRPr="00AD7132">
        <w:rPr>
          <w:rFonts w:asciiTheme="minorHAnsi" w:hAnsiTheme="minorHAnsi" w:cstheme="minorHAnsi"/>
        </w:rPr>
        <w:t xml:space="preserve"> percent in the </w:t>
      </w:r>
      <w:r w:rsidR="00994B25" w:rsidRPr="00AD7132">
        <w:rPr>
          <w:rFonts w:asciiTheme="minorHAnsi" w:hAnsiTheme="minorHAnsi" w:cstheme="minorHAnsi"/>
        </w:rPr>
        <w:t>March</w:t>
      </w:r>
      <w:r w:rsidR="00A241A2" w:rsidRPr="00AD7132">
        <w:rPr>
          <w:rFonts w:asciiTheme="minorHAnsi" w:hAnsiTheme="minorHAnsi" w:cstheme="minorHAnsi"/>
        </w:rPr>
        <w:t xml:space="preserve"> forecast)</w:t>
      </w:r>
      <w:r w:rsidR="0059481A" w:rsidRPr="00AD7132">
        <w:rPr>
          <w:rFonts w:asciiTheme="minorHAnsi" w:hAnsiTheme="minorHAnsi" w:cstheme="minorHAnsi"/>
        </w:rPr>
        <w:t xml:space="preserve"> and</w:t>
      </w:r>
      <w:r w:rsidR="00A241A2" w:rsidRPr="00AD7132">
        <w:rPr>
          <w:rFonts w:asciiTheme="minorHAnsi" w:hAnsiTheme="minorHAnsi" w:cstheme="minorHAnsi"/>
        </w:rPr>
        <w:t xml:space="preserve"> 2.</w:t>
      </w:r>
      <w:r w:rsidR="00994B25" w:rsidRPr="00AD7132">
        <w:rPr>
          <w:rFonts w:asciiTheme="minorHAnsi" w:hAnsiTheme="minorHAnsi" w:cstheme="minorHAnsi"/>
        </w:rPr>
        <w:t>9</w:t>
      </w:r>
      <w:r w:rsidR="00A241A2" w:rsidRPr="00AD7132">
        <w:rPr>
          <w:rFonts w:asciiTheme="minorHAnsi" w:hAnsiTheme="minorHAnsi" w:cstheme="minorHAnsi"/>
        </w:rPr>
        <w:t xml:space="preserve"> percent in</w:t>
      </w:r>
      <w:r w:rsidR="0059481A" w:rsidRPr="00AD7132">
        <w:rPr>
          <w:rFonts w:asciiTheme="minorHAnsi" w:hAnsiTheme="minorHAnsi" w:cstheme="minorHAnsi"/>
        </w:rPr>
        <w:t xml:space="preserve"> 2027</w:t>
      </w:r>
      <w:r w:rsidR="00EC4295" w:rsidRPr="00AD7132">
        <w:rPr>
          <w:rFonts w:asciiTheme="minorHAnsi" w:hAnsiTheme="minorHAnsi" w:cstheme="minorHAnsi"/>
        </w:rPr>
        <w:t xml:space="preserve"> (</w:t>
      </w:r>
      <w:r w:rsidR="00994B25" w:rsidRPr="00AD7132">
        <w:rPr>
          <w:rFonts w:asciiTheme="minorHAnsi" w:hAnsiTheme="minorHAnsi" w:cstheme="minorHAnsi"/>
        </w:rPr>
        <w:t>compared with 2.6</w:t>
      </w:r>
      <w:r w:rsidR="00EC4295" w:rsidRPr="00AD7132">
        <w:rPr>
          <w:rFonts w:asciiTheme="minorHAnsi" w:hAnsiTheme="minorHAnsi" w:cstheme="minorHAnsi"/>
        </w:rPr>
        <w:t xml:space="preserve"> </w:t>
      </w:r>
      <w:r w:rsidR="00994B25" w:rsidRPr="00AD7132">
        <w:rPr>
          <w:rFonts w:asciiTheme="minorHAnsi" w:hAnsiTheme="minorHAnsi" w:cstheme="minorHAnsi"/>
        </w:rPr>
        <w:t xml:space="preserve">percent </w:t>
      </w:r>
      <w:r w:rsidR="00EC4295" w:rsidRPr="00AD7132">
        <w:rPr>
          <w:rFonts w:asciiTheme="minorHAnsi" w:hAnsiTheme="minorHAnsi" w:cstheme="minorHAnsi"/>
        </w:rPr>
        <w:t xml:space="preserve">the </w:t>
      </w:r>
      <w:r w:rsidR="00994B25" w:rsidRPr="00AD7132">
        <w:rPr>
          <w:rFonts w:asciiTheme="minorHAnsi" w:hAnsiTheme="minorHAnsi" w:cstheme="minorHAnsi"/>
        </w:rPr>
        <w:t>March</w:t>
      </w:r>
      <w:r w:rsidR="00EC4295" w:rsidRPr="00AD7132">
        <w:rPr>
          <w:rFonts w:asciiTheme="minorHAnsi" w:hAnsiTheme="minorHAnsi" w:cstheme="minorHAnsi"/>
        </w:rPr>
        <w:t xml:space="preserve"> forecast)</w:t>
      </w:r>
      <w:r w:rsidR="002F53E5" w:rsidRPr="00AD7132">
        <w:rPr>
          <w:rFonts w:asciiTheme="minorHAnsi" w:hAnsiTheme="minorHAnsi" w:cstheme="minorHAnsi"/>
        </w:rPr>
        <w:t xml:space="preserve">.  </w:t>
      </w:r>
      <w:r w:rsidR="00994B25" w:rsidRPr="00AD7132">
        <w:rPr>
          <w:rFonts w:asciiTheme="minorHAnsi" w:hAnsiTheme="minorHAnsi" w:cstheme="minorHAnsi"/>
        </w:rPr>
        <w:t>These revisions mainly reflect the assessments of the foreign investment houses regarding the impact of the increase in oil prices due to Operation Roaring Lion.</w:t>
      </w:r>
    </w:p>
    <w:p w14:paraId="3BA4D05D" w14:textId="77777777" w:rsidR="009C7A47" w:rsidRPr="00AD7132" w:rsidRDefault="009C7A47" w:rsidP="00D1485E">
      <w:pPr>
        <w:bidi w:val="0"/>
        <w:spacing w:line="360" w:lineRule="auto"/>
        <w:jc w:val="both"/>
        <w:rPr>
          <w:rFonts w:asciiTheme="minorHAnsi" w:hAnsiTheme="minorHAnsi" w:cstheme="minorHAnsi"/>
        </w:rPr>
      </w:pPr>
    </w:p>
    <w:p w14:paraId="5C67345C" w14:textId="22E93FF8" w:rsidR="00D52059" w:rsidRPr="00AD7132" w:rsidRDefault="00060B61" w:rsidP="00D1485E">
      <w:pPr>
        <w:bidi w:val="0"/>
        <w:spacing w:line="360" w:lineRule="auto"/>
        <w:jc w:val="both"/>
        <w:rPr>
          <w:rFonts w:asciiTheme="minorHAnsi" w:hAnsiTheme="minorHAnsi" w:cstheme="minorHAnsi"/>
        </w:rPr>
      </w:pPr>
      <w:r w:rsidRPr="00AD7132">
        <w:rPr>
          <w:rFonts w:asciiTheme="minorHAnsi" w:hAnsiTheme="minorHAnsi" w:cstheme="minorHAnsi"/>
        </w:rPr>
        <w:t>T</w:t>
      </w:r>
      <w:r w:rsidR="008F34C7" w:rsidRPr="00AD7132">
        <w:rPr>
          <w:rFonts w:asciiTheme="minorHAnsi" w:hAnsiTheme="minorHAnsi" w:cstheme="minorHAnsi"/>
        </w:rPr>
        <w:t>he price of Brent crude oil</w:t>
      </w:r>
      <w:r w:rsidR="00994B25" w:rsidRPr="00AD7132">
        <w:rPr>
          <w:rFonts w:asciiTheme="minorHAnsi" w:hAnsiTheme="minorHAnsi" w:cstheme="minorHAnsi"/>
        </w:rPr>
        <w:t xml:space="preserve"> declined significantly</w:t>
      </w:r>
      <w:r w:rsidR="00A241A2" w:rsidRPr="00AD7132">
        <w:rPr>
          <w:rFonts w:asciiTheme="minorHAnsi" w:hAnsiTheme="minorHAnsi" w:cstheme="minorHAnsi"/>
        </w:rPr>
        <w:t xml:space="preserve"> from</w:t>
      </w:r>
      <w:r w:rsidR="00D9026F" w:rsidRPr="00AD7132">
        <w:rPr>
          <w:rFonts w:asciiTheme="minorHAnsi" w:hAnsiTheme="minorHAnsi" w:cstheme="minorHAnsi"/>
        </w:rPr>
        <w:t xml:space="preserve"> </w:t>
      </w:r>
      <w:r w:rsidRPr="00AD7132">
        <w:rPr>
          <w:rFonts w:asciiTheme="minorHAnsi" w:hAnsiTheme="minorHAnsi" w:cstheme="minorHAnsi"/>
        </w:rPr>
        <w:t>$</w:t>
      </w:r>
      <w:r w:rsidR="00994B25" w:rsidRPr="00AD7132">
        <w:rPr>
          <w:rFonts w:asciiTheme="minorHAnsi" w:hAnsiTheme="minorHAnsi" w:cstheme="minorHAnsi"/>
        </w:rPr>
        <w:t>112</w:t>
      </w:r>
      <w:r w:rsidR="00D9026F" w:rsidRPr="00AD7132">
        <w:rPr>
          <w:rFonts w:asciiTheme="minorHAnsi" w:hAnsiTheme="minorHAnsi" w:cstheme="minorHAnsi"/>
        </w:rPr>
        <w:t xml:space="preserve"> </w:t>
      </w:r>
      <w:r w:rsidRPr="00AD7132">
        <w:rPr>
          <w:rFonts w:asciiTheme="minorHAnsi" w:hAnsiTheme="minorHAnsi" w:cstheme="minorHAnsi"/>
        </w:rPr>
        <w:t>per barrel</w:t>
      </w:r>
      <w:r w:rsidR="00A241A2" w:rsidRPr="00AD7132">
        <w:rPr>
          <w:rFonts w:asciiTheme="minorHAnsi" w:hAnsiTheme="minorHAnsi" w:cstheme="minorHAnsi"/>
        </w:rPr>
        <w:t xml:space="preserve"> at the time of the </w:t>
      </w:r>
      <w:r w:rsidR="00994B25" w:rsidRPr="00AD7132">
        <w:rPr>
          <w:rFonts w:asciiTheme="minorHAnsi" w:hAnsiTheme="minorHAnsi" w:cstheme="minorHAnsi"/>
        </w:rPr>
        <w:t>March</w:t>
      </w:r>
      <w:r w:rsidR="00A241A2" w:rsidRPr="00AD7132">
        <w:rPr>
          <w:rFonts w:asciiTheme="minorHAnsi" w:hAnsiTheme="minorHAnsi" w:cstheme="minorHAnsi"/>
        </w:rPr>
        <w:t xml:space="preserve"> forecast to $</w:t>
      </w:r>
      <w:r w:rsidR="00994B25" w:rsidRPr="00AD7132">
        <w:rPr>
          <w:rFonts w:asciiTheme="minorHAnsi" w:hAnsiTheme="minorHAnsi" w:cstheme="minorHAnsi"/>
        </w:rPr>
        <w:t>72</w:t>
      </w:r>
      <w:r w:rsidR="00A241A2" w:rsidRPr="00AD7132">
        <w:rPr>
          <w:rFonts w:asciiTheme="minorHAnsi" w:hAnsiTheme="minorHAnsi" w:cstheme="minorHAnsi"/>
        </w:rPr>
        <w:t xml:space="preserve"> per barrel currently</w:t>
      </w:r>
      <w:r w:rsidR="00323260" w:rsidRPr="00AD7132">
        <w:rPr>
          <w:rFonts w:asciiTheme="minorHAnsi" w:hAnsiTheme="minorHAnsi" w:cstheme="minorHAnsi"/>
        </w:rPr>
        <w:t>.</w:t>
      </w:r>
    </w:p>
    <w:p w14:paraId="0E2050CB" w14:textId="77777777" w:rsidR="009C7A47" w:rsidRPr="00AD7132" w:rsidRDefault="009C7A47" w:rsidP="00D1485E">
      <w:pPr>
        <w:bidi w:val="0"/>
        <w:spacing w:line="360" w:lineRule="auto"/>
        <w:jc w:val="both"/>
        <w:rPr>
          <w:rFonts w:asciiTheme="minorHAnsi" w:hAnsiTheme="minorHAnsi" w:cstheme="minorHAnsi"/>
        </w:rPr>
      </w:pPr>
    </w:p>
    <w:p w14:paraId="4093B67A" w14:textId="77777777" w:rsidR="00AE6BBB" w:rsidRPr="00AD7132" w:rsidRDefault="00AE6BBB" w:rsidP="00D1485E">
      <w:pPr>
        <w:bidi w:val="0"/>
        <w:spacing w:line="360" w:lineRule="auto"/>
        <w:jc w:val="both"/>
        <w:rPr>
          <w:rFonts w:asciiTheme="minorHAnsi" w:hAnsiTheme="minorHAnsi" w:cstheme="minorHAnsi"/>
          <w:rtl/>
        </w:rPr>
      </w:pPr>
    </w:p>
    <w:tbl>
      <w:tblPr>
        <w:tblStyle w:val="a7"/>
        <w:tblpPr w:leftFromText="181" w:rightFromText="181" w:vertAnchor="text" w:horzAnchor="margin" w:tblpY="12"/>
        <w:tblOverlap w:val="never"/>
        <w:tblW w:w="8926" w:type="dxa"/>
        <w:tblLayout w:type="fixed"/>
        <w:tblLook w:val="04A0" w:firstRow="1" w:lastRow="0" w:firstColumn="1" w:lastColumn="0" w:noHBand="0" w:noVBand="1"/>
      </w:tblPr>
      <w:tblGrid>
        <w:gridCol w:w="4390"/>
        <w:gridCol w:w="850"/>
        <w:gridCol w:w="851"/>
        <w:gridCol w:w="992"/>
        <w:gridCol w:w="850"/>
        <w:gridCol w:w="993"/>
      </w:tblGrid>
      <w:tr w:rsidR="00A241A2" w:rsidRPr="00AD7132" w14:paraId="7F2EDA87" w14:textId="77777777" w:rsidTr="008A07D0">
        <w:tc>
          <w:tcPr>
            <w:tcW w:w="8926" w:type="dxa"/>
            <w:gridSpan w:val="6"/>
            <w:tcBorders>
              <w:bottom w:val="nil"/>
            </w:tcBorders>
          </w:tcPr>
          <w:p w14:paraId="69C6A63B" w14:textId="77777777" w:rsidR="00A241A2" w:rsidRPr="00AD7132" w:rsidRDefault="00A241A2" w:rsidP="00D1485E">
            <w:pPr>
              <w:bidi w:val="0"/>
              <w:spacing w:line="360" w:lineRule="auto"/>
              <w:rPr>
                <w:rFonts w:asciiTheme="minorHAnsi" w:hAnsiTheme="minorHAnsi" w:cstheme="minorHAnsi"/>
                <w:b/>
                <w:bCs/>
                <w:color w:val="0070C0"/>
              </w:rPr>
            </w:pPr>
            <w:r w:rsidRPr="00AD7132">
              <w:rPr>
                <w:rFonts w:asciiTheme="minorHAnsi" w:hAnsiTheme="minorHAnsi" w:cstheme="minorHAnsi"/>
                <w:b/>
                <w:bCs/>
                <w:color w:val="0070C0"/>
              </w:rPr>
              <w:t>Table 1</w:t>
            </w:r>
          </w:p>
          <w:p w14:paraId="04E4160E" w14:textId="77777777" w:rsidR="00A241A2" w:rsidRPr="00AD7132" w:rsidRDefault="00A241A2" w:rsidP="00D1485E">
            <w:pPr>
              <w:bidi w:val="0"/>
              <w:spacing w:line="360" w:lineRule="auto"/>
              <w:rPr>
                <w:rFonts w:asciiTheme="minorHAnsi" w:hAnsiTheme="minorHAnsi" w:cstheme="minorHAnsi"/>
                <w:b/>
                <w:bCs/>
                <w:color w:val="0070C0"/>
              </w:rPr>
            </w:pPr>
            <w:r w:rsidRPr="00AD7132">
              <w:rPr>
                <w:rFonts w:asciiTheme="minorHAnsi" w:hAnsiTheme="minorHAnsi" w:cstheme="minorHAnsi"/>
                <w:b/>
                <w:bCs/>
                <w:color w:val="0070C0"/>
              </w:rPr>
              <w:t>Research Department Staff Forecast for 2026–2027</w:t>
            </w:r>
          </w:p>
          <w:p w14:paraId="4C58A13F" w14:textId="34D13127"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70C0"/>
              </w:rPr>
              <w:t>(</w:t>
            </w:r>
            <w:r w:rsidR="005D65A1" w:rsidRPr="00AD7132">
              <w:rPr>
                <w:rFonts w:asciiTheme="minorHAnsi" w:hAnsiTheme="minorHAnsi" w:cstheme="minorHAnsi"/>
                <w:color w:val="0070C0"/>
              </w:rPr>
              <w:t xml:space="preserve">annual </w:t>
            </w:r>
            <w:r w:rsidRPr="00AD7132">
              <w:rPr>
                <w:rFonts w:asciiTheme="minorHAnsi" w:hAnsiTheme="minorHAnsi" w:cstheme="minorHAnsi"/>
                <w:color w:val="0070C0"/>
              </w:rPr>
              <w:t xml:space="preserve">rates of change, </w:t>
            </w:r>
            <w:proofErr w:type="spellStart"/>
            <w:r w:rsidRPr="00AD7132">
              <w:rPr>
                <w:rFonts w:asciiTheme="minorHAnsi" w:hAnsiTheme="minorHAnsi" w:cstheme="minorHAnsi"/>
                <w:color w:val="0070C0"/>
              </w:rPr>
              <w:t>percent</w:t>
            </w:r>
            <w:r w:rsidRPr="00AD7132">
              <w:rPr>
                <w:rFonts w:asciiTheme="minorHAnsi" w:hAnsiTheme="minorHAnsi" w:cstheme="minorHAnsi"/>
                <w:color w:val="0070C0"/>
                <w:vertAlign w:val="superscript"/>
              </w:rPr>
              <w:t>a</w:t>
            </w:r>
            <w:proofErr w:type="spellEnd"/>
            <w:r w:rsidRPr="00AD7132">
              <w:rPr>
                <w:rFonts w:asciiTheme="minorHAnsi" w:hAnsiTheme="minorHAnsi" w:cstheme="minorHAnsi"/>
                <w:color w:val="0070C0"/>
              </w:rPr>
              <w:t>, unless stated otherwise)</w:t>
            </w:r>
          </w:p>
        </w:tc>
      </w:tr>
      <w:tr w:rsidR="00A241A2" w:rsidRPr="00AD7132" w14:paraId="6EF4F85E" w14:textId="77777777" w:rsidTr="00A241A2">
        <w:tc>
          <w:tcPr>
            <w:tcW w:w="4390" w:type="dxa"/>
            <w:tcBorders>
              <w:bottom w:val="nil"/>
            </w:tcBorders>
            <w:vAlign w:val="center"/>
          </w:tcPr>
          <w:p w14:paraId="05613D9E" w14:textId="77777777"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 </w:t>
            </w:r>
          </w:p>
        </w:tc>
        <w:tc>
          <w:tcPr>
            <w:tcW w:w="850" w:type="dxa"/>
            <w:tcBorders>
              <w:bottom w:val="nil"/>
            </w:tcBorders>
            <w:vAlign w:val="center"/>
          </w:tcPr>
          <w:p w14:paraId="7E858AD8" w14:textId="4D6F2363"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2025 actual figures</w:t>
            </w:r>
          </w:p>
        </w:tc>
        <w:tc>
          <w:tcPr>
            <w:tcW w:w="851" w:type="dxa"/>
            <w:tcBorders>
              <w:left w:val="single" w:sz="4" w:space="0" w:color="auto"/>
              <w:bottom w:val="nil"/>
              <w:right w:val="single" w:sz="4" w:space="0" w:color="auto"/>
            </w:tcBorders>
            <w:shd w:val="clear" w:color="auto" w:fill="auto"/>
            <w:vAlign w:val="center"/>
          </w:tcPr>
          <w:p w14:paraId="642C865D" w14:textId="54734F7D"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Forecast for 2026</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B2B8E68" w14:textId="14BFAF80"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 xml:space="preserve">Change from the </w:t>
            </w:r>
            <w:r w:rsidR="004A7599" w:rsidRPr="00AD7132">
              <w:rPr>
                <w:rFonts w:asciiTheme="minorHAnsi" w:hAnsiTheme="minorHAnsi" w:cstheme="minorHAnsi"/>
                <w:color w:val="000000"/>
              </w:rPr>
              <w:t>March</w:t>
            </w:r>
            <w:r w:rsidRPr="00AD7132">
              <w:rPr>
                <w:rFonts w:asciiTheme="minorHAnsi" w:hAnsiTheme="minorHAnsi" w:cstheme="minorHAnsi"/>
                <w:color w:val="000000"/>
              </w:rPr>
              <w:t xml:space="preserve"> forecast</w:t>
            </w:r>
          </w:p>
        </w:tc>
        <w:tc>
          <w:tcPr>
            <w:tcW w:w="850" w:type="dxa"/>
            <w:tcBorders>
              <w:left w:val="nil"/>
              <w:bottom w:val="single" w:sz="4" w:space="0" w:color="auto"/>
              <w:right w:val="single" w:sz="4" w:space="0" w:color="auto"/>
            </w:tcBorders>
            <w:shd w:val="clear" w:color="auto" w:fill="auto"/>
            <w:vAlign w:val="center"/>
          </w:tcPr>
          <w:p w14:paraId="7102DF7B" w14:textId="0539570F"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Forecast for 2027</w:t>
            </w:r>
          </w:p>
        </w:tc>
        <w:tc>
          <w:tcPr>
            <w:tcW w:w="993" w:type="dxa"/>
            <w:shd w:val="clear" w:color="auto" w:fill="B8CCE4" w:themeFill="accent1" w:themeFillTint="66"/>
            <w:vAlign w:val="center"/>
          </w:tcPr>
          <w:p w14:paraId="16445843" w14:textId="2802BBF2"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rPr>
              <w:t xml:space="preserve">Change from the </w:t>
            </w:r>
            <w:r w:rsidR="004A7599" w:rsidRPr="00AD7132">
              <w:rPr>
                <w:rFonts w:asciiTheme="minorHAnsi" w:hAnsiTheme="minorHAnsi" w:cstheme="minorHAnsi"/>
              </w:rPr>
              <w:t>March</w:t>
            </w:r>
            <w:r w:rsidRPr="00AD7132">
              <w:rPr>
                <w:rFonts w:asciiTheme="minorHAnsi" w:hAnsiTheme="minorHAnsi" w:cstheme="minorHAnsi"/>
              </w:rPr>
              <w:t xml:space="preserve"> forecast</w:t>
            </w:r>
          </w:p>
        </w:tc>
      </w:tr>
      <w:tr w:rsidR="00A241A2" w:rsidRPr="00AD7132" w14:paraId="2831CD36" w14:textId="77777777" w:rsidTr="00A241A2">
        <w:tc>
          <w:tcPr>
            <w:tcW w:w="4390" w:type="dxa"/>
            <w:tcBorders>
              <w:bottom w:val="single" w:sz="4" w:space="0" w:color="auto"/>
            </w:tcBorders>
            <w:vAlign w:val="center"/>
          </w:tcPr>
          <w:p w14:paraId="46E91194"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GDP</w:t>
            </w:r>
          </w:p>
        </w:tc>
        <w:tc>
          <w:tcPr>
            <w:tcW w:w="850" w:type="dxa"/>
            <w:tcBorders>
              <w:bottom w:val="single" w:sz="4" w:space="0" w:color="auto"/>
            </w:tcBorders>
            <w:vAlign w:val="center"/>
          </w:tcPr>
          <w:p w14:paraId="7654361A" w14:textId="7CF9F268" w:rsidR="00A241A2" w:rsidRPr="00AD7132" w:rsidRDefault="00A47C9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2.9</w:t>
            </w:r>
          </w:p>
        </w:tc>
        <w:tc>
          <w:tcPr>
            <w:tcW w:w="851" w:type="dxa"/>
            <w:tcBorders>
              <w:left w:val="single" w:sz="4" w:space="0" w:color="auto"/>
              <w:bottom w:val="single" w:sz="4" w:space="0" w:color="auto"/>
              <w:right w:val="single" w:sz="4" w:space="0" w:color="auto"/>
            </w:tcBorders>
            <w:shd w:val="clear" w:color="auto" w:fill="auto"/>
            <w:vAlign w:val="center"/>
          </w:tcPr>
          <w:p w14:paraId="17AC6D66" w14:textId="74636081"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4.0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CED8F89" w14:textId="20AEFE32"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0.2</w:t>
            </w:r>
          </w:p>
        </w:tc>
        <w:tc>
          <w:tcPr>
            <w:tcW w:w="850" w:type="dxa"/>
            <w:tcBorders>
              <w:left w:val="nil"/>
              <w:bottom w:val="single" w:sz="4" w:space="0" w:color="auto"/>
              <w:right w:val="single" w:sz="4" w:space="0" w:color="auto"/>
            </w:tcBorders>
            <w:shd w:val="clear" w:color="auto" w:fill="auto"/>
            <w:vAlign w:val="bottom"/>
          </w:tcPr>
          <w:p w14:paraId="50A85E6C" w14:textId="1FF76043"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5.5</w:t>
            </w:r>
          </w:p>
        </w:tc>
        <w:tc>
          <w:tcPr>
            <w:tcW w:w="993" w:type="dxa"/>
            <w:shd w:val="clear" w:color="auto" w:fill="B8CCE4" w:themeFill="accent1" w:themeFillTint="66"/>
            <w:vAlign w:val="center"/>
          </w:tcPr>
          <w:p w14:paraId="663B4566" w14:textId="043F1130"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0.0</w:t>
            </w:r>
          </w:p>
        </w:tc>
      </w:tr>
      <w:tr w:rsidR="00A241A2" w:rsidRPr="00AD7132" w14:paraId="22A91E55" w14:textId="77777777" w:rsidTr="00A241A2">
        <w:tc>
          <w:tcPr>
            <w:tcW w:w="4390" w:type="dxa"/>
            <w:tcBorders>
              <w:bottom w:val="single" w:sz="4" w:space="0" w:color="auto"/>
            </w:tcBorders>
            <w:vAlign w:val="center"/>
          </w:tcPr>
          <w:p w14:paraId="199A5B66"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Private consumption</w:t>
            </w:r>
          </w:p>
        </w:tc>
        <w:tc>
          <w:tcPr>
            <w:tcW w:w="850" w:type="dxa"/>
            <w:tcBorders>
              <w:bottom w:val="single" w:sz="4" w:space="0" w:color="auto"/>
            </w:tcBorders>
            <w:vAlign w:val="center"/>
          </w:tcPr>
          <w:p w14:paraId="51B1162B" w14:textId="372F3AD6" w:rsidR="00A241A2" w:rsidRPr="00AD7132" w:rsidRDefault="004A7599"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2.</w:t>
            </w:r>
            <w:r w:rsidR="00A47C92" w:rsidRPr="00AD7132">
              <w:rPr>
                <w:rFonts w:asciiTheme="minorHAnsi" w:hAnsiTheme="minorHAnsi" w:cstheme="minorHAnsi"/>
                <w:color w:val="000000"/>
              </w:rPr>
              <w:t>7</w:t>
            </w:r>
          </w:p>
        </w:tc>
        <w:tc>
          <w:tcPr>
            <w:tcW w:w="851" w:type="dxa"/>
            <w:tcBorders>
              <w:left w:val="single" w:sz="4" w:space="0" w:color="auto"/>
              <w:bottom w:val="single" w:sz="4" w:space="0" w:color="auto"/>
              <w:right w:val="single" w:sz="4" w:space="0" w:color="auto"/>
            </w:tcBorders>
            <w:shd w:val="clear" w:color="auto" w:fill="auto"/>
            <w:vAlign w:val="center"/>
          </w:tcPr>
          <w:p w14:paraId="11AC5FB8" w14:textId="265955EB"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3.0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CE0BF22" w14:textId="13E25DBD"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0.0</w:t>
            </w:r>
          </w:p>
        </w:tc>
        <w:tc>
          <w:tcPr>
            <w:tcW w:w="850" w:type="dxa"/>
            <w:tcBorders>
              <w:left w:val="nil"/>
              <w:bottom w:val="single" w:sz="4" w:space="0" w:color="auto"/>
              <w:right w:val="single" w:sz="4" w:space="0" w:color="auto"/>
            </w:tcBorders>
            <w:shd w:val="clear" w:color="auto" w:fill="auto"/>
            <w:vAlign w:val="bottom"/>
          </w:tcPr>
          <w:p w14:paraId="7511320C" w14:textId="116AE1C1"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6.5</w:t>
            </w:r>
          </w:p>
        </w:tc>
        <w:tc>
          <w:tcPr>
            <w:tcW w:w="993" w:type="dxa"/>
            <w:shd w:val="clear" w:color="auto" w:fill="B8CCE4" w:themeFill="accent1" w:themeFillTint="66"/>
            <w:vAlign w:val="center"/>
          </w:tcPr>
          <w:p w14:paraId="2FB9E721" w14:textId="0BD010EA"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w:t>
            </w:r>
            <w:r w:rsidR="00A241A2" w:rsidRPr="00AD7132">
              <w:rPr>
                <w:rFonts w:asciiTheme="minorHAnsi" w:hAnsiTheme="minorHAnsi" w:cstheme="minorHAnsi"/>
              </w:rPr>
              <w:t>0</w:t>
            </w:r>
            <w:r w:rsidRPr="00AD7132">
              <w:rPr>
                <w:rFonts w:asciiTheme="minorHAnsi" w:hAnsiTheme="minorHAnsi" w:cstheme="minorHAnsi"/>
              </w:rPr>
              <w:t>.5</w:t>
            </w:r>
          </w:p>
        </w:tc>
      </w:tr>
      <w:tr w:rsidR="00A241A2" w:rsidRPr="00AD7132" w14:paraId="62FE491C" w14:textId="77777777" w:rsidTr="00A241A2">
        <w:tc>
          <w:tcPr>
            <w:tcW w:w="4390" w:type="dxa"/>
            <w:tcBorders>
              <w:bottom w:val="single" w:sz="4" w:space="0" w:color="auto"/>
            </w:tcBorders>
            <w:vAlign w:val="center"/>
          </w:tcPr>
          <w:p w14:paraId="4CFD6C88"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Fixed capital formation (excl. ships and aircraft)</w:t>
            </w:r>
          </w:p>
        </w:tc>
        <w:tc>
          <w:tcPr>
            <w:tcW w:w="850" w:type="dxa"/>
            <w:tcBorders>
              <w:bottom w:val="single" w:sz="4" w:space="0" w:color="auto"/>
            </w:tcBorders>
            <w:vAlign w:val="center"/>
          </w:tcPr>
          <w:p w14:paraId="31398C74" w14:textId="7517B713"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8.</w:t>
            </w:r>
            <w:r w:rsidR="00A47C92" w:rsidRPr="00AD7132">
              <w:rPr>
                <w:rFonts w:asciiTheme="minorHAnsi" w:hAnsiTheme="minorHAnsi" w:cstheme="minorHAnsi"/>
                <w:color w:val="000000"/>
              </w:rPr>
              <w:t>4</w:t>
            </w:r>
          </w:p>
        </w:tc>
        <w:tc>
          <w:tcPr>
            <w:tcW w:w="851" w:type="dxa"/>
            <w:tcBorders>
              <w:left w:val="single" w:sz="4" w:space="0" w:color="auto"/>
              <w:bottom w:val="single" w:sz="4" w:space="0" w:color="auto"/>
              <w:right w:val="single" w:sz="4" w:space="0" w:color="auto"/>
            </w:tcBorders>
            <w:shd w:val="clear" w:color="auto" w:fill="auto"/>
            <w:vAlign w:val="center"/>
          </w:tcPr>
          <w:p w14:paraId="07CDF8F7" w14:textId="0FADE2CD"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8.0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03D4BF66" w14:textId="3930B945"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1.5</w:t>
            </w:r>
          </w:p>
        </w:tc>
        <w:tc>
          <w:tcPr>
            <w:tcW w:w="850" w:type="dxa"/>
            <w:tcBorders>
              <w:left w:val="nil"/>
              <w:bottom w:val="single" w:sz="4" w:space="0" w:color="auto"/>
              <w:right w:val="single" w:sz="4" w:space="0" w:color="auto"/>
            </w:tcBorders>
            <w:shd w:val="clear" w:color="auto" w:fill="auto"/>
            <w:vAlign w:val="bottom"/>
          </w:tcPr>
          <w:p w14:paraId="13BF7137" w14:textId="2B70C5BE"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6.0</w:t>
            </w:r>
          </w:p>
        </w:tc>
        <w:tc>
          <w:tcPr>
            <w:tcW w:w="993" w:type="dxa"/>
            <w:shd w:val="clear" w:color="auto" w:fill="B8CCE4" w:themeFill="accent1" w:themeFillTint="66"/>
            <w:vAlign w:val="center"/>
          </w:tcPr>
          <w:p w14:paraId="3267178F" w14:textId="43626335"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-8</w:t>
            </w:r>
            <w:r w:rsidR="00A241A2" w:rsidRPr="00AD7132">
              <w:rPr>
                <w:rFonts w:asciiTheme="minorHAnsi" w:hAnsiTheme="minorHAnsi" w:cstheme="minorHAnsi"/>
              </w:rPr>
              <w:t>.5</w:t>
            </w:r>
          </w:p>
        </w:tc>
      </w:tr>
      <w:tr w:rsidR="00A241A2" w:rsidRPr="00AD7132" w14:paraId="5119F09F" w14:textId="77777777" w:rsidTr="00A241A2">
        <w:tc>
          <w:tcPr>
            <w:tcW w:w="4390" w:type="dxa"/>
            <w:tcBorders>
              <w:bottom w:val="single" w:sz="4" w:space="0" w:color="auto"/>
            </w:tcBorders>
            <w:vAlign w:val="center"/>
          </w:tcPr>
          <w:p w14:paraId="50478FD0"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Public consumption (excl. defense imports)</w:t>
            </w:r>
          </w:p>
        </w:tc>
        <w:tc>
          <w:tcPr>
            <w:tcW w:w="850" w:type="dxa"/>
            <w:tcBorders>
              <w:bottom w:val="single" w:sz="4" w:space="0" w:color="auto"/>
            </w:tcBorders>
            <w:vAlign w:val="center"/>
          </w:tcPr>
          <w:p w14:paraId="6464F3D4" w14:textId="090191D6"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2.</w:t>
            </w:r>
            <w:r w:rsidR="00A47C92" w:rsidRPr="00AD7132">
              <w:rPr>
                <w:rFonts w:asciiTheme="minorHAnsi" w:hAnsiTheme="minorHAnsi" w:cstheme="minorHAnsi"/>
                <w:color w:val="000000"/>
              </w:rPr>
              <w:t>1</w:t>
            </w:r>
          </w:p>
        </w:tc>
        <w:tc>
          <w:tcPr>
            <w:tcW w:w="851" w:type="dxa"/>
            <w:tcBorders>
              <w:left w:val="single" w:sz="4" w:space="0" w:color="auto"/>
              <w:bottom w:val="single" w:sz="4" w:space="0" w:color="auto"/>
              <w:right w:val="single" w:sz="4" w:space="0" w:color="auto"/>
            </w:tcBorders>
            <w:shd w:val="clear" w:color="auto" w:fill="auto"/>
            <w:vAlign w:val="center"/>
          </w:tcPr>
          <w:p w14:paraId="0FEB00FB" w14:textId="4A9E77D2"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2.</w:t>
            </w:r>
            <w:r w:rsidR="004A7599" w:rsidRPr="00AD7132">
              <w:rPr>
                <w:rFonts w:asciiTheme="minorHAnsi" w:hAnsiTheme="minorHAnsi" w:cstheme="minorHAnsi"/>
                <w:color w:val="000000"/>
              </w:rPr>
              <w:t>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591656A" w14:textId="573574F5"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-0</w:t>
            </w:r>
            <w:r w:rsidR="00A241A2" w:rsidRPr="00AD7132">
              <w:rPr>
                <w:rFonts w:asciiTheme="minorHAnsi" w:hAnsiTheme="minorHAnsi" w:cstheme="minorHAnsi"/>
                <w:color w:val="000000"/>
              </w:rPr>
              <w:t>.5</w:t>
            </w:r>
          </w:p>
        </w:tc>
        <w:tc>
          <w:tcPr>
            <w:tcW w:w="850" w:type="dxa"/>
            <w:tcBorders>
              <w:left w:val="nil"/>
              <w:bottom w:val="single" w:sz="4" w:space="0" w:color="auto"/>
              <w:right w:val="single" w:sz="4" w:space="0" w:color="auto"/>
            </w:tcBorders>
            <w:shd w:val="clear" w:color="auto" w:fill="auto"/>
            <w:vAlign w:val="bottom"/>
          </w:tcPr>
          <w:p w14:paraId="75EC713D" w14:textId="6D6C50FF"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0.</w:t>
            </w:r>
            <w:r w:rsidR="00A241A2" w:rsidRPr="00AD7132">
              <w:rPr>
                <w:rFonts w:asciiTheme="minorHAnsi" w:hAnsiTheme="minorHAnsi" w:cstheme="minorHAnsi"/>
                <w:color w:val="000000"/>
              </w:rPr>
              <w:t>5</w:t>
            </w:r>
          </w:p>
        </w:tc>
        <w:tc>
          <w:tcPr>
            <w:tcW w:w="993" w:type="dxa"/>
            <w:shd w:val="clear" w:color="auto" w:fill="B8CCE4" w:themeFill="accent1" w:themeFillTint="66"/>
            <w:vAlign w:val="center"/>
          </w:tcPr>
          <w:p w14:paraId="0AC13A48" w14:textId="6436911B"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rPr>
              <w:t>-</w:t>
            </w:r>
            <w:r w:rsidR="004A7599" w:rsidRPr="00AD7132">
              <w:rPr>
                <w:rFonts w:asciiTheme="minorHAnsi" w:hAnsiTheme="minorHAnsi" w:cstheme="minorHAnsi"/>
              </w:rPr>
              <w:t>2</w:t>
            </w:r>
            <w:r w:rsidRPr="00AD7132">
              <w:rPr>
                <w:rFonts w:asciiTheme="minorHAnsi" w:hAnsiTheme="minorHAnsi" w:cstheme="minorHAnsi"/>
              </w:rPr>
              <w:t>.0</w:t>
            </w:r>
          </w:p>
        </w:tc>
      </w:tr>
      <w:tr w:rsidR="00A241A2" w:rsidRPr="00AD7132" w14:paraId="7289C9A9" w14:textId="77777777" w:rsidTr="00A241A2">
        <w:tc>
          <w:tcPr>
            <w:tcW w:w="4390" w:type="dxa"/>
            <w:tcBorders>
              <w:bottom w:val="single" w:sz="4" w:space="0" w:color="auto"/>
            </w:tcBorders>
            <w:vAlign w:val="center"/>
          </w:tcPr>
          <w:p w14:paraId="6B30F653" w14:textId="77777777" w:rsidR="00A241A2" w:rsidRPr="00AD7132" w:rsidRDefault="00A241A2" w:rsidP="00D1485E">
            <w:pPr>
              <w:bidi w:val="0"/>
              <w:spacing w:line="360" w:lineRule="auto"/>
              <w:rPr>
                <w:rFonts w:asciiTheme="minorHAnsi" w:hAnsiTheme="minorHAnsi" w:cstheme="minorHAnsi"/>
                <w:color w:val="FF0000"/>
              </w:rPr>
            </w:pPr>
            <w:r w:rsidRPr="00AD7132">
              <w:rPr>
                <w:rFonts w:asciiTheme="minorHAnsi" w:hAnsiTheme="minorHAnsi" w:cstheme="minorHAnsi"/>
                <w:color w:val="000000"/>
              </w:rPr>
              <w:t>Exports (excl. diamonds and startups)</w:t>
            </w:r>
          </w:p>
        </w:tc>
        <w:tc>
          <w:tcPr>
            <w:tcW w:w="850" w:type="dxa"/>
            <w:tcBorders>
              <w:bottom w:val="single" w:sz="4" w:space="0" w:color="auto"/>
            </w:tcBorders>
            <w:vAlign w:val="center"/>
          </w:tcPr>
          <w:p w14:paraId="5066C3F0" w14:textId="72FAAC14" w:rsidR="00A241A2" w:rsidRPr="00AD7132" w:rsidRDefault="00A47C9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5.7</w:t>
            </w:r>
          </w:p>
        </w:tc>
        <w:tc>
          <w:tcPr>
            <w:tcW w:w="851" w:type="dxa"/>
            <w:tcBorders>
              <w:left w:val="single" w:sz="4" w:space="0" w:color="auto"/>
              <w:bottom w:val="single" w:sz="4" w:space="0" w:color="auto"/>
              <w:right w:val="single" w:sz="4" w:space="0" w:color="auto"/>
            </w:tcBorders>
            <w:shd w:val="clear" w:color="auto" w:fill="auto"/>
            <w:vAlign w:val="center"/>
          </w:tcPr>
          <w:p w14:paraId="1177BCB6" w14:textId="06125569"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8.0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398F4286" w14:textId="3632676F"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2</w:t>
            </w:r>
            <w:r w:rsidR="00A241A2" w:rsidRPr="00AD7132">
              <w:rPr>
                <w:rFonts w:asciiTheme="minorHAnsi" w:hAnsiTheme="minorHAnsi" w:cstheme="minorHAnsi"/>
                <w:color w:val="000000"/>
              </w:rPr>
              <w:t>.</w:t>
            </w:r>
            <w:r w:rsidRPr="00AD7132">
              <w:rPr>
                <w:rFonts w:asciiTheme="minorHAnsi" w:hAnsiTheme="minorHAnsi" w:cstheme="minorHAnsi"/>
                <w:color w:val="000000"/>
              </w:rPr>
              <w:t>5</w:t>
            </w:r>
          </w:p>
        </w:tc>
        <w:tc>
          <w:tcPr>
            <w:tcW w:w="850" w:type="dxa"/>
            <w:tcBorders>
              <w:left w:val="nil"/>
              <w:bottom w:val="single" w:sz="4" w:space="0" w:color="auto"/>
              <w:right w:val="single" w:sz="4" w:space="0" w:color="auto"/>
            </w:tcBorders>
            <w:shd w:val="clear" w:color="auto" w:fill="auto"/>
            <w:vAlign w:val="bottom"/>
          </w:tcPr>
          <w:p w14:paraId="47F7CF31" w14:textId="3735CDA6"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7</w:t>
            </w:r>
            <w:r w:rsidR="00A241A2" w:rsidRPr="00AD7132">
              <w:rPr>
                <w:rFonts w:asciiTheme="minorHAnsi" w:hAnsiTheme="minorHAnsi" w:cstheme="minorHAnsi"/>
                <w:color w:val="000000"/>
              </w:rPr>
              <w:t>.0</w:t>
            </w:r>
          </w:p>
        </w:tc>
        <w:tc>
          <w:tcPr>
            <w:tcW w:w="993" w:type="dxa"/>
            <w:shd w:val="clear" w:color="auto" w:fill="B8CCE4" w:themeFill="accent1" w:themeFillTint="66"/>
            <w:vAlign w:val="center"/>
          </w:tcPr>
          <w:p w14:paraId="08D473B4" w14:textId="55257CB9"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-1</w:t>
            </w:r>
            <w:r w:rsidR="00A241A2" w:rsidRPr="00AD7132">
              <w:rPr>
                <w:rFonts w:asciiTheme="minorHAnsi" w:hAnsiTheme="minorHAnsi" w:cstheme="minorHAnsi"/>
              </w:rPr>
              <w:t>.0</w:t>
            </w:r>
          </w:p>
        </w:tc>
      </w:tr>
      <w:tr w:rsidR="00A241A2" w:rsidRPr="00AD7132" w14:paraId="570DE07D" w14:textId="77777777" w:rsidTr="00A241A2">
        <w:tc>
          <w:tcPr>
            <w:tcW w:w="4390" w:type="dxa"/>
            <w:tcBorders>
              <w:bottom w:val="nil"/>
            </w:tcBorders>
            <w:vAlign w:val="center"/>
          </w:tcPr>
          <w:p w14:paraId="2B0A4B90"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Civilian imports (excl. diamonds, ships, and aircraft)</w:t>
            </w:r>
          </w:p>
        </w:tc>
        <w:tc>
          <w:tcPr>
            <w:tcW w:w="850" w:type="dxa"/>
            <w:tcBorders>
              <w:bottom w:val="nil"/>
            </w:tcBorders>
            <w:vAlign w:val="center"/>
          </w:tcPr>
          <w:p w14:paraId="45018DD5" w14:textId="022B479D" w:rsidR="00A241A2" w:rsidRPr="00AD7132" w:rsidRDefault="00A47C9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8.8</w:t>
            </w:r>
          </w:p>
        </w:tc>
        <w:tc>
          <w:tcPr>
            <w:tcW w:w="851" w:type="dxa"/>
            <w:tcBorders>
              <w:left w:val="single" w:sz="4" w:space="0" w:color="auto"/>
              <w:bottom w:val="nil"/>
              <w:right w:val="single" w:sz="4" w:space="0" w:color="auto"/>
            </w:tcBorders>
            <w:shd w:val="clear" w:color="auto" w:fill="auto"/>
            <w:vAlign w:val="center"/>
          </w:tcPr>
          <w:p w14:paraId="67AAF8E5" w14:textId="1507C936"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10.</w:t>
            </w:r>
            <w:r w:rsidR="004A7599" w:rsidRPr="00AD7132">
              <w:rPr>
                <w:rFonts w:asciiTheme="minorHAnsi" w:hAnsiTheme="minorHAnsi" w:cstheme="minorHAnsi"/>
                <w:color w:val="000000"/>
              </w:rPr>
              <w:t>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251B6533" w14:textId="3E373B26"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0</w:t>
            </w:r>
            <w:r w:rsidR="004A7599" w:rsidRPr="00AD7132">
              <w:rPr>
                <w:rFonts w:asciiTheme="minorHAnsi" w:hAnsiTheme="minorHAnsi" w:cstheme="minorHAnsi"/>
                <w:color w:val="000000"/>
              </w:rPr>
              <w:t>.5</w:t>
            </w:r>
          </w:p>
        </w:tc>
        <w:tc>
          <w:tcPr>
            <w:tcW w:w="850" w:type="dxa"/>
            <w:tcBorders>
              <w:left w:val="nil"/>
              <w:bottom w:val="single" w:sz="4" w:space="0" w:color="auto"/>
              <w:right w:val="single" w:sz="4" w:space="0" w:color="auto"/>
            </w:tcBorders>
            <w:shd w:val="clear" w:color="auto" w:fill="auto"/>
            <w:vAlign w:val="bottom"/>
          </w:tcPr>
          <w:p w14:paraId="2706209B" w14:textId="124E694E"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5.5</w:t>
            </w:r>
          </w:p>
        </w:tc>
        <w:tc>
          <w:tcPr>
            <w:tcW w:w="993" w:type="dxa"/>
            <w:shd w:val="clear" w:color="auto" w:fill="B8CCE4" w:themeFill="accent1" w:themeFillTint="66"/>
            <w:vAlign w:val="center"/>
          </w:tcPr>
          <w:p w14:paraId="311DB44C" w14:textId="376786A2"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-6.</w:t>
            </w:r>
            <w:r w:rsidR="000E21F7" w:rsidRPr="00AD7132">
              <w:rPr>
                <w:rFonts w:asciiTheme="minorHAnsi" w:hAnsiTheme="minorHAnsi" w:cstheme="minorHAnsi"/>
              </w:rPr>
              <w:t>5</w:t>
            </w:r>
          </w:p>
        </w:tc>
      </w:tr>
      <w:tr w:rsidR="00A241A2" w:rsidRPr="00AD7132" w14:paraId="7F55C636" w14:textId="77777777" w:rsidTr="00A241A2">
        <w:tc>
          <w:tcPr>
            <w:tcW w:w="4390" w:type="dxa"/>
            <w:tcBorders>
              <w:top w:val="single" w:sz="4" w:space="0" w:color="auto"/>
              <w:bottom w:val="single" w:sz="4" w:space="0" w:color="auto"/>
            </w:tcBorders>
            <w:vAlign w:val="center"/>
          </w:tcPr>
          <w:p w14:paraId="4A6A10BF"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Broad unemployment rate (average for the year, ages 25–64)</w:t>
            </w:r>
            <w:r w:rsidRPr="00AD7132">
              <w:rPr>
                <w:rFonts w:asciiTheme="minorHAnsi" w:hAnsiTheme="minorHAnsi" w:cstheme="minorHAnsi"/>
                <w:color w:val="000000"/>
                <w:vertAlign w:val="superscript"/>
              </w:rPr>
              <w:t>b</w:t>
            </w:r>
          </w:p>
        </w:tc>
        <w:tc>
          <w:tcPr>
            <w:tcW w:w="850" w:type="dxa"/>
            <w:tcBorders>
              <w:top w:val="single" w:sz="4" w:space="0" w:color="auto"/>
              <w:bottom w:val="single" w:sz="4" w:space="0" w:color="auto"/>
            </w:tcBorders>
            <w:vAlign w:val="center"/>
          </w:tcPr>
          <w:p w14:paraId="62115A75" w14:textId="6F0C5A9D" w:rsidR="00A241A2" w:rsidRPr="00AD7132" w:rsidRDefault="00A241A2" w:rsidP="00D1485E">
            <w:pPr>
              <w:bidi w:val="0"/>
              <w:spacing w:line="360" w:lineRule="auto"/>
              <w:jc w:val="center"/>
              <w:rPr>
                <w:rFonts w:asciiTheme="minorHAnsi" w:hAnsiTheme="minorHAnsi" w:cstheme="minorHAnsi"/>
                <w:color w:val="000000"/>
                <w:rtl/>
              </w:rPr>
            </w:pPr>
            <w:r w:rsidRPr="00AD7132">
              <w:rPr>
                <w:rFonts w:asciiTheme="minorHAnsi" w:hAnsiTheme="minorHAnsi" w:cstheme="minorHAnsi"/>
                <w:color w:val="000000"/>
              </w:rPr>
              <w:t>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C829FF" w14:textId="48238F68"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4.</w:t>
            </w:r>
            <w:r w:rsidR="004A7599" w:rsidRPr="00AD7132">
              <w:rPr>
                <w:rFonts w:asciiTheme="minorHAnsi" w:hAnsiTheme="minorHAnsi" w:cstheme="minorHAnsi"/>
                <w:color w:val="000000"/>
              </w:rPr>
              <w:t>6</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00043" w14:textId="6EC45063"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0.</w:t>
            </w:r>
            <w:r w:rsidR="00A241A2" w:rsidRPr="00AD7132">
              <w:rPr>
                <w:rFonts w:asciiTheme="minorHAnsi" w:hAnsiTheme="minorHAnsi" w:cstheme="minorHAnsi"/>
                <w:color w:val="000000"/>
              </w:rPr>
              <w:t>1</w:t>
            </w:r>
          </w:p>
        </w:tc>
        <w:tc>
          <w:tcPr>
            <w:tcW w:w="850" w:type="dxa"/>
            <w:tcBorders>
              <w:top w:val="single" w:sz="4" w:space="0" w:color="auto"/>
              <w:left w:val="nil"/>
              <w:bottom w:val="single" w:sz="4" w:space="0" w:color="auto"/>
              <w:right w:val="single" w:sz="4" w:space="0" w:color="auto"/>
            </w:tcBorders>
            <w:shd w:val="clear" w:color="auto" w:fill="auto"/>
            <w:vAlign w:val="bottom"/>
          </w:tcPr>
          <w:p w14:paraId="4B17085E" w14:textId="39586D8E"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3.</w:t>
            </w:r>
            <w:r w:rsidR="004A7599" w:rsidRPr="00AD7132">
              <w:rPr>
                <w:rFonts w:asciiTheme="minorHAnsi" w:hAnsiTheme="minorHAnsi" w:cstheme="minorHAnsi"/>
                <w:color w:val="000000"/>
              </w:rPr>
              <w:t>0</w:t>
            </w:r>
          </w:p>
        </w:tc>
        <w:tc>
          <w:tcPr>
            <w:tcW w:w="993" w:type="dxa"/>
            <w:shd w:val="clear" w:color="auto" w:fill="B8CCE4" w:themeFill="accent1" w:themeFillTint="66"/>
            <w:vAlign w:val="center"/>
          </w:tcPr>
          <w:p w14:paraId="4DA8EC11" w14:textId="01A11D02"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rPr>
              <w:t>-0.</w:t>
            </w:r>
            <w:r w:rsidR="004A7599" w:rsidRPr="00AD7132">
              <w:rPr>
                <w:rFonts w:asciiTheme="minorHAnsi" w:hAnsiTheme="minorHAnsi" w:cstheme="minorHAnsi"/>
              </w:rPr>
              <w:t>4</w:t>
            </w:r>
          </w:p>
        </w:tc>
      </w:tr>
      <w:tr w:rsidR="00A241A2" w:rsidRPr="00AD7132" w14:paraId="1EE51633" w14:textId="77777777" w:rsidTr="00A241A2">
        <w:tc>
          <w:tcPr>
            <w:tcW w:w="4390" w:type="dxa"/>
            <w:tcBorders>
              <w:top w:val="single" w:sz="4" w:space="0" w:color="auto"/>
              <w:bottom w:val="single" w:sz="4" w:space="0" w:color="auto"/>
            </w:tcBorders>
            <w:vAlign w:val="center"/>
          </w:tcPr>
          <w:p w14:paraId="18A211E3"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lastRenderedPageBreak/>
              <w:t>Adjusted employment rate (average for the year, ages 25–64)</w:t>
            </w:r>
            <w:r w:rsidRPr="00AD7132">
              <w:rPr>
                <w:rFonts w:asciiTheme="minorHAnsi" w:hAnsiTheme="minorHAnsi" w:cstheme="minorHAnsi"/>
                <w:color w:val="000000"/>
                <w:vertAlign w:val="superscript"/>
              </w:rPr>
              <w:t>b</w:t>
            </w:r>
          </w:p>
        </w:tc>
        <w:tc>
          <w:tcPr>
            <w:tcW w:w="850" w:type="dxa"/>
            <w:tcBorders>
              <w:top w:val="single" w:sz="4" w:space="0" w:color="auto"/>
              <w:bottom w:val="single" w:sz="4" w:space="0" w:color="auto"/>
            </w:tcBorders>
            <w:vAlign w:val="center"/>
          </w:tcPr>
          <w:p w14:paraId="1C94E624" w14:textId="62DC4ED4"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78.2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4DC128" w14:textId="0C990C36"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77.</w:t>
            </w:r>
            <w:r w:rsidR="004A7599" w:rsidRPr="00AD7132">
              <w:rPr>
                <w:rFonts w:asciiTheme="minorHAnsi" w:hAnsiTheme="minorHAnsi" w:cstheme="minorHAnsi"/>
                <w:color w:val="000000"/>
              </w:rPr>
              <w:t>4</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7D959" w14:textId="0D96A5BB"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w:t>
            </w:r>
            <w:r w:rsidR="004A7599" w:rsidRPr="00AD7132">
              <w:rPr>
                <w:rFonts w:asciiTheme="minorHAnsi" w:hAnsiTheme="minorHAnsi" w:cstheme="minorHAnsi"/>
                <w:color w:val="000000"/>
              </w:rPr>
              <w:t>0.1</w:t>
            </w:r>
          </w:p>
        </w:tc>
        <w:tc>
          <w:tcPr>
            <w:tcW w:w="850" w:type="dxa"/>
            <w:tcBorders>
              <w:top w:val="single" w:sz="4" w:space="0" w:color="auto"/>
              <w:left w:val="nil"/>
              <w:bottom w:val="single" w:sz="4" w:space="0" w:color="auto"/>
              <w:right w:val="single" w:sz="4" w:space="0" w:color="auto"/>
            </w:tcBorders>
            <w:shd w:val="clear" w:color="auto" w:fill="auto"/>
            <w:vAlign w:val="bottom"/>
          </w:tcPr>
          <w:p w14:paraId="6B59FF8D" w14:textId="218B2D96"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7</w:t>
            </w:r>
            <w:r w:rsidR="004A7599" w:rsidRPr="00AD7132">
              <w:rPr>
                <w:rFonts w:asciiTheme="minorHAnsi" w:hAnsiTheme="minorHAnsi" w:cstheme="minorHAnsi"/>
                <w:color w:val="000000"/>
              </w:rPr>
              <w:t>9.0</w:t>
            </w:r>
          </w:p>
        </w:tc>
        <w:tc>
          <w:tcPr>
            <w:tcW w:w="993" w:type="dxa"/>
            <w:shd w:val="clear" w:color="auto" w:fill="B8CCE4" w:themeFill="accent1" w:themeFillTint="66"/>
            <w:vAlign w:val="center"/>
          </w:tcPr>
          <w:p w14:paraId="76ADA45A" w14:textId="7D63ACCE" w:rsidR="00A241A2" w:rsidRPr="00AD7132" w:rsidRDefault="004A7599" w:rsidP="00D1485E">
            <w:pPr>
              <w:bidi w:val="0"/>
              <w:spacing w:line="360" w:lineRule="auto"/>
              <w:jc w:val="center"/>
              <w:rPr>
                <w:rFonts w:asciiTheme="minorHAnsi" w:hAnsiTheme="minorHAnsi" w:cstheme="minorHAnsi"/>
                <w:rtl/>
              </w:rPr>
            </w:pPr>
            <w:r w:rsidRPr="00AD7132">
              <w:rPr>
                <w:rFonts w:asciiTheme="minorHAnsi" w:hAnsiTheme="minorHAnsi" w:cstheme="minorHAnsi"/>
              </w:rPr>
              <w:t>0.4</w:t>
            </w:r>
          </w:p>
        </w:tc>
      </w:tr>
      <w:tr w:rsidR="00A241A2" w:rsidRPr="00AD7132" w14:paraId="0483E331" w14:textId="77777777" w:rsidTr="00A241A2">
        <w:tc>
          <w:tcPr>
            <w:tcW w:w="4390" w:type="dxa"/>
            <w:tcBorders>
              <w:top w:val="single" w:sz="4" w:space="0" w:color="auto"/>
              <w:bottom w:val="single" w:sz="4" w:space="0" w:color="auto"/>
            </w:tcBorders>
            <w:vAlign w:val="center"/>
          </w:tcPr>
          <w:p w14:paraId="55916CC8" w14:textId="77777777" w:rsidR="00A241A2" w:rsidRPr="00AD7132" w:rsidRDefault="00A241A2" w:rsidP="00D1485E">
            <w:pPr>
              <w:bidi w:val="0"/>
              <w:spacing w:line="360" w:lineRule="auto"/>
              <w:rPr>
                <w:rFonts w:asciiTheme="minorHAnsi" w:hAnsiTheme="minorHAnsi" w:cstheme="minorHAnsi"/>
                <w:rtl/>
              </w:rPr>
            </w:pPr>
            <w:r w:rsidRPr="00AD7132">
              <w:rPr>
                <w:rFonts w:asciiTheme="minorHAnsi" w:hAnsiTheme="minorHAnsi" w:cstheme="minorHAnsi"/>
                <w:color w:val="000000"/>
              </w:rPr>
              <w:t>Government deficit (percent of GDP)</w:t>
            </w:r>
          </w:p>
        </w:tc>
        <w:tc>
          <w:tcPr>
            <w:tcW w:w="850" w:type="dxa"/>
            <w:tcBorders>
              <w:top w:val="single" w:sz="4" w:space="0" w:color="auto"/>
              <w:bottom w:val="single" w:sz="4" w:space="0" w:color="auto"/>
            </w:tcBorders>
            <w:vAlign w:val="center"/>
          </w:tcPr>
          <w:p w14:paraId="47070EB8" w14:textId="129F45E0"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CC8F6B" w14:textId="1105B157"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4.9</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6EF42" w14:textId="511B3662"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-0</w:t>
            </w:r>
            <w:r w:rsidR="00A241A2" w:rsidRPr="00AD7132">
              <w:rPr>
                <w:rFonts w:asciiTheme="minorHAnsi" w:hAnsiTheme="minorHAnsi" w:cstheme="minorHAnsi"/>
                <w:color w:val="000000"/>
              </w:rPr>
              <w:t>.4</w:t>
            </w:r>
          </w:p>
        </w:tc>
        <w:tc>
          <w:tcPr>
            <w:tcW w:w="850" w:type="dxa"/>
            <w:tcBorders>
              <w:top w:val="single" w:sz="4" w:space="0" w:color="auto"/>
              <w:left w:val="nil"/>
              <w:bottom w:val="single" w:sz="4" w:space="0" w:color="auto"/>
              <w:right w:val="single" w:sz="4" w:space="0" w:color="auto"/>
            </w:tcBorders>
            <w:shd w:val="clear" w:color="auto" w:fill="auto"/>
            <w:vAlign w:val="bottom"/>
          </w:tcPr>
          <w:p w14:paraId="2D35ACB1" w14:textId="6C082F7E"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4.</w:t>
            </w:r>
            <w:r w:rsidR="003373DB" w:rsidRPr="00AD7132">
              <w:rPr>
                <w:rFonts w:asciiTheme="minorHAnsi" w:hAnsiTheme="minorHAnsi" w:cstheme="minorHAnsi"/>
                <w:color w:val="000000"/>
                <w:rtl/>
              </w:rPr>
              <w:t>2</w:t>
            </w:r>
          </w:p>
        </w:tc>
        <w:tc>
          <w:tcPr>
            <w:tcW w:w="993" w:type="dxa"/>
            <w:shd w:val="clear" w:color="auto" w:fill="B8CCE4" w:themeFill="accent1" w:themeFillTint="66"/>
            <w:vAlign w:val="center"/>
          </w:tcPr>
          <w:p w14:paraId="7F2EC37C" w14:textId="1638FD31" w:rsidR="00A241A2" w:rsidRPr="00AD7132" w:rsidRDefault="003373DB" w:rsidP="00D1485E">
            <w:pPr>
              <w:bidi w:val="0"/>
              <w:spacing w:line="360" w:lineRule="auto"/>
              <w:jc w:val="center"/>
              <w:rPr>
                <w:rFonts w:asciiTheme="minorHAnsi" w:hAnsiTheme="minorHAnsi" w:cstheme="minorHAnsi"/>
              </w:rPr>
            </w:pPr>
            <w:r w:rsidRPr="00AD7132">
              <w:rPr>
                <w:rFonts w:asciiTheme="minorHAnsi" w:hAnsiTheme="minorHAnsi" w:cstheme="minorHAnsi"/>
              </w:rPr>
              <w:t>-</w:t>
            </w:r>
            <w:r w:rsidR="00A241A2" w:rsidRPr="00AD7132">
              <w:rPr>
                <w:rFonts w:asciiTheme="minorHAnsi" w:hAnsiTheme="minorHAnsi" w:cstheme="minorHAnsi"/>
              </w:rPr>
              <w:t>0.</w:t>
            </w:r>
            <w:r w:rsidRPr="00AD7132">
              <w:rPr>
                <w:rFonts w:asciiTheme="minorHAnsi" w:hAnsiTheme="minorHAnsi" w:cstheme="minorHAnsi"/>
              </w:rPr>
              <w:t>2</w:t>
            </w:r>
          </w:p>
        </w:tc>
      </w:tr>
      <w:tr w:rsidR="00A241A2" w:rsidRPr="00AD7132" w14:paraId="2A914462" w14:textId="77777777" w:rsidTr="00A241A2">
        <w:tc>
          <w:tcPr>
            <w:tcW w:w="4390" w:type="dxa"/>
            <w:tcBorders>
              <w:top w:val="single" w:sz="4" w:space="0" w:color="auto"/>
              <w:bottom w:val="single" w:sz="4" w:space="0" w:color="auto"/>
            </w:tcBorders>
            <w:vAlign w:val="center"/>
          </w:tcPr>
          <w:p w14:paraId="52AF7577"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Debt to GDP ratio (percent)</w:t>
            </w:r>
          </w:p>
        </w:tc>
        <w:tc>
          <w:tcPr>
            <w:tcW w:w="850" w:type="dxa"/>
            <w:tcBorders>
              <w:top w:val="single" w:sz="4" w:space="0" w:color="auto"/>
              <w:bottom w:val="single" w:sz="4" w:space="0" w:color="auto"/>
            </w:tcBorders>
            <w:vAlign w:val="center"/>
          </w:tcPr>
          <w:p w14:paraId="303A2595" w14:textId="765118FE"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08651" w14:textId="5F325E1C"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69.0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DAC51" w14:textId="4111DFE8"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-1.5</w:t>
            </w:r>
          </w:p>
        </w:tc>
        <w:tc>
          <w:tcPr>
            <w:tcW w:w="850" w:type="dxa"/>
            <w:tcBorders>
              <w:top w:val="single" w:sz="4" w:space="0" w:color="auto"/>
              <w:left w:val="nil"/>
              <w:bottom w:val="single" w:sz="4" w:space="0" w:color="auto"/>
              <w:right w:val="single" w:sz="4" w:space="0" w:color="auto"/>
            </w:tcBorders>
            <w:shd w:val="clear" w:color="auto" w:fill="auto"/>
            <w:vAlign w:val="bottom"/>
          </w:tcPr>
          <w:p w14:paraId="65F85F90" w14:textId="3D7DFB5A" w:rsidR="004A7599"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69.0</w:t>
            </w:r>
          </w:p>
        </w:tc>
        <w:tc>
          <w:tcPr>
            <w:tcW w:w="993" w:type="dxa"/>
            <w:shd w:val="clear" w:color="auto" w:fill="B8CCE4" w:themeFill="accent1" w:themeFillTint="66"/>
            <w:vAlign w:val="center"/>
          </w:tcPr>
          <w:p w14:paraId="047703BD" w14:textId="0B4AF06E" w:rsidR="00A241A2" w:rsidRPr="00AD7132" w:rsidRDefault="004A7599" w:rsidP="00D1485E">
            <w:pPr>
              <w:bidi w:val="0"/>
              <w:spacing w:line="360" w:lineRule="auto"/>
              <w:jc w:val="center"/>
              <w:rPr>
                <w:rFonts w:asciiTheme="minorHAnsi" w:hAnsiTheme="minorHAnsi" w:cstheme="minorHAnsi"/>
                <w:rtl/>
              </w:rPr>
            </w:pPr>
            <w:r w:rsidRPr="00AD7132">
              <w:rPr>
                <w:rFonts w:asciiTheme="minorHAnsi" w:hAnsiTheme="minorHAnsi" w:cstheme="minorHAnsi"/>
              </w:rPr>
              <w:t>-1.5</w:t>
            </w:r>
          </w:p>
        </w:tc>
      </w:tr>
      <w:tr w:rsidR="00A241A2" w:rsidRPr="00AD7132" w14:paraId="2F7F00F7" w14:textId="77777777" w:rsidTr="00A241A2">
        <w:tc>
          <w:tcPr>
            <w:tcW w:w="4390" w:type="dxa"/>
            <w:tcBorders>
              <w:top w:val="single" w:sz="4" w:space="0" w:color="auto"/>
              <w:bottom w:val="single" w:sz="4" w:space="0" w:color="auto"/>
            </w:tcBorders>
            <w:vAlign w:val="center"/>
          </w:tcPr>
          <w:p w14:paraId="21F91BA6" w14:textId="77777777" w:rsidR="00A241A2" w:rsidRPr="00AD7132" w:rsidRDefault="00A241A2" w:rsidP="00D1485E">
            <w:pPr>
              <w:bidi w:val="0"/>
              <w:spacing w:line="360" w:lineRule="auto"/>
              <w:rPr>
                <w:rFonts w:asciiTheme="minorHAnsi" w:hAnsiTheme="minorHAnsi" w:cstheme="minorHAnsi"/>
              </w:rPr>
            </w:pPr>
            <w:r w:rsidRPr="00AD7132">
              <w:rPr>
                <w:rFonts w:asciiTheme="minorHAnsi" w:hAnsiTheme="minorHAnsi" w:cstheme="minorHAnsi"/>
                <w:color w:val="000000"/>
              </w:rPr>
              <w:t>Inflation (percent)</w:t>
            </w:r>
            <w:r w:rsidRPr="00AD7132">
              <w:rPr>
                <w:rFonts w:asciiTheme="minorHAnsi" w:hAnsiTheme="minorHAnsi" w:cstheme="minorHAnsi"/>
                <w:color w:val="000000"/>
                <w:vertAlign w:val="superscript"/>
              </w:rPr>
              <w:t>c</w:t>
            </w:r>
          </w:p>
        </w:tc>
        <w:tc>
          <w:tcPr>
            <w:tcW w:w="850" w:type="dxa"/>
            <w:tcBorders>
              <w:top w:val="single" w:sz="4" w:space="0" w:color="auto"/>
              <w:bottom w:val="single" w:sz="4" w:space="0" w:color="auto"/>
            </w:tcBorders>
            <w:vAlign w:val="center"/>
          </w:tcPr>
          <w:p w14:paraId="6CA6840C" w14:textId="05EB6A7C" w:rsidR="00A241A2" w:rsidRPr="00AD7132" w:rsidRDefault="00A241A2" w:rsidP="00D1485E">
            <w:pPr>
              <w:bidi w:val="0"/>
              <w:spacing w:line="360" w:lineRule="auto"/>
              <w:jc w:val="center"/>
              <w:rPr>
                <w:rFonts w:asciiTheme="minorHAnsi" w:hAnsiTheme="minorHAnsi" w:cstheme="minorHAnsi"/>
                <w:color w:val="000000"/>
              </w:rPr>
            </w:pPr>
            <w:r w:rsidRPr="00AD7132">
              <w:rPr>
                <w:rFonts w:asciiTheme="minorHAnsi" w:hAnsiTheme="minorHAnsi" w:cstheme="minorHAnsi"/>
                <w:color w:val="00000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4AAE8" w14:textId="6DA65A33"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rPr>
              <w:t>1.8</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BD6B82" w14:textId="7FC42E96" w:rsidR="00A241A2" w:rsidRPr="00AD7132" w:rsidRDefault="004A7599" w:rsidP="00D1485E">
            <w:pPr>
              <w:bidi w:val="0"/>
              <w:spacing w:line="360" w:lineRule="auto"/>
              <w:jc w:val="center"/>
              <w:rPr>
                <w:rFonts w:asciiTheme="minorHAnsi" w:hAnsiTheme="minorHAnsi" w:cstheme="minorHAnsi"/>
              </w:rPr>
            </w:pPr>
            <w:r w:rsidRPr="00AD7132">
              <w:rPr>
                <w:rFonts w:asciiTheme="minorHAnsi" w:hAnsiTheme="minorHAnsi" w:cstheme="minorHAnsi"/>
                <w:color w:val="000000"/>
              </w:rPr>
              <w:t>-</w:t>
            </w:r>
            <w:r w:rsidR="00A241A2" w:rsidRPr="00AD7132">
              <w:rPr>
                <w:rFonts w:asciiTheme="minorHAnsi" w:hAnsiTheme="minorHAnsi" w:cstheme="minorHAnsi"/>
                <w:color w:val="000000"/>
              </w:rPr>
              <w:t>0.</w:t>
            </w:r>
            <w:r w:rsidRPr="00AD7132">
              <w:rPr>
                <w:rFonts w:asciiTheme="minorHAnsi" w:hAnsiTheme="minorHAnsi" w:cstheme="minorHAnsi"/>
                <w:color w:val="000000"/>
              </w:rPr>
              <w:t>4</w:t>
            </w:r>
          </w:p>
        </w:tc>
        <w:tc>
          <w:tcPr>
            <w:tcW w:w="850" w:type="dxa"/>
            <w:tcBorders>
              <w:top w:val="single" w:sz="4" w:space="0" w:color="auto"/>
              <w:left w:val="nil"/>
              <w:bottom w:val="single" w:sz="4" w:space="0" w:color="auto"/>
              <w:right w:val="single" w:sz="4" w:space="0" w:color="auto"/>
            </w:tcBorders>
            <w:shd w:val="clear" w:color="auto" w:fill="auto"/>
            <w:vAlign w:val="bottom"/>
          </w:tcPr>
          <w:p w14:paraId="75D24346" w14:textId="759179B3"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rPr>
              <w:t>1.8</w:t>
            </w:r>
          </w:p>
        </w:tc>
        <w:tc>
          <w:tcPr>
            <w:tcW w:w="993" w:type="dxa"/>
            <w:shd w:val="clear" w:color="auto" w:fill="B8CCE4" w:themeFill="accent1" w:themeFillTint="66"/>
            <w:vAlign w:val="center"/>
          </w:tcPr>
          <w:p w14:paraId="1E6BC799" w14:textId="6C958F75" w:rsidR="00A241A2" w:rsidRPr="00AD7132" w:rsidRDefault="00A241A2" w:rsidP="00D1485E">
            <w:pPr>
              <w:bidi w:val="0"/>
              <w:spacing w:line="360" w:lineRule="auto"/>
              <w:jc w:val="center"/>
              <w:rPr>
                <w:rFonts w:asciiTheme="minorHAnsi" w:hAnsiTheme="minorHAnsi" w:cstheme="minorHAnsi"/>
              </w:rPr>
            </w:pPr>
            <w:r w:rsidRPr="00AD7132">
              <w:rPr>
                <w:rFonts w:asciiTheme="minorHAnsi" w:hAnsiTheme="minorHAnsi" w:cstheme="minorHAnsi"/>
              </w:rPr>
              <w:t>-0.</w:t>
            </w:r>
            <w:r w:rsidR="004A7599" w:rsidRPr="00AD7132">
              <w:rPr>
                <w:rFonts w:asciiTheme="minorHAnsi" w:hAnsiTheme="minorHAnsi" w:cstheme="minorHAnsi"/>
              </w:rPr>
              <w:t>0</w:t>
            </w:r>
          </w:p>
        </w:tc>
      </w:tr>
      <w:tr w:rsidR="00A241A2" w:rsidRPr="00AD7132" w14:paraId="786A298B" w14:textId="77777777" w:rsidTr="009523FF">
        <w:tc>
          <w:tcPr>
            <w:tcW w:w="8926" w:type="dxa"/>
            <w:gridSpan w:val="6"/>
            <w:tcBorders>
              <w:top w:val="single" w:sz="4" w:space="0" w:color="auto"/>
              <w:bottom w:val="single" w:sz="4" w:space="0" w:color="auto"/>
            </w:tcBorders>
            <w:vAlign w:val="center"/>
          </w:tcPr>
          <w:p w14:paraId="712960FB" w14:textId="0A835929" w:rsidR="00A241A2" w:rsidRPr="00AD7132" w:rsidRDefault="00A241A2" w:rsidP="00D1485E">
            <w:pPr>
              <w:bidi w:val="0"/>
              <w:spacing w:line="360" w:lineRule="auto"/>
              <w:rPr>
                <w:rFonts w:asciiTheme="minorHAnsi" w:hAnsiTheme="minorHAnsi" w:cstheme="minorHAnsi"/>
              </w:rPr>
            </w:pPr>
            <w:proofErr w:type="spellStart"/>
            <w:proofErr w:type="gramStart"/>
            <w:r w:rsidRPr="00AD7132">
              <w:rPr>
                <w:rFonts w:asciiTheme="minorHAnsi" w:hAnsiTheme="minorHAnsi" w:cstheme="minorHAnsi"/>
                <w:vertAlign w:val="superscript"/>
              </w:rPr>
              <w:t>a</w:t>
            </w:r>
            <w:proofErr w:type="spellEnd"/>
            <w:proofErr w:type="gramEnd"/>
            <w:r w:rsidRPr="00AD7132">
              <w:rPr>
                <w:rFonts w:asciiTheme="minorHAnsi" w:hAnsiTheme="minorHAnsi" w:cstheme="minorHAnsi"/>
                <w:vertAlign w:val="superscript"/>
              </w:rPr>
              <w:t xml:space="preserve"> </w:t>
            </w:r>
            <w:r w:rsidRPr="00AD7132">
              <w:rPr>
                <w:rFonts w:asciiTheme="minorHAnsi" w:hAnsiTheme="minorHAnsi" w:cstheme="minorHAnsi"/>
              </w:rPr>
              <w:t>The forecasts of the National Accounts components and of public debt are rounded to the nearest half percentage point.</w:t>
            </w:r>
          </w:p>
          <w:p w14:paraId="5B7A778A" w14:textId="2BC4F581" w:rsidR="00A241A2" w:rsidRPr="00AD7132" w:rsidRDefault="00A241A2" w:rsidP="00D1485E">
            <w:pPr>
              <w:bidi w:val="0"/>
              <w:spacing w:line="360" w:lineRule="auto"/>
              <w:rPr>
                <w:rFonts w:asciiTheme="minorHAnsi" w:hAnsiTheme="minorHAnsi" w:cstheme="minorHAnsi"/>
              </w:rPr>
            </w:pPr>
            <w:proofErr w:type="gramStart"/>
            <w:r w:rsidRPr="00AD7132">
              <w:rPr>
                <w:rFonts w:asciiTheme="minorHAnsi" w:hAnsiTheme="minorHAnsi" w:cstheme="minorHAnsi"/>
                <w:vertAlign w:val="superscript"/>
              </w:rPr>
              <w:t>b</w:t>
            </w:r>
            <w:proofErr w:type="gramEnd"/>
            <w:r w:rsidRPr="00AD7132">
              <w:rPr>
                <w:rFonts w:asciiTheme="minorHAnsi" w:hAnsiTheme="minorHAnsi" w:cstheme="minorHAnsi"/>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w:t>
            </w:r>
            <w:r w:rsidR="000E21F7" w:rsidRPr="00AD7132">
              <w:rPr>
                <w:rFonts w:asciiTheme="minorHAnsi" w:hAnsiTheme="minorHAnsi" w:cstheme="minorHAnsi"/>
              </w:rPr>
              <w:t xml:space="preserve">  The forecast</w:t>
            </w:r>
            <w:r w:rsidR="004A7599" w:rsidRPr="00AD7132">
              <w:rPr>
                <w:rFonts w:asciiTheme="minorHAnsi" w:hAnsiTheme="minorHAnsi" w:cstheme="minorHAnsi"/>
              </w:rPr>
              <w:t xml:space="preserve"> average</w:t>
            </w:r>
            <w:r w:rsidR="000E21F7" w:rsidRPr="00AD7132">
              <w:rPr>
                <w:rFonts w:asciiTheme="minorHAnsi" w:hAnsiTheme="minorHAnsi" w:cstheme="minorHAnsi"/>
              </w:rPr>
              <w:t xml:space="preserve"> </w:t>
            </w:r>
            <w:r w:rsidR="004A7599" w:rsidRPr="00AD7132">
              <w:rPr>
                <w:rFonts w:asciiTheme="minorHAnsi" w:hAnsiTheme="minorHAnsi" w:cstheme="minorHAnsi"/>
              </w:rPr>
              <w:t>un</w:t>
            </w:r>
            <w:r w:rsidR="000E21F7" w:rsidRPr="00AD7132">
              <w:rPr>
                <w:rFonts w:asciiTheme="minorHAnsi" w:hAnsiTheme="minorHAnsi" w:cstheme="minorHAnsi"/>
              </w:rPr>
              <w:t>employment rate for 2026</w:t>
            </w:r>
            <w:r w:rsidR="004A7599" w:rsidRPr="00AD7132">
              <w:rPr>
                <w:rFonts w:asciiTheme="minorHAnsi" w:hAnsiTheme="minorHAnsi" w:cstheme="minorHAnsi"/>
              </w:rPr>
              <w:t xml:space="preserve"> </w:t>
            </w:r>
            <w:proofErr w:type="gramStart"/>
            <w:r w:rsidR="004A7599" w:rsidRPr="00AD7132">
              <w:rPr>
                <w:rFonts w:asciiTheme="minorHAnsi" w:hAnsiTheme="minorHAnsi" w:cstheme="minorHAnsi"/>
              </w:rPr>
              <w:t>is greatly affected</w:t>
            </w:r>
            <w:proofErr w:type="gramEnd"/>
            <w:r w:rsidR="004A7599" w:rsidRPr="00AD7132">
              <w:rPr>
                <w:rFonts w:asciiTheme="minorHAnsi" w:hAnsiTheme="minorHAnsi" w:cstheme="minorHAnsi"/>
              </w:rPr>
              <w:t xml:space="preserve"> by the months of combat against Iran</w:t>
            </w:r>
            <w:r w:rsidRPr="00AD7132">
              <w:rPr>
                <w:rFonts w:asciiTheme="minorHAnsi" w:hAnsiTheme="minorHAnsi" w:cstheme="minorHAnsi"/>
              </w:rPr>
              <w:t>.</w:t>
            </w:r>
            <w:r w:rsidR="004A7599" w:rsidRPr="00AD7132">
              <w:rPr>
                <w:rFonts w:asciiTheme="minorHAnsi" w:hAnsiTheme="minorHAnsi" w:cstheme="minorHAnsi"/>
              </w:rPr>
              <w:t xml:space="preserve">  In the second half of 2026, it </w:t>
            </w:r>
            <w:proofErr w:type="gramStart"/>
            <w:r w:rsidR="004A7599" w:rsidRPr="00AD7132">
              <w:rPr>
                <w:rFonts w:asciiTheme="minorHAnsi" w:hAnsiTheme="minorHAnsi" w:cstheme="minorHAnsi"/>
              </w:rPr>
              <w:t>is expected</w:t>
            </w:r>
            <w:proofErr w:type="gramEnd"/>
            <w:r w:rsidR="004A7599" w:rsidRPr="00AD7132">
              <w:rPr>
                <w:rFonts w:asciiTheme="minorHAnsi" w:hAnsiTheme="minorHAnsi" w:cstheme="minorHAnsi"/>
              </w:rPr>
              <w:t xml:space="preserve"> to be 3 percent on average.</w:t>
            </w:r>
          </w:p>
          <w:p w14:paraId="3B9C5B5F" w14:textId="0448DACE" w:rsidR="00A241A2" w:rsidRPr="00AD7132" w:rsidRDefault="00A241A2" w:rsidP="00D1485E">
            <w:pPr>
              <w:bidi w:val="0"/>
              <w:spacing w:line="360" w:lineRule="auto"/>
              <w:rPr>
                <w:rFonts w:asciiTheme="minorHAnsi" w:hAnsiTheme="minorHAnsi" w:cstheme="minorHAnsi"/>
              </w:rPr>
            </w:pPr>
            <w:proofErr w:type="gramStart"/>
            <w:r w:rsidRPr="00AD7132">
              <w:rPr>
                <w:rFonts w:asciiTheme="minorHAnsi" w:hAnsiTheme="minorHAnsi" w:cstheme="minorHAnsi"/>
                <w:vertAlign w:val="superscript"/>
              </w:rPr>
              <w:t>c</w:t>
            </w:r>
            <w:proofErr w:type="gramEnd"/>
            <w:r w:rsidRPr="00AD7132">
              <w:rPr>
                <w:rFonts w:asciiTheme="minorHAnsi" w:hAnsiTheme="minorHAnsi" w:cstheme="minorHAnsi"/>
              </w:rPr>
              <w:t xml:space="preserve"> The average of the Consumer Price Index in the last quarter of the year compared with the average in the last quarter of the previous year.</w:t>
            </w:r>
          </w:p>
        </w:tc>
      </w:tr>
    </w:tbl>
    <w:p w14:paraId="7E508D40" w14:textId="77777777" w:rsidR="00D52059" w:rsidRPr="00AD7132" w:rsidRDefault="00D52059" w:rsidP="00D1485E">
      <w:pPr>
        <w:bidi w:val="0"/>
        <w:spacing w:line="360" w:lineRule="auto"/>
        <w:jc w:val="both"/>
        <w:rPr>
          <w:rFonts w:asciiTheme="minorHAnsi" w:hAnsiTheme="minorHAnsi" w:cstheme="minorHAnsi"/>
        </w:rPr>
      </w:pPr>
    </w:p>
    <w:p w14:paraId="26E94EE2" w14:textId="77777777" w:rsidR="00A21D01" w:rsidRPr="00AD7132" w:rsidRDefault="00A21D01" w:rsidP="00D1485E">
      <w:pPr>
        <w:numPr>
          <w:ilvl w:val="0"/>
          <w:numId w:val="9"/>
        </w:numPr>
        <w:bidi w:val="0"/>
        <w:spacing w:line="360" w:lineRule="auto"/>
        <w:ind w:left="357" w:hanging="357"/>
        <w:jc w:val="both"/>
        <w:rPr>
          <w:rFonts w:asciiTheme="minorHAnsi" w:hAnsiTheme="minorHAnsi" w:cstheme="minorHAnsi"/>
          <w:b/>
          <w:bCs/>
        </w:rPr>
      </w:pPr>
      <w:r w:rsidRPr="00AD7132">
        <w:rPr>
          <w:rFonts w:asciiTheme="minorHAnsi" w:hAnsiTheme="minorHAnsi" w:cstheme="minorHAnsi"/>
          <w:b/>
          <w:bCs/>
        </w:rPr>
        <w:t>Real activity in Israel</w:t>
      </w:r>
    </w:p>
    <w:p w14:paraId="25C6EB8C" w14:textId="63E0EB94" w:rsidR="00A47C92" w:rsidRPr="00AD7132" w:rsidRDefault="00323260" w:rsidP="00D1485E">
      <w:pPr>
        <w:bidi w:val="0"/>
        <w:spacing w:line="360" w:lineRule="auto"/>
        <w:jc w:val="both"/>
        <w:rPr>
          <w:rFonts w:asciiTheme="minorHAnsi" w:hAnsiTheme="minorHAnsi" w:cstheme="minorHAnsi"/>
        </w:rPr>
      </w:pPr>
      <w:r w:rsidRPr="00AD7132">
        <w:rPr>
          <w:rFonts w:asciiTheme="minorHAnsi" w:hAnsiTheme="minorHAnsi" w:cstheme="minorHAnsi"/>
          <w:b/>
          <w:bCs/>
        </w:rPr>
        <w:t xml:space="preserve">GDP </w:t>
      </w:r>
      <w:r w:rsidR="00A241A2" w:rsidRPr="00AD7132">
        <w:rPr>
          <w:rFonts w:asciiTheme="minorHAnsi" w:hAnsiTheme="minorHAnsi" w:cstheme="minorHAnsi"/>
          <w:b/>
          <w:bCs/>
        </w:rPr>
        <w:t xml:space="preserve">is expected to </w:t>
      </w:r>
      <w:r w:rsidR="00AE6BBB" w:rsidRPr="00AD7132">
        <w:rPr>
          <w:rFonts w:asciiTheme="minorHAnsi" w:hAnsiTheme="minorHAnsi" w:cstheme="minorHAnsi"/>
          <w:b/>
          <w:bCs/>
        </w:rPr>
        <w:t>g</w:t>
      </w:r>
      <w:r w:rsidRPr="00AD7132">
        <w:rPr>
          <w:rFonts w:asciiTheme="minorHAnsi" w:hAnsiTheme="minorHAnsi" w:cstheme="minorHAnsi"/>
          <w:b/>
          <w:bCs/>
        </w:rPr>
        <w:t>r</w:t>
      </w:r>
      <w:r w:rsidR="00A241A2" w:rsidRPr="00AD7132">
        <w:rPr>
          <w:rFonts w:asciiTheme="minorHAnsi" w:hAnsiTheme="minorHAnsi" w:cstheme="minorHAnsi"/>
          <w:b/>
          <w:bCs/>
        </w:rPr>
        <w:t>ow</w:t>
      </w:r>
      <w:r w:rsidRPr="00AD7132">
        <w:rPr>
          <w:rFonts w:asciiTheme="minorHAnsi" w:hAnsiTheme="minorHAnsi" w:cstheme="minorHAnsi"/>
          <w:b/>
          <w:bCs/>
        </w:rPr>
        <w:t xml:space="preserve"> by </w:t>
      </w:r>
      <w:r w:rsidR="00A47C92" w:rsidRPr="00AD7132">
        <w:rPr>
          <w:rFonts w:asciiTheme="minorHAnsi" w:hAnsiTheme="minorHAnsi" w:cstheme="minorHAnsi"/>
          <w:b/>
          <w:bCs/>
        </w:rPr>
        <w:t>4.0</w:t>
      </w:r>
      <w:r w:rsidR="0055377E" w:rsidRPr="00AD7132">
        <w:rPr>
          <w:rFonts w:asciiTheme="minorHAnsi" w:hAnsiTheme="minorHAnsi" w:cstheme="minorHAnsi"/>
          <w:b/>
          <w:bCs/>
        </w:rPr>
        <w:t xml:space="preserve"> percent</w:t>
      </w:r>
      <w:r w:rsidR="00AE6BBB" w:rsidRPr="00AD7132">
        <w:rPr>
          <w:rFonts w:asciiTheme="minorHAnsi" w:hAnsiTheme="minorHAnsi" w:cstheme="minorHAnsi"/>
          <w:b/>
          <w:bCs/>
        </w:rPr>
        <w:t xml:space="preserve"> in</w:t>
      </w:r>
      <w:r w:rsidR="000003FE" w:rsidRPr="00AD7132">
        <w:rPr>
          <w:rFonts w:asciiTheme="minorHAnsi" w:hAnsiTheme="minorHAnsi" w:cstheme="minorHAnsi"/>
          <w:b/>
          <w:bCs/>
        </w:rPr>
        <w:t xml:space="preserve"> </w:t>
      </w:r>
      <w:proofErr w:type="gramStart"/>
      <w:r w:rsidR="000003FE" w:rsidRPr="00AD7132">
        <w:rPr>
          <w:rFonts w:asciiTheme="minorHAnsi" w:hAnsiTheme="minorHAnsi" w:cstheme="minorHAnsi"/>
          <w:b/>
          <w:bCs/>
        </w:rPr>
        <w:t>202</w:t>
      </w:r>
      <w:r w:rsidR="00A241A2" w:rsidRPr="00AD7132">
        <w:rPr>
          <w:rFonts w:asciiTheme="minorHAnsi" w:hAnsiTheme="minorHAnsi" w:cstheme="minorHAnsi"/>
          <w:b/>
          <w:bCs/>
        </w:rPr>
        <w:t>6</w:t>
      </w:r>
      <w:r w:rsidR="0045680E" w:rsidRPr="00AD7132">
        <w:rPr>
          <w:rFonts w:asciiTheme="minorHAnsi" w:hAnsiTheme="minorHAnsi" w:cstheme="minorHAnsi"/>
          <w:b/>
          <w:bCs/>
        </w:rPr>
        <w:t>,</w:t>
      </w:r>
      <w:proofErr w:type="gramEnd"/>
      <w:r w:rsidR="00AE6BBB" w:rsidRPr="00AD7132">
        <w:rPr>
          <w:rFonts w:asciiTheme="minorHAnsi" w:hAnsiTheme="minorHAnsi" w:cstheme="minorHAnsi"/>
          <w:b/>
          <w:bCs/>
        </w:rPr>
        <w:t xml:space="preserve"> </w:t>
      </w:r>
      <w:r w:rsidR="00A241A2" w:rsidRPr="00AD7132">
        <w:rPr>
          <w:rFonts w:asciiTheme="minorHAnsi" w:hAnsiTheme="minorHAnsi" w:cstheme="minorHAnsi"/>
          <w:b/>
          <w:bCs/>
        </w:rPr>
        <w:t>and</w:t>
      </w:r>
      <w:r w:rsidR="00AE6BBB" w:rsidRPr="00AD7132">
        <w:rPr>
          <w:rFonts w:asciiTheme="minorHAnsi" w:hAnsiTheme="minorHAnsi" w:cstheme="minorHAnsi"/>
          <w:b/>
          <w:bCs/>
        </w:rPr>
        <w:t xml:space="preserve"> by </w:t>
      </w:r>
      <w:r w:rsidR="0045680E" w:rsidRPr="00AD7132">
        <w:rPr>
          <w:rFonts w:asciiTheme="minorHAnsi" w:hAnsiTheme="minorHAnsi" w:cstheme="minorHAnsi"/>
          <w:b/>
          <w:bCs/>
        </w:rPr>
        <w:t>5.</w:t>
      </w:r>
      <w:r w:rsidR="00A241A2" w:rsidRPr="00AD7132">
        <w:rPr>
          <w:rFonts w:asciiTheme="minorHAnsi" w:hAnsiTheme="minorHAnsi" w:cstheme="minorHAnsi"/>
          <w:b/>
          <w:bCs/>
        </w:rPr>
        <w:t>5</w:t>
      </w:r>
      <w:r w:rsidR="00AE6BBB" w:rsidRPr="00AD7132">
        <w:rPr>
          <w:rFonts w:asciiTheme="minorHAnsi" w:hAnsiTheme="minorHAnsi" w:cstheme="minorHAnsi"/>
          <w:b/>
          <w:bCs/>
        </w:rPr>
        <w:t xml:space="preserve"> percent in 202</w:t>
      </w:r>
      <w:r w:rsidR="00A241A2" w:rsidRPr="00AD7132">
        <w:rPr>
          <w:rFonts w:asciiTheme="minorHAnsi" w:hAnsiTheme="minorHAnsi" w:cstheme="minorHAnsi"/>
          <w:b/>
          <w:bCs/>
        </w:rPr>
        <w:t>7</w:t>
      </w:r>
      <w:r w:rsidR="00AE6BBB" w:rsidRPr="00AD7132">
        <w:rPr>
          <w:rFonts w:asciiTheme="minorHAnsi" w:hAnsiTheme="minorHAnsi" w:cstheme="minorHAnsi"/>
          <w:b/>
          <w:bCs/>
        </w:rPr>
        <w:t xml:space="preserve"> </w:t>
      </w:r>
      <w:r w:rsidR="00AE6BBB" w:rsidRPr="00AD7132">
        <w:rPr>
          <w:rFonts w:asciiTheme="minorHAnsi" w:hAnsiTheme="minorHAnsi" w:cstheme="minorHAnsi"/>
        </w:rPr>
        <w:t>(Table 1)</w:t>
      </w:r>
      <w:r w:rsidR="00226664" w:rsidRPr="00AD7132">
        <w:rPr>
          <w:rFonts w:asciiTheme="minorHAnsi" w:hAnsiTheme="minorHAnsi" w:cstheme="minorHAnsi"/>
        </w:rPr>
        <w:t>.</w:t>
      </w:r>
      <w:r w:rsidR="0045680E" w:rsidRPr="00AD7132">
        <w:rPr>
          <w:rFonts w:asciiTheme="minorHAnsi" w:hAnsiTheme="minorHAnsi" w:cstheme="minorHAnsi"/>
        </w:rPr>
        <w:t xml:space="preserve"> </w:t>
      </w:r>
      <w:r w:rsidR="00A241A2" w:rsidRPr="00AD7132">
        <w:rPr>
          <w:rFonts w:asciiTheme="minorHAnsi" w:hAnsiTheme="minorHAnsi" w:cstheme="minorHAnsi"/>
        </w:rPr>
        <w:t>The</w:t>
      </w:r>
      <w:r w:rsidR="00A47C92" w:rsidRPr="00AD7132">
        <w:rPr>
          <w:rFonts w:asciiTheme="minorHAnsi" w:hAnsiTheme="minorHAnsi" w:cstheme="minorHAnsi"/>
        </w:rPr>
        <w:t xml:space="preserve"> upward revision relative to the previous forecast (growth in 2026 of 3.8 percent) mainly reflects the impact of National Accounts data for the first quarter, which were higher than our assessment in the March forecast.  The release of reservists and their return to employment</w:t>
      </w:r>
      <w:r w:rsidR="005D65A1" w:rsidRPr="00AD7132">
        <w:rPr>
          <w:rFonts w:asciiTheme="minorHAnsi" w:hAnsiTheme="minorHAnsi" w:cstheme="minorHAnsi"/>
        </w:rPr>
        <w:t xml:space="preserve"> are</w:t>
      </w:r>
      <w:r w:rsidR="00A47C92" w:rsidRPr="00AD7132">
        <w:rPr>
          <w:rFonts w:asciiTheme="minorHAnsi" w:hAnsiTheme="minorHAnsi" w:cstheme="minorHAnsi"/>
        </w:rPr>
        <w:t xml:space="preserve"> easing the supply constraints.  Our assessment is that GDP will gradually converge toward the trend, but even at the end of the forecast horizon, at the end of 2027, GDP will remain below the trend line since the supply of workers </w:t>
      </w:r>
      <w:proofErr w:type="gramStart"/>
      <w:r w:rsidR="00A47C92" w:rsidRPr="00AD7132">
        <w:rPr>
          <w:rFonts w:asciiTheme="minorHAnsi" w:hAnsiTheme="minorHAnsi" w:cstheme="minorHAnsi"/>
        </w:rPr>
        <w:t>is still expected</w:t>
      </w:r>
      <w:proofErr w:type="gramEnd"/>
      <w:r w:rsidR="00A47C92" w:rsidRPr="00AD7132">
        <w:rPr>
          <w:rFonts w:asciiTheme="minorHAnsi" w:hAnsiTheme="minorHAnsi" w:cstheme="minorHAnsi"/>
        </w:rPr>
        <w:t xml:space="preserve"> to be lower than the level derived from the prewar trend. This is due to a higher volume of reserve duty than in the past, some of those harmed </w:t>
      </w:r>
      <w:r w:rsidR="00911B78" w:rsidRPr="00AD7132">
        <w:rPr>
          <w:rFonts w:asciiTheme="minorHAnsi" w:hAnsiTheme="minorHAnsi" w:cstheme="minorHAnsi"/>
        </w:rPr>
        <w:t>by</w:t>
      </w:r>
      <w:r w:rsidR="00A47C92" w:rsidRPr="00AD7132">
        <w:rPr>
          <w:rFonts w:asciiTheme="minorHAnsi" w:hAnsiTheme="minorHAnsi" w:cstheme="minorHAnsi"/>
        </w:rPr>
        <w:t xml:space="preserve"> the war remaining outside the labor market, and a negative migration balance.  In view of the expected easing of the supply constraint and decline in the interest rate environment, private consumption is expected to expand by 3.0 percent in 2026, and by an accelerated rate of 6.5 percent in 2027.  Investments in the economy </w:t>
      </w:r>
      <w:proofErr w:type="gramStart"/>
      <w:r w:rsidR="00A47C92" w:rsidRPr="00AD7132">
        <w:rPr>
          <w:rFonts w:asciiTheme="minorHAnsi" w:hAnsiTheme="minorHAnsi" w:cstheme="minorHAnsi"/>
        </w:rPr>
        <w:t>are expected</w:t>
      </w:r>
      <w:proofErr w:type="gramEnd"/>
      <w:r w:rsidR="00A47C92" w:rsidRPr="00AD7132">
        <w:rPr>
          <w:rFonts w:asciiTheme="minorHAnsi" w:hAnsiTheme="minorHAnsi" w:cstheme="minorHAnsi"/>
        </w:rPr>
        <w:t xml:space="preserve"> to grow rapidly</w:t>
      </w:r>
      <w:r w:rsidR="00642845" w:rsidRPr="00AD7132">
        <w:rPr>
          <w:rFonts w:asciiTheme="minorHAnsi" w:hAnsiTheme="minorHAnsi" w:cstheme="minorHAnsi"/>
        </w:rPr>
        <w:t xml:space="preserve"> and to close the gaps in the stock of capital that were created in the business </w:t>
      </w:r>
      <w:r w:rsidR="00642845" w:rsidRPr="00AD7132">
        <w:rPr>
          <w:rFonts w:asciiTheme="minorHAnsi" w:hAnsiTheme="minorHAnsi" w:cstheme="minorHAnsi"/>
        </w:rPr>
        <w:lastRenderedPageBreak/>
        <w:t xml:space="preserve">sector and in the housing market.  This process </w:t>
      </w:r>
      <w:proofErr w:type="gramStart"/>
      <w:r w:rsidR="00642845" w:rsidRPr="00AD7132">
        <w:rPr>
          <w:rFonts w:asciiTheme="minorHAnsi" w:hAnsiTheme="minorHAnsi" w:cstheme="minorHAnsi"/>
        </w:rPr>
        <w:t>is supported</w:t>
      </w:r>
      <w:proofErr w:type="gramEnd"/>
      <w:r w:rsidR="00642845" w:rsidRPr="00AD7132">
        <w:rPr>
          <w:rFonts w:asciiTheme="minorHAnsi" w:hAnsiTheme="minorHAnsi" w:cstheme="minorHAnsi"/>
        </w:rPr>
        <w:t xml:space="preserve"> by the recovery in the construction industry with the return of the number of workers to its prewar level, and through increased investment in machinery and equipment.  The downward revision in the forecast of investment in 2027 reflects the assessment regarding the more gradual spread of recovery in investment, such that it </w:t>
      </w:r>
      <w:proofErr w:type="gramStart"/>
      <w:r w:rsidR="00642845" w:rsidRPr="00AD7132">
        <w:rPr>
          <w:rFonts w:asciiTheme="minorHAnsi" w:hAnsiTheme="minorHAnsi" w:cstheme="minorHAnsi"/>
        </w:rPr>
        <w:t>is expected</w:t>
      </w:r>
      <w:proofErr w:type="gramEnd"/>
      <w:r w:rsidR="00642845" w:rsidRPr="00AD7132">
        <w:rPr>
          <w:rFonts w:asciiTheme="minorHAnsi" w:hAnsiTheme="minorHAnsi" w:cstheme="minorHAnsi"/>
        </w:rPr>
        <w:t xml:space="preserve"> to continue beyond the forecast horizon.  The revision of the forecast of imports was in line with that of investment needs, which are import-intensive.  Thus, in our assessment, the decline in </w:t>
      </w:r>
      <w:r w:rsidR="005D65A1" w:rsidRPr="00AD7132">
        <w:rPr>
          <w:rFonts w:asciiTheme="minorHAnsi" w:hAnsiTheme="minorHAnsi" w:cstheme="minorHAnsi"/>
        </w:rPr>
        <w:t>net</w:t>
      </w:r>
      <w:r w:rsidR="00642845" w:rsidRPr="00AD7132">
        <w:rPr>
          <w:rFonts w:asciiTheme="minorHAnsi" w:hAnsiTheme="minorHAnsi" w:cstheme="minorHAnsi"/>
        </w:rPr>
        <w:t xml:space="preserve"> exports that </w:t>
      </w:r>
      <w:proofErr w:type="gramStart"/>
      <w:r w:rsidR="00642845" w:rsidRPr="00AD7132">
        <w:rPr>
          <w:rFonts w:asciiTheme="minorHAnsi" w:hAnsiTheme="minorHAnsi" w:cstheme="minorHAnsi"/>
        </w:rPr>
        <w:t>was observed</w:t>
      </w:r>
      <w:proofErr w:type="gramEnd"/>
      <w:r w:rsidR="00642845" w:rsidRPr="00AD7132">
        <w:rPr>
          <w:rFonts w:asciiTheme="minorHAnsi" w:hAnsiTheme="minorHAnsi" w:cstheme="minorHAnsi"/>
        </w:rPr>
        <w:t xml:space="preserve"> during 2025 will moderate during the forecast horizon, in a way that reconciles with the easing of the supply constraint.  The increase in public consumption </w:t>
      </w:r>
      <w:proofErr w:type="gramStart"/>
      <w:r w:rsidR="00642845" w:rsidRPr="00AD7132">
        <w:rPr>
          <w:rFonts w:asciiTheme="minorHAnsi" w:hAnsiTheme="minorHAnsi" w:cstheme="minorHAnsi"/>
        </w:rPr>
        <w:t>is expected</w:t>
      </w:r>
      <w:proofErr w:type="gramEnd"/>
      <w:r w:rsidR="00642845" w:rsidRPr="00AD7132">
        <w:rPr>
          <w:rFonts w:asciiTheme="minorHAnsi" w:hAnsiTheme="minorHAnsi" w:cstheme="minorHAnsi"/>
        </w:rPr>
        <w:t xml:space="preserve"> to moderate, after two years of high costs related to the war, with a change in the mix in favor of civilian expenditures and moderation in the prices of public consumption due to the decline in the volume of wage payments to reservists.</w:t>
      </w:r>
    </w:p>
    <w:p w14:paraId="689EA2E3" w14:textId="362DDE72" w:rsidR="00642845" w:rsidRPr="00AD7132" w:rsidRDefault="00642845" w:rsidP="00D1485E">
      <w:pPr>
        <w:bidi w:val="0"/>
        <w:spacing w:line="360" w:lineRule="auto"/>
        <w:jc w:val="both"/>
        <w:rPr>
          <w:rFonts w:asciiTheme="minorHAnsi" w:hAnsiTheme="minorHAnsi" w:cstheme="minorHAnsi"/>
        </w:rPr>
      </w:pPr>
    </w:p>
    <w:p w14:paraId="18BB7FC0" w14:textId="73A294D6" w:rsidR="00642845" w:rsidRPr="00AD7132" w:rsidRDefault="00642845" w:rsidP="00D1485E">
      <w:pPr>
        <w:bidi w:val="0"/>
        <w:spacing w:line="360" w:lineRule="auto"/>
        <w:jc w:val="both"/>
        <w:rPr>
          <w:rFonts w:asciiTheme="minorHAnsi" w:hAnsiTheme="minorHAnsi" w:cstheme="minorHAnsi"/>
        </w:rPr>
      </w:pPr>
      <w:r w:rsidRPr="00AD7132">
        <w:rPr>
          <w:rFonts w:asciiTheme="minorHAnsi" w:hAnsiTheme="minorHAnsi" w:cstheme="minorHAnsi"/>
        </w:rPr>
        <w:t xml:space="preserve">In the labor market, the broad unemployment rate </w:t>
      </w:r>
      <w:proofErr w:type="gramStart"/>
      <w:r w:rsidRPr="00AD7132">
        <w:rPr>
          <w:rFonts w:asciiTheme="minorHAnsi" w:hAnsiTheme="minorHAnsi" w:cstheme="minorHAnsi"/>
        </w:rPr>
        <w:t>is expected</w:t>
      </w:r>
      <w:proofErr w:type="gramEnd"/>
      <w:r w:rsidRPr="00AD7132">
        <w:rPr>
          <w:rFonts w:asciiTheme="minorHAnsi" w:hAnsiTheme="minorHAnsi" w:cstheme="minorHAnsi"/>
        </w:rPr>
        <w:t xml:space="preserve"> to be 4.6 percent on average in 2026, mainly due to the sharp increase during the fighting with Iran, and to stabilize in the second half of the year at 3.0 percent.  The adjusted employment rate </w:t>
      </w:r>
      <w:proofErr w:type="gramStart"/>
      <w:r w:rsidRPr="00AD7132">
        <w:rPr>
          <w:rFonts w:asciiTheme="minorHAnsi" w:hAnsiTheme="minorHAnsi" w:cstheme="minorHAnsi"/>
        </w:rPr>
        <w:t>is expected</w:t>
      </w:r>
      <w:proofErr w:type="gramEnd"/>
      <w:r w:rsidRPr="00AD7132">
        <w:rPr>
          <w:rFonts w:asciiTheme="minorHAnsi" w:hAnsiTheme="minorHAnsi" w:cstheme="minorHAnsi"/>
        </w:rPr>
        <w:t xml:space="preserve"> to be 77.4 percent in 2026 and 79.0 percent</w:t>
      </w:r>
      <w:r w:rsidR="00AB07E9" w:rsidRPr="00AD7132">
        <w:rPr>
          <w:rFonts w:asciiTheme="minorHAnsi" w:hAnsiTheme="minorHAnsi" w:cstheme="minorHAnsi"/>
        </w:rPr>
        <w:t xml:space="preserve"> </w:t>
      </w:r>
      <w:r w:rsidRPr="00AD7132">
        <w:rPr>
          <w:rFonts w:asciiTheme="minorHAnsi" w:hAnsiTheme="minorHAnsi" w:cstheme="minorHAnsi"/>
        </w:rPr>
        <w:t>in 2027.</w:t>
      </w:r>
    </w:p>
    <w:p w14:paraId="3F34C0F7" w14:textId="084D9C2B" w:rsidR="00AB07E9" w:rsidRPr="00AD7132" w:rsidRDefault="00AB07E9" w:rsidP="00D1485E">
      <w:pPr>
        <w:bidi w:val="0"/>
        <w:spacing w:line="360" w:lineRule="auto"/>
        <w:jc w:val="both"/>
        <w:rPr>
          <w:rFonts w:asciiTheme="minorHAnsi" w:hAnsiTheme="minorHAnsi" w:cstheme="minorHAnsi"/>
        </w:rPr>
      </w:pPr>
    </w:p>
    <w:p w14:paraId="23367591" w14:textId="63DC5D2B" w:rsidR="0036519C" w:rsidRPr="00AD7132" w:rsidRDefault="00AB07E9" w:rsidP="00D1485E">
      <w:pPr>
        <w:bidi w:val="0"/>
        <w:spacing w:line="360" w:lineRule="auto"/>
        <w:jc w:val="both"/>
        <w:rPr>
          <w:rFonts w:asciiTheme="minorHAnsi" w:hAnsiTheme="minorHAnsi" w:cstheme="minorHAnsi"/>
        </w:rPr>
      </w:pPr>
      <w:proofErr w:type="gramStart"/>
      <w:r w:rsidRPr="00AD7132">
        <w:rPr>
          <w:rFonts w:asciiTheme="minorHAnsi" w:hAnsiTheme="minorHAnsi" w:cstheme="minorHAnsi"/>
        </w:rPr>
        <w:t>The baseline scenario is based on a working assumption that the defense budget for 2026 will increase by NIS 15 billion, slightly more than the reserve the government has allocated as part of the 2026 State budget (NIS 12.8 billion), and that in 2027, defense expenditure will be lower than in 2026, mainly due to a decline in the ongoing combat supplement.</w:t>
      </w:r>
      <w:proofErr w:type="gramEnd"/>
      <w:r w:rsidRPr="00AD7132">
        <w:rPr>
          <w:rFonts w:asciiTheme="minorHAnsi" w:hAnsiTheme="minorHAnsi" w:cstheme="minorHAnsi"/>
        </w:rPr>
        <w:t xml:space="preserve">  Based on this assumption, </w:t>
      </w:r>
      <w:r w:rsidRPr="00AD7132">
        <w:rPr>
          <w:rFonts w:asciiTheme="minorHAnsi" w:hAnsiTheme="minorHAnsi" w:cstheme="minorHAnsi"/>
          <w:b/>
          <w:bCs/>
        </w:rPr>
        <w:t xml:space="preserve">the deficit in the state budget is expected to be 4.9 percent of GDP in </w:t>
      </w:r>
      <w:proofErr w:type="gramStart"/>
      <w:r w:rsidRPr="00AD7132">
        <w:rPr>
          <w:rFonts w:asciiTheme="minorHAnsi" w:hAnsiTheme="minorHAnsi" w:cstheme="minorHAnsi"/>
          <w:b/>
          <w:bCs/>
        </w:rPr>
        <w:t>2026,</w:t>
      </w:r>
      <w:proofErr w:type="gramEnd"/>
      <w:r w:rsidRPr="00AD7132">
        <w:rPr>
          <w:rFonts w:asciiTheme="minorHAnsi" w:hAnsiTheme="minorHAnsi" w:cstheme="minorHAnsi"/>
          <w:b/>
          <w:bCs/>
        </w:rPr>
        <w:t xml:space="preserve"> and 4.2 percent of GDP in 2027.</w:t>
      </w:r>
      <w:r w:rsidRPr="00AD7132">
        <w:rPr>
          <w:rFonts w:asciiTheme="minorHAnsi" w:hAnsiTheme="minorHAnsi" w:cstheme="minorHAnsi"/>
        </w:rPr>
        <w:t xml:space="preserve">  The public debt to GDP ratio </w:t>
      </w:r>
      <w:proofErr w:type="gramStart"/>
      <w:r w:rsidRPr="00AD7132">
        <w:rPr>
          <w:rFonts w:asciiTheme="minorHAnsi" w:hAnsiTheme="minorHAnsi" w:cstheme="minorHAnsi"/>
        </w:rPr>
        <w:t>is expected</w:t>
      </w:r>
      <w:proofErr w:type="gramEnd"/>
      <w:r w:rsidRPr="00AD7132">
        <w:rPr>
          <w:rFonts w:asciiTheme="minorHAnsi" w:hAnsiTheme="minorHAnsi" w:cstheme="minorHAnsi"/>
        </w:rPr>
        <w:t xml:space="preserve"> to stabilize in these years at about 69 percent.  Relative to the staff forecast from March 2026, the decline in the deficit forecast for 2026 is due to an increase in estimated revenue, mainly thanks to higher-than-expected tax collection in the first half of the year.  In parallel, the working assumption regarding expenditures for these years remains similar to the previous forecast.  In particular, the forecast continues to assume that the geopolitical environment and concern of further rounds of combat in the various spheres will keep the volume of reserve mobilizations and the defense budget significantly higher during the forecast horizon than they were prior to the war.  However, the government is weighing the possibility of increasing the 2026 defense </w:t>
      </w:r>
      <w:r w:rsidRPr="00AD7132">
        <w:rPr>
          <w:rFonts w:asciiTheme="minorHAnsi" w:hAnsiTheme="minorHAnsi" w:cstheme="minorHAnsi"/>
        </w:rPr>
        <w:lastRenderedPageBreak/>
        <w:t>budget by up to NIS 25 billion more during the year.  If this takes place, the deficit and the debt will increase, and inflation will be higher, as detailed in Section d below.  Furthermore, there is uncertainty regarding the fiscal policy that the next government will implement following the elections for the 26</w:t>
      </w:r>
      <w:r w:rsidRPr="00AD7132">
        <w:rPr>
          <w:rFonts w:asciiTheme="minorHAnsi" w:hAnsiTheme="minorHAnsi" w:cstheme="minorHAnsi"/>
          <w:vertAlign w:val="superscript"/>
        </w:rPr>
        <w:t>th</w:t>
      </w:r>
      <w:r w:rsidRPr="00AD7132">
        <w:rPr>
          <w:rFonts w:asciiTheme="minorHAnsi" w:hAnsiTheme="minorHAnsi" w:cstheme="minorHAnsi"/>
        </w:rPr>
        <w:t xml:space="preserve"> Knesset, particularly with regard to the size of the defense budget in the coming years and how it </w:t>
      </w:r>
      <w:proofErr w:type="gramStart"/>
      <w:r w:rsidRPr="00AD7132">
        <w:rPr>
          <w:rFonts w:asciiTheme="minorHAnsi" w:hAnsiTheme="minorHAnsi" w:cstheme="minorHAnsi"/>
        </w:rPr>
        <w:t>will be financed</w:t>
      </w:r>
      <w:proofErr w:type="gramEnd"/>
      <w:r w:rsidRPr="00AD7132">
        <w:rPr>
          <w:rFonts w:asciiTheme="minorHAnsi" w:hAnsiTheme="minorHAnsi" w:cstheme="minorHAnsi"/>
        </w:rPr>
        <w:t>.</w:t>
      </w:r>
    </w:p>
    <w:p w14:paraId="6873D3F4" w14:textId="77777777" w:rsidR="00AB07E9" w:rsidRPr="00AD7132" w:rsidRDefault="00AB07E9" w:rsidP="00D1485E">
      <w:pPr>
        <w:bidi w:val="0"/>
        <w:spacing w:line="360" w:lineRule="auto"/>
        <w:jc w:val="both"/>
        <w:rPr>
          <w:rFonts w:asciiTheme="minorHAnsi" w:hAnsiTheme="minorHAnsi" w:cstheme="minorHAnsi"/>
        </w:rPr>
      </w:pPr>
    </w:p>
    <w:p w14:paraId="2A7CBC84" w14:textId="77777777" w:rsidR="00A21D01" w:rsidRPr="00AD7132" w:rsidRDefault="00A21D01" w:rsidP="00D1485E">
      <w:pPr>
        <w:numPr>
          <w:ilvl w:val="0"/>
          <w:numId w:val="9"/>
        </w:numPr>
        <w:bidi w:val="0"/>
        <w:spacing w:line="360" w:lineRule="auto"/>
        <w:ind w:left="357" w:hanging="357"/>
        <w:jc w:val="both"/>
        <w:rPr>
          <w:rFonts w:asciiTheme="minorHAnsi" w:hAnsiTheme="minorHAnsi" w:cstheme="minorHAnsi"/>
          <w:b/>
          <w:bCs/>
        </w:rPr>
      </w:pPr>
      <w:r w:rsidRPr="00AD7132">
        <w:rPr>
          <w:rFonts w:asciiTheme="minorHAnsi" w:hAnsiTheme="minorHAnsi" w:cstheme="minorHAnsi"/>
          <w:b/>
          <w:bCs/>
        </w:rPr>
        <w:t xml:space="preserve">Inflation and interest rates </w:t>
      </w:r>
    </w:p>
    <w:p w14:paraId="7C79081E" w14:textId="28D97B87" w:rsidR="00091079" w:rsidRPr="00AD7132" w:rsidRDefault="000A661B" w:rsidP="00D1485E">
      <w:pPr>
        <w:pStyle w:val="NormalWeb"/>
        <w:spacing w:line="360" w:lineRule="auto"/>
        <w:jc w:val="both"/>
        <w:rPr>
          <w:rFonts w:asciiTheme="minorHAnsi" w:hAnsiTheme="minorHAnsi" w:cstheme="minorHAnsi"/>
        </w:rPr>
      </w:pPr>
      <w:r w:rsidRPr="00AD7132">
        <w:rPr>
          <w:rFonts w:asciiTheme="minorHAnsi" w:hAnsiTheme="minorHAnsi" w:cstheme="minorHAnsi"/>
          <w:b/>
          <w:bCs/>
        </w:rPr>
        <w:t xml:space="preserve">The inflation rate over the four quarters ending in the </w:t>
      </w:r>
      <w:r w:rsidR="00091079" w:rsidRPr="00AD7132">
        <w:rPr>
          <w:rFonts w:asciiTheme="minorHAnsi" w:hAnsiTheme="minorHAnsi" w:cstheme="minorHAnsi"/>
          <w:b/>
          <w:bCs/>
        </w:rPr>
        <w:t>second</w:t>
      </w:r>
      <w:r w:rsidRPr="00AD7132">
        <w:rPr>
          <w:rFonts w:asciiTheme="minorHAnsi" w:hAnsiTheme="minorHAnsi" w:cstheme="minorHAnsi"/>
          <w:b/>
          <w:bCs/>
        </w:rPr>
        <w:t xml:space="preserve"> quarter of 202</w:t>
      </w:r>
      <w:r w:rsidR="000E4216" w:rsidRPr="00AD7132">
        <w:rPr>
          <w:rFonts w:asciiTheme="minorHAnsi" w:hAnsiTheme="minorHAnsi" w:cstheme="minorHAnsi"/>
          <w:b/>
          <w:bCs/>
        </w:rPr>
        <w:t>7</w:t>
      </w:r>
      <w:r w:rsidRPr="00AD7132">
        <w:rPr>
          <w:rFonts w:asciiTheme="minorHAnsi" w:hAnsiTheme="minorHAnsi" w:cstheme="minorHAnsi"/>
          <w:b/>
          <w:bCs/>
        </w:rPr>
        <w:t xml:space="preserve"> </w:t>
      </w:r>
      <w:proofErr w:type="gramStart"/>
      <w:r w:rsidRPr="00AD7132">
        <w:rPr>
          <w:rFonts w:asciiTheme="minorHAnsi" w:hAnsiTheme="minorHAnsi" w:cstheme="minorHAnsi"/>
          <w:b/>
          <w:bCs/>
        </w:rPr>
        <w:t>is expected</w:t>
      </w:r>
      <w:proofErr w:type="gramEnd"/>
      <w:r w:rsidRPr="00AD7132">
        <w:rPr>
          <w:rFonts w:asciiTheme="minorHAnsi" w:hAnsiTheme="minorHAnsi" w:cstheme="minorHAnsi"/>
          <w:b/>
          <w:bCs/>
        </w:rPr>
        <w:t xml:space="preserve"> to be </w:t>
      </w:r>
      <w:r w:rsidR="00091079" w:rsidRPr="00AD7132">
        <w:rPr>
          <w:rFonts w:asciiTheme="minorHAnsi" w:hAnsiTheme="minorHAnsi" w:cstheme="minorHAnsi"/>
          <w:b/>
          <w:bCs/>
        </w:rPr>
        <w:t>1.8</w:t>
      </w:r>
      <w:r w:rsidRPr="00AD7132">
        <w:rPr>
          <w:rFonts w:asciiTheme="minorHAnsi" w:hAnsiTheme="minorHAnsi" w:cstheme="minorHAnsi"/>
          <w:b/>
          <w:bCs/>
        </w:rPr>
        <w:t xml:space="preserve"> percent (Table 2).</w:t>
      </w:r>
      <w:r w:rsidRPr="00AD7132">
        <w:rPr>
          <w:rFonts w:asciiTheme="minorHAnsi" w:hAnsiTheme="minorHAnsi" w:cstheme="minorHAnsi"/>
        </w:rPr>
        <w:t xml:space="preserve"> </w:t>
      </w:r>
      <w:r w:rsidR="00091079" w:rsidRPr="00AD7132">
        <w:rPr>
          <w:rFonts w:asciiTheme="minorHAnsi" w:hAnsiTheme="minorHAnsi" w:cstheme="minorHAnsi"/>
        </w:rPr>
        <w:t xml:space="preserve">Inflation during 2026 </w:t>
      </w:r>
      <w:proofErr w:type="gramStart"/>
      <w:r w:rsidR="00091079" w:rsidRPr="00AD7132">
        <w:rPr>
          <w:rFonts w:asciiTheme="minorHAnsi" w:hAnsiTheme="minorHAnsi" w:cstheme="minorHAnsi"/>
        </w:rPr>
        <w:t>is expected</w:t>
      </w:r>
      <w:proofErr w:type="gramEnd"/>
      <w:r w:rsidR="00091079" w:rsidRPr="00AD7132">
        <w:rPr>
          <w:rFonts w:asciiTheme="minorHAnsi" w:hAnsiTheme="minorHAnsi" w:cstheme="minorHAnsi"/>
        </w:rPr>
        <w:t xml:space="preserve"> to be 1.8 percent, compared with 2.2 percent expected in the March forecast.  With the end of Operation Roaring Lion, there was a decline in Israel’s risk premium, and the shekel strengthened.  In view of the agreement between the US and Iran and the opening of the Strait of Hormuz, oil prices dropped sharply, beyond our assessment in the March forecast.  These forces contributed to a decline in the short-term inflation environment.</w:t>
      </w:r>
    </w:p>
    <w:p w14:paraId="1088C79C" w14:textId="29EECDFD" w:rsidR="000A661B" w:rsidRPr="00AD7132" w:rsidRDefault="000A661B" w:rsidP="00E272B8">
      <w:pPr>
        <w:pStyle w:val="NormalWeb"/>
        <w:spacing w:line="360" w:lineRule="auto"/>
        <w:jc w:val="both"/>
        <w:rPr>
          <w:rFonts w:asciiTheme="minorHAnsi" w:hAnsiTheme="minorHAnsi" w:cstheme="minorHAnsi"/>
        </w:rPr>
      </w:pPr>
      <w:r w:rsidRPr="00AD7132">
        <w:rPr>
          <w:rFonts w:asciiTheme="minorHAnsi" w:hAnsiTheme="minorHAnsi" w:cstheme="minorHAnsi"/>
          <w:b/>
          <w:bCs/>
        </w:rPr>
        <w:t>The</w:t>
      </w:r>
      <w:r w:rsidR="00677A3F" w:rsidRPr="00AD7132">
        <w:rPr>
          <w:rFonts w:asciiTheme="minorHAnsi" w:hAnsiTheme="minorHAnsi" w:cstheme="minorHAnsi"/>
          <w:b/>
          <w:bCs/>
        </w:rPr>
        <w:t xml:space="preserve"> Bank of Israel</w:t>
      </w:r>
      <w:r w:rsidRPr="00AD7132">
        <w:rPr>
          <w:rFonts w:asciiTheme="minorHAnsi" w:hAnsiTheme="minorHAnsi" w:cstheme="minorHAnsi"/>
          <w:b/>
          <w:bCs/>
        </w:rPr>
        <w:t xml:space="preserve"> interest rate is expected to average </w:t>
      </w:r>
      <w:r w:rsidR="00677A3F" w:rsidRPr="00AD7132">
        <w:rPr>
          <w:rFonts w:asciiTheme="minorHAnsi" w:hAnsiTheme="minorHAnsi" w:cstheme="minorHAnsi"/>
          <w:b/>
          <w:bCs/>
        </w:rPr>
        <w:t>3.</w:t>
      </w:r>
      <w:r w:rsidR="00091079" w:rsidRPr="00AD7132">
        <w:rPr>
          <w:rFonts w:asciiTheme="minorHAnsi" w:hAnsiTheme="minorHAnsi" w:cstheme="minorHAnsi"/>
          <w:b/>
          <w:bCs/>
        </w:rPr>
        <w:t>0</w:t>
      </w:r>
      <w:r w:rsidRPr="00AD7132">
        <w:rPr>
          <w:rFonts w:asciiTheme="minorHAnsi" w:hAnsiTheme="minorHAnsi" w:cstheme="minorHAnsi"/>
          <w:b/>
          <w:bCs/>
        </w:rPr>
        <w:t xml:space="preserve"> percent in the </w:t>
      </w:r>
      <w:r w:rsidR="00091079" w:rsidRPr="00AD7132">
        <w:rPr>
          <w:rFonts w:asciiTheme="minorHAnsi" w:hAnsiTheme="minorHAnsi" w:cstheme="minorHAnsi"/>
          <w:b/>
          <w:bCs/>
        </w:rPr>
        <w:t>second</w:t>
      </w:r>
      <w:r w:rsidRPr="00AD7132">
        <w:rPr>
          <w:rFonts w:asciiTheme="minorHAnsi" w:hAnsiTheme="minorHAnsi" w:cstheme="minorHAnsi"/>
          <w:b/>
          <w:bCs/>
        </w:rPr>
        <w:t xml:space="preserve"> quarter of 202</w:t>
      </w:r>
      <w:r w:rsidR="000E4216" w:rsidRPr="00AD7132">
        <w:rPr>
          <w:rFonts w:asciiTheme="minorHAnsi" w:hAnsiTheme="minorHAnsi" w:cstheme="minorHAnsi"/>
          <w:b/>
          <w:bCs/>
        </w:rPr>
        <w:t>7</w:t>
      </w:r>
      <w:r w:rsidRPr="00AD7132">
        <w:rPr>
          <w:rFonts w:asciiTheme="minorHAnsi" w:hAnsiTheme="minorHAnsi" w:cstheme="minorHAnsi"/>
        </w:rPr>
        <w:t xml:space="preserve"> </w:t>
      </w:r>
      <w:r w:rsidRPr="00AD7132">
        <w:rPr>
          <w:rFonts w:asciiTheme="minorHAnsi" w:hAnsiTheme="minorHAnsi" w:cstheme="minorHAnsi"/>
          <w:b/>
          <w:bCs/>
        </w:rPr>
        <w:t>(Table 2).</w:t>
      </w:r>
      <w:r w:rsidRPr="00AD7132">
        <w:rPr>
          <w:rFonts w:asciiTheme="minorHAnsi" w:hAnsiTheme="minorHAnsi" w:cstheme="minorHAnsi"/>
        </w:rPr>
        <w:t xml:space="preserve"> This forecast reflects </w:t>
      </w:r>
      <w:r w:rsidR="000E4216" w:rsidRPr="00AD7132">
        <w:rPr>
          <w:rFonts w:asciiTheme="minorHAnsi" w:hAnsiTheme="minorHAnsi" w:cstheme="minorHAnsi"/>
        </w:rPr>
        <w:t>two</w:t>
      </w:r>
      <w:r w:rsidR="00E272B8">
        <w:rPr>
          <w:rFonts w:asciiTheme="minorHAnsi" w:hAnsiTheme="minorHAnsi" w:cstheme="minorHAnsi"/>
        </w:rPr>
        <w:t xml:space="preserve"> additional</w:t>
      </w:r>
      <w:r w:rsidRPr="00AD7132">
        <w:rPr>
          <w:rFonts w:asciiTheme="minorHAnsi" w:hAnsiTheme="minorHAnsi" w:cstheme="minorHAnsi"/>
        </w:rPr>
        <w:t xml:space="preserve"> interest rate</w:t>
      </w:r>
      <w:r w:rsidR="000E4216" w:rsidRPr="00AD7132">
        <w:rPr>
          <w:rFonts w:asciiTheme="minorHAnsi" w:hAnsiTheme="minorHAnsi" w:cstheme="minorHAnsi"/>
        </w:rPr>
        <w:t xml:space="preserve"> reductions in the coming year</w:t>
      </w:r>
      <w:r w:rsidRPr="00AD7132">
        <w:rPr>
          <w:rFonts w:asciiTheme="minorHAnsi" w:hAnsiTheme="minorHAnsi" w:cstheme="minorHAnsi"/>
        </w:rPr>
        <w:t>.</w:t>
      </w:r>
      <w:r w:rsidR="00E272B8">
        <w:rPr>
          <w:rFonts w:asciiTheme="minorHAnsi" w:hAnsiTheme="minorHAnsi" w:cstheme="minorHAnsi"/>
        </w:rPr>
        <w:t xml:space="preserve">  </w:t>
      </w:r>
      <w:bookmarkStart w:id="0" w:name="_GoBack"/>
      <w:bookmarkEnd w:id="0"/>
      <w:r w:rsidR="000E4216" w:rsidRPr="00AD7132">
        <w:rPr>
          <w:rFonts w:asciiTheme="minorHAnsi" w:hAnsiTheme="minorHAnsi" w:cstheme="minorHAnsi"/>
        </w:rPr>
        <w:t xml:space="preserve">The interest rate path will be determined in accordance with the development of </w:t>
      </w:r>
      <w:r w:rsidR="00091079" w:rsidRPr="00AD7132">
        <w:rPr>
          <w:rFonts w:asciiTheme="minorHAnsi" w:hAnsiTheme="minorHAnsi" w:cstheme="minorHAnsi"/>
        </w:rPr>
        <w:t xml:space="preserve">the </w:t>
      </w:r>
      <w:r w:rsidR="000E4216" w:rsidRPr="00AD7132">
        <w:rPr>
          <w:rFonts w:asciiTheme="minorHAnsi" w:hAnsiTheme="minorHAnsi" w:cstheme="minorHAnsi"/>
        </w:rPr>
        <w:t>inflation</w:t>
      </w:r>
      <w:r w:rsidR="00091079" w:rsidRPr="00AD7132">
        <w:rPr>
          <w:rFonts w:asciiTheme="minorHAnsi" w:hAnsiTheme="minorHAnsi" w:cstheme="minorHAnsi"/>
        </w:rPr>
        <w:t xml:space="preserve"> environment</w:t>
      </w:r>
      <w:r w:rsidR="000E4216" w:rsidRPr="00AD7132">
        <w:rPr>
          <w:rFonts w:asciiTheme="minorHAnsi" w:hAnsiTheme="minorHAnsi" w:cstheme="minorHAnsi"/>
        </w:rPr>
        <w:t>, economic activity, developments in the financial markets and in the geopolitical sphere</w:t>
      </w:r>
      <w:r w:rsidR="00091079" w:rsidRPr="00AD7132">
        <w:rPr>
          <w:rFonts w:asciiTheme="minorHAnsi" w:hAnsiTheme="minorHAnsi" w:cstheme="minorHAnsi"/>
        </w:rPr>
        <w:t>, and fiscal policy</w:t>
      </w:r>
      <w:r w:rsidR="000E4216" w:rsidRPr="00AD7132">
        <w:rPr>
          <w:rFonts w:asciiTheme="minorHAnsi" w:hAnsiTheme="minorHAnsi" w:cstheme="minorHAnsi"/>
        </w:rPr>
        <w:t>.</w:t>
      </w:r>
    </w:p>
    <w:p w14:paraId="593BE5DD" w14:textId="54EFA462" w:rsidR="000A661B" w:rsidRPr="00AD7132" w:rsidRDefault="000A661B" w:rsidP="00D1485E">
      <w:pPr>
        <w:pStyle w:val="NormalWeb"/>
        <w:spacing w:line="360" w:lineRule="auto"/>
        <w:jc w:val="both"/>
        <w:rPr>
          <w:rFonts w:asciiTheme="minorHAnsi" w:hAnsiTheme="minorHAnsi" w:cstheme="minorHAnsi"/>
          <w:b/>
          <w:bCs/>
        </w:rPr>
      </w:pPr>
      <w:r w:rsidRPr="00AD7132">
        <w:rPr>
          <w:rFonts w:asciiTheme="minorHAnsi" w:hAnsiTheme="minorHAnsi" w:cstheme="minorHAnsi"/>
        </w:rPr>
        <w:t xml:space="preserve">Table </w:t>
      </w:r>
      <w:proofErr w:type="gramStart"/>
      <w:r w:rsidRPr="00AD7132">
        <w:rPr>
          <w:rFonts w:asciiTheme="minorHAnsi" w:hAnsiTheme="minorHAnsi" w:cstheme="minorHAnsi"/>
        </w:rPr>
        <w:t>2</w:t>
      </w:r>
      <w:proofErr w:type="gramEnd"/>
      <w:r w:rsidRPr="00AD7132">
        <w:rPr>
          <w:rFonts w:asciiTheme="minorHAnsi" w:hAnsiTheme="minorHAnsi" w:cstheme="minorHAnsi"/>
        </w:rPr>
        <w:t xml:space="preserve"> </w:t>
      </w:r>
      <w:r w:rsidR="00F93D9D" w:rsidRPr="00AD7132">
        <w:rPr>
          <w:rFonts w:asciiTheme="minorHAnsi" w:hAnsiTheme="minorHAnsi" w:cstheme="minorHAnsi"/>
        </w:rPr>
        <w:t>shows</w:t>
      </w:r>
      <w:r w:rsidRPr="00AD7132">
        <w:rPr>
          <w:rFonts w:asciiTheme="minorHAnsi" w:hAnsiTheme="minorHAnsi" w:cstheme="minorHAnsi"/>
        </w:rPr>
        <w:t xml:space="preserve"> that the Research Department</w:t>
      </w:r>
      <w:r w:rsidR="0086132E" w:rsidRPr="00AD7132">
        <w:rPr>
          <w:rFonts w:asciiTheme="minorHAnsi" w:hAnsiTheme="minorHAnsi" w:cstheme="minorHAnsi"/>
        </w:rPr>
        <w:t>’</w:t>
      </w:r>
      <w:r w:rsidRPr="00AD7132">
        <w:rPr>
          <w:rFonts w:asciiTheme="minorHAnsi" w:hAnsiTheme="minorHAnsi" w:cstheme="minorHAnsi"/>
        </w:rPr>
        <w:t xml:space="preserve">s </w:t>
      </w:r>
      <w:r w:rsidR="002E13EC" w:rsidRPr="00AD7132">
        <w:rPr>
          <w:rFonts w:asciiTheme="minorHAnsi" w:hAnsiTheme="minorHAnsi" w:cstheme="minorHAnsi"/>
        </w:rPr>
        <w:t xml:space="preserve">forecast for inflation in the next four quarters </w:t>
      </w:r>
      <w:r w:rsidR="002439E9" w:rsidRPr="00AD7132">
        <w:rPr>
          <w:rFonts w:asciiTheme="minorHAnsi" w:hAnsiTheme="minorHAnsi" w:cstheme="minorHAnsi"/>
        </w:rPr>
        <w:t xml:space="preserve">is higher than the forecast derived from the capital market and </w:t>
      </w:r>
      <w:r w:rsidR="000E4216" w:rsidRPr="00AD7132">
        <w:rPr>
          <w:rFonts w:asciiTheme="minorHAnsi" w:hAnsiTheme="minorHAnsi" w:cstheme="minorHAnsi"/>
        </w:rPr>
        <w:t>similar to</w:t>
      </w:r>
      <w:r w:rsidR="002439E9" w:rsidRPr="00AD7132">
        <w:rPr>
          <w:rFonts w:asciiTheme="minorHAnsi" w:hAnsiTheme="minorHAnsi" w:cstheme="minorHAnsi"/>
        </w:rPr>
        <w:t xml:space="preserve"> the private forecasters’ average projections. The Research Department’s</w:t>
      </w:r>
      <w:r w:rsidR="008730D4" w:rsidRPr="00AD7132">
        <w:rPr>
          <w:rFonts w:asciiTheme="minorHAnsi" w:hAnsiTheme="minorHAnsi" w:cstheme="minorHAnsi"/>
        </w:rPr>
        <w:t xml:space="preserve"> interest rate forecast for the next four quarters </w:t>
      </w:r>
      <w:r w:rsidR="002439E9" w:rsidRPr="00AD7132">
        <w:rPr>
          <w:rFonts w:asciiTheme="minorHAnsi" w:hAnsiTheme="minorHAnsi" w:cstheme="minorHAnsi"/>
        </w:rPr>
        <w:t>is</w:t>
      </w:r>
      <w:r w:rsidR="002E13EC" w:rsidRPr="00AD7132">
        <w:rPr>
          <w:rFonts w:asciiTheme="minorHAnsi" w:hAnsiTheme="minorHAnsi" w:cstheme="minorHAnsi"/>
        </w:rPr>
        <w:t xml:space="preserve"> </w:t>
      </w:r>
      <w:r w:rsidR="005D65A1" w:rsidRPr="00AD7132">
        <w:rPr>
          <w:rFonts w:asciiTheme="minorHAnsi" w:hAnsiTheme="minorHAnsi" w:cstheme="minorHAnsi"/>
        </w:rPr>
        <w:t>similar</w:t>
      </w:r>
      <w:r w:rsidRPr="00AD7132">
        <w:rPr>
          <w:rFonts w:asciiTheme="minorHAnsi" w:hAnsiTheme="minorHAnsi" w:cstheme="minorHAnsi"/>
        </w:rPr>
        <w:t xml:space="preserve"> </w:t>
      </w:r>
      <w:r w:rsidR="000E4216" w:rsidRPr="00AD7132">
        <w:rPr>
          <w:rFonts w:asciiTheme="minorHAnsi" w:hAnsiTheme="minorHAnsi" w:cstheme="minorHAnsi"/>
        </w:rPr>
        <w:t>the forecast derived from the capital market and the professional forecasters’ average projections</w:t>
      </w:r>
      <w:r w:rsidR="008730D4" w:rsidRPr="00AD7132">
        <w:rPr>
          <w:rFonts w:asciiTheme="minorHAnsi" w:hAnsiTheme="minorHAnsi" w:cstheme="minorHAnsi"/>
        </w:rPr>
        <w:t>.</w:t>
      </w:r>
    </w:p>
    <w:p w14:paraId="367091CB" w14:textId="77777777" w:rsidR="000A661B" w:rsidRPr="00AD7132" w:rsidRDefault="000A661B" w:rsidP="00D1485E">
      <w:pPr>
        <w:bidi w:val="0"/>
        <w:spacing w:line="360" w:lineRule="auto"/>
        <w:jc w:val="both"/>
        <w:rPr>
          <w:rFonts w:asciiTheme="minorHAnsi" w:hAnsiTheme="minorHAnsi" w:cstheme="minorHAnsi"/>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AD7132"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AD7132" w:rsidRDefault="002945D2" w:rsidP="00D1485E">
            <w:pPr>
              <w:bidi w:val="0"/>
              <w:spacing w:line="360" w:lineRule="auto"/>
              <w:rPr>
                <w:rFonts w:asciiTheme="minorHAnsi" w:hAnsiTheme="minorHAnsi" w:cstheme="minorHAnsi"/>
                <w:b/>
                <w:bCs/>
                <w:color w:val="0070C0"/>
              </w:rPr>
            </w:pPr>
            <w:r w:rsidRPr="00AD7132">
              <w:rPr>
                <w:rFonts w:asciiTheme="minorHAnsi" w:hAnsiTheme="minorHAnsi" w:cstheme="minorHAnsi"/>
                <w:color w:val="0070C0"/>
              </w:rPr>
              <w:lastRenderedPageBreak/>
              <w:br w:type="page"/>
            </w:r>
            <w:r w:rsidR="00A21D01" w:rsidRPr="00AD7132">
              <w:rPr>
                <w:rFonts w:asciiTheme="minorHAnsi" w:hAnsiTheme="minorHAnsi" w:cstheme="minorHAnsi"/>
                <w:b/>
                <w:bCs/>
                <w:color w:val="0070C0"/>
              </w:rPr>
              <w:t xml:space="preserve">Table </w:t>
            </w:r>
            <w:r w:rsidR="00E718CD" w:rsidRPr="00AD7132">
              <w:rPr>
                <w:rFonts w:asciiTheme="minorHAnsi" w:hAnsiTheme="minorHAnsi" w:cstheme="minorHAnsi"/>
                <w:b/>
                <w:bCs/>
                <w:color w:val="0070C0"/>
              </w:rPr>
              <w:t>2</w:t>
            </w:r>
          </w:p>
        </w:tc>
      </w:tr>
      <w:tr w:rsidR="00A21D01" w:rsidRPr="00AD7132"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AD7132" w:rsidRDefault="00453D2B" w:rsidP="00D1485E">
            <w:pPr>
              <w:bidi w:val="0"/>
              <w:spacing w:line="360" w:lineRule="auto"/>
              <w:rPr>
                <w:rFonts w:asciiTheme="minorHAnsi" w:hAnsiTheme="minorHAnsi" w:cstheme="minorHAnsi"/>
                <w:b/>
                <w:bCs/>
                <w:color w:val="0070C0"/>
              </w:rPr>
            </w:pPr>
            <w:r w:rsidRPr="00AD7132">
              <w:rPr>
                <w:rFonts w:asciiTheme="minorHAnsi" w:hAnsiTheme="minorHAnsi" w:cstheme="minorHAnsi"/>
                <w:b/>
                <w:bCs/>
                <w:color w:val="0070C0"/>
              </w:rPr>
              <w:t>I</w:t>
            </w:r>
            <w:r w:rsidR="00A21D01" w:rsidRPr="00AD7132">
              <w:rPr>
                <w:rFonts w:asciiTheme="minorHAnsi" w:hAnsiTheme="minorHAnsi" w:cstheme="minorHAnsi"/>
                <w:b/>
                <w:bCs/>
                <w:color w:val="0070C0"/>
              </w:rPr>
              <w:t xml:space="preserve">nflation </w:t>
            </w:r>
            <w:r w:rsidRPr="00AD7132">
              <w:rPr>
                <w:rFonts w:asciiTheme="minorHAnsi" w:hAnsiTheme="minorHAnsi" w:cstheme="minorHAnsi"/>
                <w:b/>
                <w:bCs/>
                <w:color w:val="0070C0"/>
              </w:rPr>
              <w:t xml:space="preserve">forecast </w:t>
            </w:r>
            <w:r w:rsidR="00A21D01" w:rsidRPr="00AD7132">
              <w:rPr>
                <w:rFonts w:asciiTheme="minorHAnsi" w:hAnsiTheme="minorHAnsi" w:cstheme="minorHAnsi"/>
                <w:b/>
                <w:bCs/>
                <w:color w:val="0070C0"/>
              </w:rPr>
              <w:t>for the coming year</w:t>
            </w:r>
            <w:r w:rsidR="00D62B59" w:rsidRPr="00AD7132">
              <w:rPr>
                <w:rFonts w:asciiTheme="minorHAnsi" w:hAnsiTheme="minorHAnsi" w:cstheme="minorHAnsi"/>
                <w:b/>
                <w:bCs/>
                <w:color w:val="0070C0"/>
              </w:rPr>
              <w:t xml:space="preserve"> and interest rate forecast for one year from now</w:t>
            </w:r>
          </w:p>
        </w:tc>
      </w:tr>
      <w:tr w:rsidR="00A21D01" w:rsidRPr="00AD7132"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AD7132" w:rsidRDefault="00A21D01" w:rsidP="00D1485E">
            <w:pPr>
              <w:bidi w:val="0"/>
              <w:spacing w:line="360" w:lineRule="auto"/>
              <w:jc w:val="right"/>
              <w:rPr>
                <w:rFonts w:asciiTheme="minorHAnsi" w:hAnsiTheme="minorHAnsi" w:cstheme="minorHAnsi"/>
                <w:color w:val="0070C0"/>
              </w:rPr>
            </w:pPr>
            <w:r w:rsidRPr="00AD7132">
              <w:rPr>
                <w:rFonts w:asciiTheme="minorHAnsi" w:hAnsiTheme="minorHAnsi" w:cstheme="minorHAnsi"/>
                <w:color w:val="0070C0"/>
              </w:rPr>
              <w:t>(percent)</w:t>
            </w:r>
          </w:p>
        </w:tc>
      </w:tr>
      <w:tr w:rsidR="00A21D01" w:rsidRPr="00AD7132"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AD7132" w:rsidRDefault="00A21D01" w:rsidP="00D1485E">
            <w:pPr>
              <w:bidi w:val="0"/>
              <w:spacing w:line="360" w:lineRule="auto"/>
              <w:jc w:val="center"/>
              <w:rPr>
                <w:rFonts w:asciiTheme="minorHAnsi" w:hAnsiTheme="minorHAnsi" w:cstheme="minorHAnsi"/>
              </w:rPr>
            </w:pPr>
          </w:p>
        </w:tc>
        <w:tc>
          <w:tcPr>
            <w:tcW w:w="2094" w:type="dxa"/>
            <w:tcBorders>
              <w:top w:val="nil"/>
              <w:left w:val="nil"/>
              <w:bottom w:val="nil"/>
              <w:right w:val="nil"/>
            </w:tcBorders>
            <w:shd w:val="clear" w:color="000000" w:fill="FFFFFF"/>
            <w:vAlign w:val="center"/>
            <w:hideMark/>
          </w:tcPr>
          <w:p w14:paraId="1BFF4C89" w14:textId="32F70915" w:rsidR="00A21D01" w:rsidRPr="00AD7132" w:rsidRDefault="00A21D01" w:rsidP="00D1485E">
            <w:pPr>
              <w:bidi w:val="0"/>
              <w:spacing w:line="360" w:lineRule="auto"/>
              <w:jc w:val="center"/>
              <w:rPr>
                <w:rFonts w:asciiTheme="minorHAnsi" w:hAnsiTheme="minorHAnsi" w:cstheme="minorHAnsi"/>
                <w:vertAlign w:val="superscript"/>
              </w:rPr>
            </w:pPr>
            <w:r w:rsidRPr="00AD7132">
              <w:rPr>
                <w:rFonts w:asciiTheme="minorHAnsi" w:hAnsiTheme="minorHAnsi" w:cstheme="minorHAnsi"/>
              </w:rPr>
              <w:t xml:space="preserve">Bank of Israel Research </w:t>
            </w:r>
            <w:proofErr w:type="spellStart"/>
            <w:r w:rsidRPr="00AD7132">
              <w:rPr>
                <w:rFonts w:asciiTheme="minorHAnsi" w:hAnsiTheme="minorHAnsi" w:cstheme="minorHAnsi"/>
              </w:rPr>
              <w:t>Department</w:t>
            </w:r>
            <w:r w:rsidR="00F93D9D" w:rsidRPr="00AD7132">
              <w:rPr>
                <w:rFonts w:asciiTheme="minorHAnsi" w:hAnsiTheme="minorHAnsi" w:cstheme="minorHAns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AD7132" w:rsidRDefault="00A21D01" w:rsidP="00D1485E">
            <w:pPr>
              <w:bidi w:val="0"/>
              <w:spacing w:line="360" w:lineRule="auto"/>
              <w:jc w:val="center"/>
              <w:rPr>
                <w:rFonts w:asciiTheme="minorHAnsi" w:hAnsiTheme="minorHAnsi" w:cstheme="minorHAnsi"/>
              </w:rPr>
            </w:pPr>
            <w:r w:rsidRPr="00AD7132">
              <w:rPr>
                <w:rFonts w:asciiTheme="minorHAnsi" w:hAnsiTheme="minorHAnsi" w:cstheme="minorHAnsi"/>
              </w:rPr>
              <w:t xml:space="preserve">Capital </w:t>
            </w:r>
            <w:proofErr w:type="spellStart"/>
            <w:r w:rsidRPr="00AD7132">
              <w:rPr>
                <w:rFonts w:asciiTheme="minorHAnsi" w:hAnsiTheme="minorHAnsi" w:cstheme="minorHAnsi"/>
              </w:rPr>
              <w:t>markets</w:t>
            </w:r>
            <w:r w:rsidR="00F93D9D" w:rsidRPr="00AD7132">
              <w:rPr>
                <w:rFonts w:asciiTheme="minorHAnsi" w:hAnsiTheme="minorHAnsi" w:cstheme="minorHAns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AD7132" w:rsidRDefault="00A21D01" w:rsidP="00D1485E">
            <w:pPr>
              <w:bidi w:val="0"/>
              <w:spacing w:line="360" w:lineRule="auto"/>
              <w:jc w:val="center"/>
              <w:rPr>
                <w:rFonts w:asciiTheme="minorHAnsi" w:hAnsiTheme="minorHAnsi" w:cstheme="minorHAnsi"/>
              </w:rPr>
            </w:pPr>
            <w:r w:rsidRPr="00AD7132">
              <w:rPr>
                <w:rFonts w:asciiTheme="minorHAnsi" w:hAnsiTheme="minorHAnsi" w:cstheme="minorHAnsi"/>
              </w:rPr>
              <w:t xml:space="preserve">Private </w:t>
            </w:r>
            <w:proofErr w:type="spellStart"/>
            <w:r w:rsidRPr="00AD7132">
              <w:rPr>
                <w:rFonts w:asciiTheme="minorHAnsi" w:hAnsiTheme="minorHAnsi" w:cstheme="minorHAnsi"/>
              </w:rPr>
              <w:t>forecasters</w:t>
            </w:r>
            <w:r w:rsidR="00F93D9D" w:rsidRPr="00AD7132">
              <w:rPr>
                <w:rFonts w:asciiTheme="minorHAnsi" w:hAnsiTheme="minorHAnsi" w:cstheme="minorHAnsi"/>
                <w:vertAlign w:val="superscript"/>
              </w:rPr>
              <w:t>c</w:t>
            </w:r>
            <w:proofErr w:type="spellEnd"/>
            <w:r w:rsidR="00F93D9D" w:rsidRPr="00AD7132">
              <w:rPr>
                <w:rFonts w:asciiTheme="minorHAnsi" w:hAnsiTheme="minorHAnsi" w:cstheme="minorHAnsi"/>
              </w:rPr>
              <w:t xml:space="preserve"> (range of forecasts)</w:t>
            </w:r>
          </w:p>
        </w:tc>
      </w:tr>
      <w:tr w:rsidR="00F53855" w:rsidRPr="00AD7132"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AD7132" w:rsidRDefault="00F53855" w:rsidP="00D1485E">
            <w:pPr>
              <w:bidi w:val="0"/>
              <w:spacing w:line="360" w:lineRule="auto"/>
              <w:jc w:val="center"/>
              <w:rPr>
                <w:rFonts w:asciiTheme="minorHAnsi" w:hAnsiTheme="minorHAnsi" w:cstheme="minorHAnsi"/>
              </w:rPr>
            </w:pPr>
            <w:r w:rsidRPr="00AD7132">
              <w:rPr>
                <w:rFonts w:asciiTheme="minorHAnsi" w:hAnsiTheme="minorHAnsi" w:cstheme="minorHAnsi"/>
              </w:rPr>
              <w:t>Inflation rate</w:t>
            </w:r>
          </w:p>
        </w:tc>
        <w:tc>
          <w:tcPr>
            <w:tcW w:w="2094" w:type="dxa"/>
            <w:tcBorders>
              <w:top w:val="single" w:sz="4" w:space="0" w:color="auto"/>
              <w:left w:val="nil"/>
              <w:bottom w:val="nil"/>
              <w:right w:val="nil"/>
            </w:tcBorders>
            <w:shd w:val="clear" w:color="auto" w:fill="auto"/>
            <w:vAlign w:val="center"/>
          </w:tcPr>
          <w:p w14:paraId="3F3A5669" w14:textId="4066641A" w:rsidR="00A2696D" w:rsidRPr="00AD7132" w:rsidRDefault="00091079" w:rsidP="00D1485E">
            <w:pPr>
              <w:bidi w:val="0"/>
              <w:spacing w:line="360" w:lineRule="auto"/>
              <w:jc w:val="center"/>
              <w:rPr>
                <w:rFonts w:asciiTheme="minorHAnsi" w:hAnsiTheme="minorHAnsi" w:cstheme="minorHAnsi"/>
              </w:rPr>
            </w:pPr>
            <w:r w:rsidRPr="00AD7132">
              <w:rPr>
                <w:rFonts w:asciiTheme="minorHAnsi" w:hAnsiTheme="minorHAnsi" w:cstheme="minorHAnsi"/>
              </w:rPr>
              <w:t>1.8</w:t>
            </w:r>
          </w:p>
        </w:tc>
        <w:tc>
          <w:tcPr>
            <w:tcW w:w="1540" w:type="dxa"/>
            <w:tcBorders>
              <w:top w:val="single" w:sz="4" w:space="0" w:color="auto"/>
              <w:left w:val="nil"/>
              <w:bottom w:val="nil"/>
              <w:right w:val="nil"/>
            </w:tcBorders>
            <w:shd w:val="clear" w:color="auto" w:fill="auto"/>
            <w:vAlign w:val="center"/>
          </w:tcPr>
          <w:p w14:paraId="3C11DB1A" w14:textId="24EA9420" w:rsidR="00F53855" w:rsidRPr="00AD7132" w:rsidRDefault="008730D4" w:rsidP="00D1485E">
            <w:pPr>
              <w:bidi w:val="0"/>
              <w:spacing w:line="360" w:lineRule="auto"/>
              <w:jc w:val="center"/>
              <w:rPr>
                <w:rFonts w:asciiTheme="minorHAnsi" w:hAnsiTheme="minorHAnsi" w:cstheme="minorHAnsi"/>
              </w:rPr>
            </w:pPr>
            <w:r w:rsidRPr="00AD7132">
              <w:rPr>
                <w:rFonts w:asciiTheme="minorHAnsi" w:hAnsiTheme="minorHAnsi" w:cstheme="minorHAnsi"/>
              </w:rPr>
              <w:t>1.</w:t>
            </w:r>
            <w:r w:rsidR="00091079" w:rsidRPr="00AD7132">
              <w:rPr>
                <w:rFonts w:asciiTheme="minorHAnsi" w:hAnsiTheme="minorHAnsi" w:cstheme="minorHAnsi"/>
              </w:rPr>
              <w:t>4</w:t>
            </w:r>
          </w:p>
        </w:tc>
        <w:tc>
          <w:tcPr>
            <w:tcW w:w="2119" w:type="dxa"/>
            <w:tcBorders>
              <w:top w:val="single" w:sz="4" w:space="0" w:color="auto"/>
              <w:left w:val="nil"/>
              <w:bottom w:val="nil"/>
              <w:right w:val="nil"/>
            </w:tcBorders>
            <w:shd w:val="clear" w:color="auto" w:fill="auto"/>
            <w:vAlign w:val="center"/>
          </w:tcPr>
          <w:p w14:paraId="140F4FF0" w14:textId="6A7848A1" w:rsidR="00F53855" w:rsidRPr="00AD7132" w:rsidRDefault="00091079" w:rsidP="00D1485E">
            <w:pPr>
              <w:bidi w:val="0"/>
              <w:spacing w:line="360" w:lineRule="auto"/>
              <w:jc w:val="center"/>
              <w:rPr>
                <w:rFonts w:asciiTheme="minorHAnsi" w:hAnsiTheme="minorHAnsi" w:cstheme="minorHAnsi"/>
              </w:rPr>
            </w:pPr>
            <w:r w:rsidRPr="00AD7132">
              <w:rPr>
                <w:rFonts w:asciiTheme="minorHAnsi" w:hAnsiTheme="minorHAnsi" w:cstheme="minorHAnsi"/>
              </w:rPr>
              <w:t>1.8</w:t>
            </w:r>
          </w:p>
        </w:tc>
      </w:tr>
      <w:tr w:rsidR="00F53855" w:rsidRPr="00AD7132"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AD7132" w:rsidRDefault="00F53855" w:rsidP="00D1485E">
            <w:pPr>
              <w:bidi w:val="0"/>
              <w:spacing w:line="360" w:lineRule="auto"/>
              <w:jc w:val="center"/>
              <w:rPr>
                <w:rFonts w:asciiTheme="minorHAnsi" w:hAnsiTheme="minorHAnsi" w:cstheme="minorHAnsi"/>
              </w:rPr>
            </w:pPr>
            <w:r w:rsidRPr="00AD7132">
              <w:rPr>
                <w:rFonts w:asciiTheme="minorHAnsi" w:hAnsiTheme="minorHAnsi" w:cstheme="minorHAns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AD7132" w:rsidRDefault="00F53855" w:rsidP="00D1485E">
            <w:pPr>
              <w:bidi w:val="0"/>
              <w:spacing w:line="360" w:lineRule="auto"/>
              <w:jc w:val="center"/>
              <w:rPr>
                <w:rFonts w:asciiTheme="minorHAnsi" w:hAnsiTheme="minorHAnsi" w:cstheme="minorHAns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AD7132" w:rsidRDefault="00F53855" w:rsidP="00D1485E">
            <w:pPr>
              <w:bidi w:val="0"/>
              <w:spacing w:line="360" w:lineRule="auto"/>
              <w:jc w:val="center"/>
              <w:rPr>
                <w:rFonts w:asciiTheme="minorHAnsi" w:hAnsiTheme="minorHAnsi" w:cstheme="minorHAnsi"/>
              </w:rPr>
            </w:pPr>
          </w:p>
        </w:tc>
        <w:tc>
          <w:tcPr>
            <w:tcW w:w="2119" w:type="dxa"/>
            <w:tcBorders>
              <w:top w:val="nil"/>
              <w:left w:val="nil"/>
              <w:bottom w:val="nil"/>
              <w:right w:val="nil"/>
            </w:tcBorders>
            <w:shd w:val="clear" w:color="auto" w:fill="auto"/>
            <w:noWrap/>
            <w:vAlign w:val="center"/>
          </w:tcPr>
          <w:p w14:paraId="246CCA88" w14:textId="2C9B88EF" w:rsidR="00F53855" w:rsidRPr="00AD7132" w:rsidRDefault="000D5119" w:rsidP="00D1485E">
            <w:pPr>
              <w:bidi w:val="0"/>
              <w:spacing w:line="360" w:lineRule="auto"/>
              <w:jc w:val="center"/>
              <w:rPr>
                <w:rFonts w:asciiTheme="minorHAnsi" w:hAnsiTheme="minorHAnsi" w:cstheme="minorHAnsi"/>
              </w:rPr>
            </w:pPr>
            <w:r w:rsidRPr="00AD7132">
              <w:rPr>
                <w:rFonts w:asciiTheme="minorHAnsi" w:hAnsiTheme="minorHAnsi" w:cstheme="minorHAnsi"/>
              </w:rPr>
              <w:t>(</w:t>
            </w:r>
            <w:r w:rsidR="00091079" w:rsidRPr="00AD7132">
              <w:rPr>
                <w:rFonts w:asciiTheme="minorHAnsi" w:hAnsiTheme="minorHAnsi" w:cstheme="minorHAnsi"/>
              </w:rPr>
              <w:t>1.3–</w:t>
            </w:r>
            <w:r w:rsidR="00615CDF" w:rsidRPr="00AD7132">
              <w:rPr>
                <w:rFonts w:asciiTheme="minorHAnsi" w:hAnsiTheme="minorHAnsi" w:cstheme="minorHAnsi"/>
              </w:rPr>
              <w:t>2.0</w:t>
            </w:r>
            <w:r w:rsidRPr="00AD7132">
              <w:rPr>
                <w:rFonts w:asciiTheme="minorHAnsi" w:hAnsiTheme="minorHAnsi" w:cstheme="minorHAnsi"/>
              </w:rPr>
              <w:t>)</w:t>
            </w:r>
          </w:p>
        </w:tc>
      </w:tr>
      <w:tr w:rsidR="00F53855" w:rsidRPr="00AD7132"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AD7132" w:rsidRDefault="00F53855" w:rsidP="00D1485E">
            <w:pPr>
              <w:bidi w:val="0"/>
              <w:spacing w:line="360" w:lineRule="auto"/>
              <w:jc w:val="center"/>
              <w:rPr>
                <w:rFonts w:asciiTheme="minorHAnsi" w:hAnsiTheme="minorHAnsi" w:cstheme="minorHAnsi"/>
              </w:rPr>
            </w:pPr>
            <w:r w:rsidRPr="00AD7132">
              <w:rPr>
                <w:rFonts w:asciiTheme="minorHAnsi" w:hAnsiTheme="minorHAnsi" w:cstheme="minorHAnsi"/>
              </w:rPr>
              <w:t>Interest rate</w:t>
            </w:r>
          </w:p>
        </w:tc>
        <w:tc>
          <w:tcPr>
            <w:tcW w:w="2094" w:type="dxa"/>
            <w:tcBorders>
              <w:top w:val="nil"/>
              <w:left w:val="nil"/>
              <w:bottom w:val="nil"/>
              <w:right w:val="nil"/>
            </w:tcBorders>
            <w:shd w:val="clear" w:color="auto" w:fill="auto"/>
            <w:vAlign w:val="center"/>
          </w:tcPr>
          <w:p w14:paraId="1DCE9413" w14:textId="0D5C2BCD" w:rsidR="00F53855" w:rsidRPr="00AD7132" w:rsidRDefault="00677A3F" w:rsidP="00D1485E">
            <w:pPr>
              <w:bidi w:val="0"/>
              <w:spacing w:line="360" w:lineRule="auto"/>
              <w:jc w:val="center"/>
              <w:rPr>
                <w:rFonts w:asciiTheme="minorHAnsi" w:hAnsiTheme="minorHAnsi" w:cstheme="minorHAnsi"/>
              </w:rPr>
            </w:pPr>
            <w:r w:rsidRPr="00AD7132">
              <w:rPr>
                <w:rFonts w:asciiTheme="minorHAnsi" w:hAnsiTheme="minorHAnsi" w:cstheme="minorHAnsi"/>
              </w:rPr>
              <w:t>3.</w:t>
            </w:r>
            <w:r w:rsidR="00091079" w:rsidRPr="00AD7132">
              <w:rPr>
                <w:rFonts w:asciiTheme="minorHAnsi" w:hAnsiTheme="minorHAnsi" w:cstheme="minorHAnsi"/>
              </w:rPr>
              <w:t>0</w:t>
            </w:r>
          </w:p>
        </w:tc>
        <w:tc>
          <w:tcPr>
            <w:tcW w:w="1540" w:type="dxa"/>
            <w:tcBorders>
              <w:top w:val="nil"/>
              <w:left w:val="nil"/>
              <w:bottom w:val="nil"/>
              <w:right w:val="nil"/>
            </w:tcBorders>
            <w:shd w:val="clear" w:color="auto" w:fill="auto"/>
            <w:vAlign w:val="center"/>
          </w:tcPr>
          <w:p w14:paraId="191366EF" w14:textId="74157F48" w:rsidR="004C2B26" w:rsidRPr="00AD7132" w:rsidRDefault="00871F11" w:rsidP="00D1485E">
            <w:pPr>
              <w:bidi w:val="0"/>
              <w:spacing w:line="360" w:lineRule="auto"/>
              <w:jc w:val="center"/>
              <w:rPr>
                <w:rFonts w:asciiTheme="minorHAnsi" w:hAnsiTheme="minorHAnsi" w:cstheme="minorHAnsi"/>
              </w:rPr>
            </w:pPr>
            <w:r w:rsidRPr="00AD7132">
              <w:rPr>
                <w:rFonts w:asciiTheme="minorHAnsi" w:hAnsiTheme="minorHAnsi" w:cstheme="minorHAnsi"/>
              </w:rPr>
              <w:t>3.</w:t>
            </w:r>
            <w:r w:rsidR="00091079" w:rsidRPr="00AD7132">
              <w:rPr>
                <w:rFonts w:asciiTheme="minorHAnsi" w:hAnsiTheme="minorHAnsi" w:cstheme="minorHAnsi"/>
              </w:rPr>
              <w:t>0</w:t>
            </w:r>
          </w:p>
        </w:tc>
        <w:tc>
          <w:tcPr>
            <w:tcW w:w="2119" w:type="dxa"/>
            <w:tcBorders>
              <w:top w:val="single" w:sz="4" w:space="0" w:color="auto"/>
              <w:left w:val="nil"/>
              <w:bottom w:val="nil"/>
              <w:right w:val="nil"/>
            </w:tcBorders>
            <w:shd w:val="clear" w:color="auto" w:fill="auto"/>
            <w:vAlign w:val="center"/>
            <w:hideMark/>
          </w:tcPr>
          <w:p w14:paraId="1860AF7D" w14:textId="56561AA6" w:rsidR="00F53855" w:rsidRPr="00AD7132" w:rsidRDefault="00EC32FA" w:rsidP="00D1485E">
            <w:pPr>
              <w:bidi w:val="0"/>
              <w:spacing w:line="360" w:lineRule="auto"/>
              <w:jc w:val="center"/>
              <w:rPr>
                <w:rFonts w:asciiTheme="minorHAnsi" w:hAnsiTheme="minorHAnsi" w:cstheme="minorHAnsi"/>
                <w:rtl/>
              </w:rPr>
            </w:pPr>
            <w:r w:rsidRPr="00AD7132">
              <w:rPr>
                <w:rFonts w:asciiTheme="minorHAnsi" w:hAnsiTheme="minorHAnsi" w:cstheme="minorHAnsi"/>
              </w:rPr>
              <w:t>3.</w:t>
            </w:r>
            <w:r w:rsidR="00091079" w:rsidRPr="00AD7132">
              <w:rPr>
                <w:rFonts w:asciiTheme="minorHAnsi" w:hAnsiTheme="minorHAnsi" w:cstheme="minorHAnsi"/>
              </w:rPr>
              <w:t>0</w:t>
            </w:r>
          </w:p>
        </w:tc>
      </w:tr>
      <w:tr w:rsidR="00F53855" w:rsidRPr="00AD7132"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AD7132" w:rsidRDefault="00F53855" w:rsidP="00D1485E">
            <w:pPr>
              <w:bidi w:val="0"/>
              <w:spacing w:line="360" w:lineRule="auto"/>
              <w:jc w:val="center"/>
              <w:rPr>
                <w:rFonts w:asciiTheme="minorHAnsi" w:hAnsiTheme="minorHAnsi" w:cstheme="minorHAnsi"/>
              </w:rPr>
            </w:pPr>
            <w:r w:rsidRPr="00AD7132">
              <w:rPr>
                <w:rFonts w:asciiTheme="minorHAnsi" w:hAnsiTheme="minorHAnsi" w:cstheme="minorHAns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AD7132" w:rsidRDefault="00F53855" w:rsidP="00D1485E">
            <w:pPr>
              <w:bidi w:val="0"/>
              <w:spacing w:line="360" w:lineRule="auto"/>
              <w:jc w:val="center"/>
              <w:rPr>
                <w:rFonts w:asciiTheme="minorHAnsi" w:hAnsiTheme="minorHAnsi" w:cstheme="minorHAns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AD7132" w:rsidRDefault="00F53855" w:rsidP="00D1485E">
            <w:pPr>
              <w:bidi w:val="0"/>
              <w:spacing w:line="360" w:lineRule="auto"/>
              <w:jc w:val="center"/>
              <w:rPr>
                <w:rFonts w:asciiTheme="minorHAnsi" w:hAnsiTheme="minorHAnsi" w:cstheme="minorHAnsi"/>
              </w:rPr>
            </w:pPr>
          </w:p>
        </w:tc>
        <w:tc>
          <w:tcPr>
            <w:tcW w:w="2119" w:type="dxa"/>
            <w:tcBorders>
              <w:top w:val="nil"/>
              <w:left w:val="nil"/>
              <w:bottom w:val="single" w:sz="4" w:space="0" w:color="auto"/>
              <w:right w:val="nil"/>
            </w:tcBorders>
            <w:shd w:val="clear" w:color="auto" w:fill="auto"/>
            <w:noWrap/>
            <w:vAlign w:val="center"/>
            <w:hideMark/>
          </w:tcPr>
          <w:p w14:paraId="3643F34B" w14:textId="0684BE3B" w:rsidR="00F53855" w:rsidRPr="00AD7132" w:rsidRDefault="00F53855" w:rsidP="00D1485E">
            <w:pPr>
              <w:bidi w:val="0"/>
              <w:spacing w:line="360" w:lineRule="auto"/>
              <w:jc w:val="center"/>
              <w:rPr>
                <w:rFonts w:asciiTheme="minorHAnsi" w:hAnsiTheme="minorHAnsi" w:cstheme="minorHAnsi"/>
              </w:rPr>
            </w:pPr>
            <w:r w:rsidRPr="00AD7132">
              <w:rPr>
                <w:rFonts w:asciiTheme="minorHAnsi" w:hAnsiTheme="minorHAnsi" w:cstheme="minorHAnsi"/>
              </w:rPr>
              <w:t>(</w:t>
            </w:r>
            <w:r w:rsidR="00091079" w:rsidRPr="00AD7132">
              <w:rPr>
                <w:rFonts w:asciiTheme="minorHAnsi" w:hAnsiTheme="minorHAnsi" w:cstheme="minorHAnsi"/>
              </w:rPr>
              <w:t>2</w:t>
            </w:r>
            <w:r w:rsidR="00EC32FA" w:rsidRPr="00AD7132">
              <w:rPr>
                <w:rFonts w:asciiTheme="minorHAnsi" w:hAnsiTheme="minorHAnsi" w:cstheme="minorHAnsi"/>
              </w:rPr>
              <w:t>.</w:t>
            </w:r>
            <w:r w:rsidR="00091079" w:rsidRPr="00AD7132">
              <w:rPr>
                <w:rFonts w:asciiTheme="minorHAnsi" w:hAnsiTheme="minorHAnsi" w:cstheme="minorHAnsi"/>
              </w:rPr>
              <w:t>75</w:t>
            </w:r>
            <w:r w:rsidR="00A2696D" w:rsidRPr="00AD7132">
              <w:rPr>
                <w:rFonts w:asciiTheme="minorHAnsi" w:hAnsiTheme="minorHAnsi" w:cstheme="minorHAnsi"/>
              </w:rPr>
              <w:t>–</w:t>
            </w:r>
            <w:r w:rsidR="008730D4" w:rsidRPr="00AD7132">
              <w:rPr>
                <w:rFonts w:asciiTheme="minorHAnsi" w:hAnsiTheme="minorHAnsi" w:cstheme="minorHAnsi"/>
              </w:rPr>
              <w:t>3.</w:t>
            </w:r>
            <w:r w:rsidR="00615CDF" w:rsidRPr="00AD7132">
              <w:rPr>
                <w:rFonts w:asciiTheme="minorHAnsi" w:hAnsiTheme="minorHAnsi" w:cstheme="minorHAnsi"/>
              </w:rPr>
              <w:t>5</w:t>
            </w:r>
            <w:r w:rsidR="001C55F7" w:rsidRPr="00AD7132">
              <w:rPr>
                <w:rFonts w:asciiTheme="minorHAnsi" w:hAnsiTheme="minorHAnsi" w:cstheme="minorHAnsi"/>
              </w:rPr>
              <w:t>)</w:t>
            </w:r>
          </w:p>
        </w:tc>
      </w:tr>
      <w:tr w:rsidR="00A21D01" w:rsidRPr="00AD7132"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2E8463CB" w:rsidR="00F93D9D" w:rsidRPr="00AD7132" w:rsidRDefault="00F93D9D" w:rsidP="00D1485E">
            <w:pPr>
              <w:pStyle w:val="af3"/>
              <w:numPr>
                <w:ilvl w:val="0"/>
                <w:numId w:val="11"/>
              </w:numPr>
              <w:bidi w:val="0"/>
              <w:spacing w:line="360" w:lineRule="auto"/>
              <w:rPr>
                <w:rFonts w:asciiTheme="minorHAnsi" w:hAnsiTheme="minorHAnsi" w:cstheme="minorHAnsi"/>
              </w:rPr>
            </w:pPr>
            <w:r w:rsidRPr="00AD7132">
              <w:rPr>
                <w:rFonts w:asciiTheme="minorHAnsi" w:hAnsiTheme="minorHAnsi" w:cstheme="minorHAnsi"/>
              </w:rPr>
              <w:t xml:space="preserve">The inflation rate during the four quarters ending in the </w:t>
            </w:r>
            <w:r w:rsidR="00091079" w:rsidRPr="00AD7132">
              <w:rPr>
                <w:rFonts w:asciiTheme="minorHAnsi" w:hAnsiTheme="minorHAnsi" w:cstheme="minorHAnsi"/>
              </w:rPr>
              <w:t>second</w:t>
            </w:r>
            <w:r w:rsidRPr="00AD7132">
              <w:rPr>
                <w:rFonts w:asciiTheme="minorHAnsi" w:hAnsiTheme="minorHAnsi" w:cstheme="minorHAnsi"/>
              </w:rPr>
              <w:t xml:space="preserve"> quarter of 202</w:t>
            </w:r>
            <w:r w:rsidR="000E4216" w:rsidRPr="00AD7132">
              <w:rPr>
                <w:rFonts w:asciiTheme="minorHAnsi" w:hAnsiTheme="minorHAnsi" w:cstheme="minorHAnsi"/>
              </w:rPr>
              <w:t>7</w:t>
            </w:r>
            <w:r w:rsidRPr="00AD7132">
              <w:rPr>
                <w:rFonts w:asciiTheme="minorHAnsi" w:hAnsiTheme="minorHAnsi" w:cstheme="minorHAnsi"/>
              </w:rPr>
              <w:t xml:space="preserve">, and the average interest rate in the </w:t>
            </w:r>
            <w:r w:rsidR="00091079" w:rsidRPr="00AD7132">
              <w:rPr>
                <w:rFonts w:asciiTheme="minorHAnsi" w:hAnsiTheme="minorHAnsi" w:cstheme="minorHAnsi"/>
              </w:rPr>
              <w:t>second</w:t>
            </w:r>
            <w:r w:rsidRPr="00AD7132">
              <w:rPr>
                <w:rFonts w:asciiTheme="minorHAnsi" w:hAnsiTheme="minorHAnsi" w:cstheme="minorHAnsi"/>
              </w:rPr>
              <w:t xml:space="preserve"> quarter of 202</w:t>
            </w:r>
            <w:r w:rsidR="000E4216" w:rsidRPr="00AD7132">
              <w:rPr>
                <w:rFonts w:asciiTheme="minorHAnsi" w:hAnsiTheme="minorHAnsi" w:cstheme="minorHAnsi"/>
              </w:rPr>
              <w:t>7</w:t>
            </w:r>
            <w:r w:rsidRPr="00AD7132">
              <w:rPr>
                <w:rFonts w:asciiTheme="minorHAnsi" w:hAnsiTheme="minorHAnsi" w:cstheme="minorHAnsi"/>
              </w:rPr>
              <w:t>.</w:t>
            </w:r>
          </w:p>
          <w:p w14:paraId="1A2BF5F5" w14:textId="226F3218" w:rsidR="00446B32" w:rsidRPr="00AD7132" w:rsidRDefault="00F93D9D" w:rsidP="00D1485E">
            <w:pPr>
              <w:pStyle w:val="af3"/>
              <w:numPr>
                <w:ilvl w:val="0"/>
                <w:numId w:val="11"/>
              </w:numPr>
              <w:bidi w:val="0"/>
              <w:spacing w:line="360" w:lineRule="auto"/>
              <w:rPr>
                <w:rFonts w:asciiTheme="minorHAnsi" w:hAnsiTheme="minorHAnsi" w:cstheme="minorHAnsi"/>
              </w:rPr>
            </w:pPr>
            <w:r w:rsidRPr="00AD7132">
              <w:rPr>
                <w:rFonts w:asciiTheme="minorHAnsi" w:hAnsiTheme="minorHAnsi" w:cstheme="minorHAnsi"/>
              </w:rPr>
              <w:t>A</w:t>
            </w:r>
            <w:r w:rsidR="00862770" w:rsidRPr="00AD7132">
              <w:rPr>
                <w:rFonts w:asciiTheme="minorHAnsi" w:hAnsiTheme="minorHAnsi" w:cstheme="minorHAnsi"/>
              </w:rPr>
              <w:t xml:space="preserve">s of </w:t>
            </w:r>
            <w:r w:rsidR="00091079" w:rsidRPr="00AD7132">
              <w:rPr>
                <w:rFonts w:asciiTheme="minorHAnsi" w:hAnsiTheme="minorHAnsi" w:cstheme="minorHAnsi"/>
              </w:rPr>
              <w:t>July 3</w:t>
            </w:r>
            <w:r w:rsidR="008730D4" w:rsidRPr="00AD7132">
              <w:rPr>
                <w:rFonts w:asciiTheme="minorHAnsi" w:hAnsiTheme="minorHAnsi" w:cstheme="minorHAnsi"/>
              </w:rPr>
              <w:t>, 2026</w:t>
            </w:r>
            <w:r w:rsidR="005650EE" w:rsidRPr="00AD7132">
              <w:rPr>
                <w:rFonts w:asciiTheme="minorHAnsi" w:hAnsiTheme="minorHAnsi" w:cstheme="minorHAnsi"/>
              </w:rPr>
              <w:t>.</w:t>
            </w:r>
            <w:r w:rsidRPr="00AD7132">
              <w:rPr>
                <w:rFonts w:asciiTheme="minorHAnsi" w:hAnsiTheme="minorHAnsi" w:cstheme="minorHAnsi"/>
              </w:rPr>
              <w:t xml:space="preserve"> Inflation expectations </w:t>
            </w:r>
            <w:proofErr w:type="gramStart"/>
            <w:r w:rsidRPr="00AD7132">
              <w:rPr>
                <w:rFonts w:asciiTheme="minorHAnsi" w:hAnsiTheme="minorHAnsi" w:cstheme="minorHAnsi"/>
              </w:rPr>
              <w:t>are seasonally adjusted</w:t>
            </w:r>
            <w:proofErr w:type="gramEnd"/>
            <w:r w:rsidRPr="00AD7132">
              <w:rPr>
                <w:rFonts w:asciiTheme="minorHAnsi" w:hAnsiTheme="minorHAnsi" w:cstheme="minorHAnsi"/>
              </w:rPr>
              <w:t xml:space="preserve"> and </w:t>
            </w:r>
            <w:r w:rsidR="008730D4" w:rsidRPr="00AD7132">
              <w:rPr>
                <w:rFonts w:asciiTheme="minorHAnsi" w:hAnsiTheme="minorHAnsi" w:cstheme="minorHAnsi"/>
              </w:rPr>
              <w:t>relate to one year forward. I</w:t>
            </w:r>
            <w:r w:rsidRPr="00AD7132">
              <w:rPr>
                <w:rFonts w:asciiTheme="minorHAnsi" w:hAnsiTheme="minorHAnsi" w:cstheme="minorHAnsi"/>
              </w:rPr>
              <w:t xml:space="preserve">nterest rate expectations </w:t>
            </w:r>
            <w:proofErr w:type="gramStart"/>
            <w:r w:rsidRPr="00AD7132">
              <w:rPr>
                <w:rFonts w:asciiTheme="minorHAnsi" w:hAnsiTheme="minorHAnsi" w:cstheme="minorHAnsi"/>
              </w:rPr>
              <w:t>are based</w:t>
            </w:r>
            <w:proofErr w:type="gramEnd"/>
            <w:r w:rsidRPr="00AD7132">
              <w:rPr>
                <w:rFonts w:asciiTheme="minorHAnsi" w:hAnsiTheme="minorHAnsi" w:cstheme="minorHAnsi"/>
              </w:rPr>
              <w:t xml:space="preserve"> on </w:t>
            </w:r>
            <w:r w:rsidR="00E57458" w:rsidRPr="00AD7132">
              <w:rPr>
                <w:rFonts w:asciiTheme="minorHAnsi" w:hAnsiTheme="minorHAnsi" w:cstheme="minorHAnsi"/>
              </w:rPr>
              <w:t xml:space="preserve">the Bank of Israel’s analysis of </w:t>
            </w:r>
            <w:r w:rsidRPr="00AD7132">
              <w:rPr>
                <w:rFonts w:asciiTheme="minorHAnsi" w:hAnsiTheme="minorHAnsi" w:cstheme="minorHAnsi"/>
              </w:rPr>
              <w:t xml:space="preserve">the </w:t>
            </w:r>
            <w:r w:rsidR="00410812" w:rsidRPr="00AD7132">
              <w:rPr>
                <w:rFonts w:asciiTheme="minorHAnsi" w:hAnsiTheme="minorHAnsi" w:cstheme="minorHAnsi"/>
              </w:rPr>
              <w:t xml:space="preserve">average quotes </w:t>
            </w:r>
            <w:r w:rsidR="00817D4A" w:rsidRPr="00AD7132">
              <w:rPr>
                <w:rFonts w:asciiTheme="minorHAnsi" w:hAnsiTheme="minorHAnsi" w:cstheme="minorHAnsi"/>
              </w:rPr>
              <w:t>from the SHIR market</w:t>
            </w:r>
            <w:r w:rsidRPr="00AD7132">
              <w:rPr>
                <w:rFonts w:asciiTheme="minorHAnsi" w:hAnsiTheme="minorHAnsi" w:cstheme="minorHAnsi"/>
              </w:rPr>
              <w:t>.</w:t>
            </w:r>
          </w:p>
          <w:p w14:paraId="20A87786" w14:textId="13B714CE" w:rsidR="007A06BA" w:rsidRPr="00AD7132" w:rsidRDefault="00F93D9D" w:rsidP="00D1485E">
            <w:pPr>
              <w:pStyle w:val="af3"/>
              <w:numPr>
                <w:ilvl w:val="0"/>
                <w:numId w:val="11"/>
              </w:numPr>
              <w:bidi w:val="0"/>
              <w:spacing w:line="360" w:lineRule="auto"/>
              <w:rPr>
                <w:rFonts w:asciiTheme="minorHAnsi" w:hAnsiTheme="minorHAnsi" w:cstheme="minorHAnsi"/>
              </w:rPr>
            </w:pPr>
            <w:r w:rsidRPr="00AD7132">
              <w:rPr>
                <w:rFonts w:asciiTheme="minorHAnsi" w:hAnsiTheme="minorHAnsi" w:cstheme="minorHAnsi"/>
              </w:rPr>
              <w:t>A</w:t>
            </w:r>
            <w:r w:rsidR="007A06BA" w:rsidRPr="00AD7132">
              <w:rPr>
                <w:rFonts w:asciiTheme="minorHAnsi" w:hAnsiTheme="minorHAnsi" w:cstheme="minorHAnsi"/>
              </w:rPr>
              <w:t xml:space="preserve">s of </w:t>
            </w:r>
            <w:r w:rsidR="00091079" w:rsidRPr="00AD7132">
              <w:rPr>
                <w:rFonts w:asciiTheme="minorHAnsi" w:hAnsiTheme="minorHAnsi" w:cstheme="minorHAnsi"/>
              </w:rPr>
              <w:t>July 3</w:t>
            </w:r>
            <w:r w:rsidR="008730D4" w:rsidRPr="00AD7132">
              <w:rPr>
                <w:rFonts w:asciiTheme="minorHAnsi" w:hAnsiTheme="minorHAnsi" w:cstheme="minorHAnsi"/>
              </w:rPr>
              <w:t>, 2026</w:t>
            </w:r>
            <w:r w:rsidR="007A06BA" w:rsidRPr="00AD7132">
              <w:rPr>
                <w:rFonts w:asciiTheme="minorHAnsi" w:hAnsiTheme="minorHAnsi" w:cstheme="minorHAnsi"/>
              </w:rPr>
              <w:t>.</w:t>
            </w:r>
            <w:r w:rsidR="004B7FE3" w:rsidRPr="00AD7132">
              <w:rPr>
                <w:rFonts w:asciiTheme="minorHAnsi" w:hAnsiTheme="minorHAnsi" w:cstheme="minorHAnsi"/>
              </w:rPr>
              <w:t xml:space="preserve">  The forecasters’ projections relate to the coming 12 index readings.</w:t>
            </w:r>
          </w:p>
        </w:tc>
      </w:tr>
      <w:tr w:rsidR="00A21D01" w:rsidRPr="00AD7132"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AD7132" w:rsidRDefault="00FE6484" w:rsidP="00D1485E">
            <w:pPr>
              <w:bidi w:val="0"/>
              <w:spacing w:line="360" w:lineRule="auto"/>
              <w:rPr>
                <w:rFonts w:asciiTheme="minorHAnsi" w:hAnsiTheme="minorHAnsi" w:cstheme="minorHAnsi"/>
                <w:rtl/>
              </w:rPr>
            </w:pPr>
            <w:r w:rsidRPr="00AD7132">
              <w:rPr>
                <w:rFonts w:asciiTheme="minorHAnsi" w:hAnsiTheme="minorHAnsi" w:cstheme="minorHAnsi"/>
              </w:rPr>
              <w:t>SOURCE: Bank of Israel.</w:t>
            </w:r>
          </w:p>
        </w:tc>
      </w:tr>
    </w:tbl>
    <w:p w14:paraId="1B3EA6D5" w14:textId="77777777" w:rsidR="00D211EC" w:rsidRPr="00AD7132" w:rsidRDefault="00D211EC" w:rsidP="00D1485E">
      <w:pPr>
        <w:bidi w:val="0"/>
        <w:spacing w:line="360" w:lineRule="auto"/>
        <w:jc w:val="both"/>
        <w:rPr>
          <w:rFonts w:asciiTheme="minorHAnsi" w:hAnsiTheme="minorHAnsi" w:cstheme="minorHAnsi"/>
          <w:b/>
          <w:bCs/>
        </w:rPr>
      </w:pPr>
    </w:p>
    <w:p w14:paraId="6BD73EDD" w14:textId="77777777" w:rsidR="007A06BA" w:rsidRPr="00AD7132" w:rsidRDefault="007A06BA" w:rsidP="00D1485E">
      <w:pPr>
        <w:bidi w:val="0"/>
        <w:spacing w:line="360" w:lineRule="auto"/>
        <w:jc w:val="both"/>
        <w:rPr>
          <w:rFonts w:asciiTheme="minorHAnsi" w:hAnsiTheme="minorHAnsi" w:cstheme="minorHAnsi"/>
        </w:rPr>
      </w:pPr>
    </w:p>
    <w:p w14:paraId="1B6C9E83" w14:textId="77777777" w:rsidR="00A21D01" w:rsidRPr="00AD7132" w:rsidRDefault="006648AB" w:rsidP="00D1485E">
      <w:pPr>
        <w:numPr>
          <w:ilvl w:val="0"/>
          <w:numId w:val="9"/>
        </w:numPr>
        <w:bidi w:val="0"/>
        <w:spacing w:line="360" w:lineRule="auto"/>
        <w:ind w:left="357" w:hanging="357"/>
        <w:jc w:val="both"/>
        <w:rPr>
          <w:rFonts w:asciiTheme="minorHAnsi" w:hAnsiTheme="minorHAnsi" w:cstheme="minorHAnsi"/>
          <w:b/>
          <w:bCs/>
        </w:rPr>
      </w:pPr>
      <w:r w:rsidRPr="00AD7132">
        <w:rPr>
          <w:rFonts w:asciiTheme="minorHAnsi" w:hAnsiTheme="minorHAnsi" w:cstheme="minorHAnsi"/>
          <w:b/>
          <w:bCs/>
        </w:rPr>
        <w:t>Main r</w:t>
      </w:r>
      <w:r w:rsidR="00A21D01" w:rsidRPr="00AD7132">
        <w:rPr>
          <w:rFonts w:asciiTheme="minorHAnsi" w:hAnsiTheme="minorHAnsi" w:cstheme="minorHAnsi"/>
          <w:b/>
          <w:bCs/>
        </w:rPr>
        <w:t xml:space="preserve">isks </w:t>
      </w:r>
      <w:r w:rsidR="00202CCB" w:rsidRPr="00AD7132">
        <w:rPr>
          <w:rFonts w:asciiTheme="minorHAnsi" w:hAnsiTheme="minorHAnsi" w:cstheme="minorHAnsi"/>
          <w:b/>
          <w:bCs/>
        </w:rPr>
        <w:t xml:space="preserve">to </w:t>
      </w:r>
      <w:r w:rsidR="00A21D01" w:rsidRPr="00AD7132">
        <w:rPr>
          <w:rFonts w:asciiTheme="minorHAnsi" w:hAnsiTheme="minorHAnsi" w:cstheme="minorHAnsi"/>
          <w:b/>
          <w:bCs/>
        </w:rPr>
        <w:t>the forecast</w:t>
      </w:r>
    </w:p>
    <w:p w14:paraId="705C155D" w14:textId="433CC9BD" w:rsidR="00091079" w:rsidRPr="00AD7132" w:rsidRDefault="00091079" w:rsidP="00D1485E">
      <w:pPr>
        <w:bidi w:val="0"/>
        <w:spacing w:line="360" w:lineRule="auto"/>
        <w:jc w:val="both"/>
        <w:rPr>
          <w:rFonts w:asciiTheme="minorHAnsi" w:hAnsiTheme="minorHAnsi" w:cstheme="minorHAnsi"/>
        </w:rPr>
      </w:pPr>
      <w:r w:rsidRPr="00AD7132">
        <w:rPr>
          <w:rFonts w:asciiTheme="minorHAnsi" w:hAnsiTheme="minorHAnsi" w:cstheme="minorHAnsi"/>
        </w:rPr>
        <w:t xml:space="preserve">The forecast is characterized by </w:t>
      </w:r>
      <w:r w:rsidR="000E4216" w:rsidRPr="00AD7132">
        <w:rPr>
          <w:rFonts w:asciiTheme="minorHAnsi" w:hAnsiTheme="minorHAnsi" w:cstheme="minorHAnsi"/>
        </w:rPr>
        <w:t>uncertainty</w:t>
      </w:r>
      <w:r w:rsidRPr="00AD7132">
        <w:rPr>
          <w:rFonts w:asciiTheme="minorHAnsi" w:hAnsiTheme="minorHAnsi" w:cstheme="minorHAnsi"/>
        </w:rPr>
        <w:t xml:space="preserve"> regarding the geopolitical environment, particularly with regard to the duration of fighting in Lebanon, the necessary volume of reserve mobilization</w:t>
      </w:r>
      <w:r w:rsidR="000E4216" w:rsidRPr="00AD7132">
        <w:rPr>
          <w:rFonts w:asciiTheme="minorHAnsi" w:hAnsiTheme="minorHAnsi" w:cstheme="minorHAnsi"/>
        </w:rPr>
        <w:t>,</w:t>
      </w:r>
      <w:r w:rsidRPr="00AD7132">
        <w:rPr>
          <w:rFonts w:asciiTheme="minorHAnsi" w:hAnsiTheme="minorHAnsi" w:cstheme="minorHAnsi"/>
        </w:rPr>
        <w:t xml:space="preserve"> and the risk level due to the agreement between the US and Iran.  A renewed flare-up against Iran or on other </w:t>
      </w:r>
      <w:proofErr w:type="gramStart"/>
      <w:r w:rsidRPr="00AD7132">
        <w:rPr>
          <w:rFonts w:asciiTheme="minorHAnsi" w:hAnsiTheme="minorHAnsi" w:cstheme="minorHAnsi"/>
        </w:rPr>
        <w:t>fronts,</w:t>
      </w:r>
      <w:proofErr w:type="gramEnd"/>
      <w:r w:rsidRPr="00AD7132">
        <w:rPr>
          <w:rFonts w:asciiTheme="minorHAnsi" w:hAnsiTheme="minorHAnsi" w:cstheme="minorHAnsi"/>
        </w:rPr>
        <w:t xml:space="preserve"> and the continued need for mobilization of the reserves may worsen the supply constraints, impair the recovery of economic activity, increase defense expenditures and the risk premium, and create inflationary pressures that will require a more restrained interest rate path.  In contrast, a positive development that leads to a further decline in the risk premium and a strengthening of the shekel may support a more rapid recovery of activity and a more rapid decline of inflation alongside a more rapid decline of the interest rate.</w:t>
      </w:r>
    </w:p>
    <w:p w14:paraId="0E143061" w14:textId="6ED5D897" w:rsidR="00091079" w:rsidRPr="00AD7132" w:rsidRDefault="00091079" w:rsidP="00D1485E">
      <w:pPr>
        <w:bidi w:val="0"/>
        <w:spacing w:line="360" w:lineRule="auto"/>
        <w:jc w:val="both"/>
        <w:rPr>
          <w:rFonts w:asciiTheme="minorHAnsi" w:hAnsiTheme="minorHAnsi" w:cstheme="minorHAnsi"/>
        </w:rPr>
      </w:pPr>
    </w:p>
    <w:p w14:paraId="1CE3007C" w14:textId="7BDF79AA" w:rsidR="00D31908" w:rsidRPr="00AD7132" w:rsidRDefault="0009515E" w:rsidP="00D1485E">
      <w:pPr>
        <w:bidi w:val="0"/>
        <w:spacing w:line="360" w:lineRule="auto"/>
        <w:jc w:val="both"/>
        <w:rPr>
          <w:rFonts w:asciiTheme="minorHAnsi" w:hAnsiTheme="minorHAnsi" w:cstheme="minorHAnsi"/>
        </w:rPr>
      </w:pPr>
      <w:r w:rsidRPr="00AD7132">
        <w:rPr>
          <w:rFonts w:asciiTheme="minorHAnsi" w:hAnsiTheme="minorHAnsi" w:cstheme="minorHAnsi"/>
        </w:rPr>
        <w:t>There is also uncertainty with regard to the pace of increase in exports, particularly those of the high-tech sector.  The cumulative appreciation of the shekel in 2025 and early 2026 largely reflects a welcome decline in the economy’s risk premium, but the potential impairment of profitability of exporting companies in view of that appreciation may moderate their activities to some extent.</w:t>
      </w:r>
    </w:p>
    <w:p w14:paraId="0A29CF93" w14:textId="79F6FF02" w:rsidR="00D31908" w:rsidRPr="00AD7132" w:rsidRDefault="00D31908" w:rsidP="00D1485E">
      <w:pPr>
        <w:bidi w:val="0"/>
        <w:spacing w:line="360" w:lineRule="auto"/>
        <w:jc w:val="both"/>
        <w:rPr>
          <w:rFonts w:asciiTheme="minorHAnsi" w:hAnsiTheme="minorHAnsi" w:cstheme="minorHAnsi"/>
        </w:rPr>
      </w:pPr>
    </w:p>
    <w:p w14:paraId="00DE5816" w14:textId="38736A67" w:rsidR="007E5779" w:rsidRPr="00AD7132" w:rsidRDefault="0009515E" w:rsidP="00D1485E">
      <w:pPr>
        <w:bidi w:val="0"/>
        <w:spacing w:line="360" w:lineRule="auto"/>
        <w:jc w:val="both"/>
        <w:rPr>
          <w:rFonts w:asciiTheme="minorHAnsi" w:hAnsiTheme="minorHAnsi" w:cstheme="minorHAnsi"/>
          <w:rtl/>
        </w:rPr>
      </w:pPr>
      <w:r w:rsidRPr="00AD7132">
        <w:rPr>
          <w:rFonts w:asciiTheme="minorHAnsi" w:hAnsiTheme="minorHAnsi" w:cstheme="minorHAnsi"/>
        </w:rPr>
        <w:t xml:space="preserve">Finally, the risks in the deficit and the debt tend to the </w:t>
      </w:r>
      <w:r w:rsidR="005D65A1" w:rsidRPr="00AD7132">
        <w:rPr>
          <w:rFonts w:asciiTheme="minorHAnsi" w:hAnsiTheme="minorHAnsi" w:cstheme="minorHAnsi"/>
        </w:rPr>
        <w:t>up</w:t>
      </w:r>
      <w:r w:rsidRPr="00AD7132">
        <w:rPr>
          <w:rFonts w:asciiTheme="minorHAnsi" w:hAnsiTheme="minorHAnsi" w:cstheme="minorHAnsi"/>
        </w:rPr>
        <w:t xml:space="preserve">side.  </w:t>
      </w:r>
      <w:r w:rsidR="003373DB" w:rsidRPr="00AD7132">
        <w:rPr>
          <w:rFonts w:asciiTheme="minorHAnsi" w:hAnsiTheme="minorHAnsi" w:cstheme="minorHAnsi"/>
        </w:rPr>
        <w:t>T</w:t>
      </w:r>
      <w:r w:rsidRPr="00AD7132">
        <w:rPr>
          <w:rFonts w:asciiTheme="minorHAnsi" w:hAnsiTheme="minorHAnsi" w:cstheme="minorHAnsi"/>
        </w:rPr>
        <w:t>he defense establishment is demanding a significant increase in its budget for 2026.  A</w:t>
      </w:r>
      <w:r w:rsidR="005D65A1" w:rsidRPr="00AD7132">
        <w:rPr>
          <w:rFonts w:asciiTheme="minorHAnsi" w:hAnsiTheme="minorHAnsi" w:cstheme="minorHAnsi"/>
        </w:rPr>
        <w:t xml:space="preserve"> roughly NIS 25 billion </w:t>
      </w:r>
      <w:r w:rsidRPr="00AD7132">
        <w:rPr>
          <w:rFonts w:asciiTheme="minorHAnsi" w:hAnsiTheme="minorHAnsi" w:cstheme="minorHAnsi"/>
        </w:rPr>
        <w:t xml:space="preserve">increase of the defense budget to NIS 183 billion </w:t>
      </w:r>
      <w:r w:rsidR="005D65A1" w:rsidRPr="00AD7132">
        <w:rPr>
          <w:rFonts w:asciiTheme="minorHAnsi" w:hAnsiTheme="minorHAnsi" w:cstheme="minorHAnsi"/>
        </w:rPr>
        <w:t xml:space="preserve">this year </w:t>
      </w:r>
      <w:r w:rsidRPr="00AD7132">
        <w:rPr>
          <w:rFonts w:asciiTheme="minorHAnsi" w:hAnsiTheme="minorHAnsi" w:cstheme="minorHAnsi"/>
        </w:rPr>
        <w:t>will lead to a</w:t>
      </w:r>
      <w:r w:rsidR="005D65A1" w:rsidRPr="00AD7132">
        <w:rPr>
          <w:rFonts w:asciiTheme="minorHAnsi" w:hAnsiTheme="minorHAnsi" w:cstheme="minorHAnsi"/>
        </w:rPr>
        <w:t>n</w:t>
      </w:r>
      <w:r w:rsidRPr="00AD7132">
        <w:rPr>
          <w:rFonts w:asciiTheme="minorHAnsi" w:hAnsiTheme="minorHAnsi" w:cstheme="minorHAnsi"/>
        </w:rPr>
        <w:t xml:space="preserve"> increase in the deficit and the debt</w:t>
      </w:r>
      <w:r w:rsidR="003373DB" w:rsidRPr="00AD7132">
        <w:rPr>
          <w:rFonts w:asciiTheme="minorHAnsi" w:hAnsiTheme="minorHAnsi" w:cstheme="minorHAnsi"/>
        </w:rPr>
        <w:t>,</w:t>
      </w:r>
      <w:r w:rsidRPr="00AD7132">
        <w:rPr>
          <w:rFonts w:asciiTheme="minorHAnsi" w:hAnsiTheme="minorHAnsi" w:cstheme="minorHAnsi"/>
        </w:rPr>
        <w:t xml:space="preserve"> and an increase of 0.2–0.5 percent</w:t>
      </w:r>
      <w:r w:rsidR="00290E11" w:rsidRPr="00AD7132">
        <w:rPr>
          <w:rFonts w:asciiTheme="minorHAnsi" w:hAnsiTheme="minorHAnsi" w:cstheme="minorHAnsi"/>
        </w:rPr>
        <w:t>age points</w:t>
      </w:r>
      <w:r w:rsidRPr="00AD7132">
        <w:rPr>
          <w:rFonts w:asciiTheme="minorHAnsi" w:hAnsiTheme="minorHAnsi" w:cstheme="minorHAnsi"/>
        </w:rPr>
        <w:t xml:space="preserve"> in inflation relative to the baseline scenario</w:t>
      </w:r>
      <w:r w:rsidR="005D65A1" w:rsidRPr="00AD7132">
        <w:rPr>
          <w:rFonts w:asciiTheme="minorHAnsi" w:hAnsiTheme="minorHAnsi" w:cstheme="minorHAnsi"/>
        </w:rPr>
        <w:t>, based on the composition of the expenditure and its impact on supply constraints in the economy</w:t>
      </w:r>
      <w:r w:rsidRPr="00AD7132">
        <w:rPr>
          <w:rFonts w:asciiTheme="minorHAnsi" w:hAnsiTheme="minorHAnsi" w:cstheme="minorHAnsi"/>
        </w:rPr>
        <w:t>.  There is even greater uncertainty regarding the 2027 defense budget, in the absence of understandings on the multiyear budget for the defense establishment, and given the late timetable for the 2027 budget in view of the elections for the Knesset.  An expansionary policy that will lead to an upward path of the debt-to-GDP ratio may have a negative impact on the risk premium and lead to increased inflation and a higher interest rate.</w:t>
      </w:r>
    </w:p>
    <w:p w14:paraId="171EECDA" w14:textId="77777777" w:rsidR="007E5779" w:rsidRPr="00D1485E" w:rsidRDefault="007E5779" w:rsidP="00D1485E">
      <w:pPr>
        <w:bidi w:val="0"/>
        <w:spacing w:line="360" w:lineRule="auto"/>
        <w:jc w:val="both"/>
        <w:rPr>
          <w:rFonts w:asciiTheme="minorHAnsi" w:hAnsiTheme="minorHAnsi" w:cstheme="minorHAnsi"/>
          <w:rtl/>
        </w:rPr>
      </w:pPr>
    </w:p>
    <w:sectPr w:rsidR="007E5779" w:rsidRPr="00D1485E" w:rsidSect="00F52232">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6FAB" w14:textId="575196D1" w:rsidR="00A16ACA" w:rsidRDefault="00A16ACA" w:rsidP="00AB07E9">
    <w:pPr>
      <w:pStyle w:val="a5"/>
      <w:bidi w:val="0"/>
      <w:jc w:val="center"/>
    </w:pPr>
    <w:r>
      <w:t>Bank of Israel — Research Department Macroeconomic Staff Forecast</w:t>
    </w:r>
    <w:r w:rsidR="004A4BD6">
      <w:t xml:space="preserve">, </w:t>
    </w:r>
    <w:r w:rsidR="00AB07E9">
      <w:t>July</w:t>
    </w:r>
    <w:r w:rsidR="004A4BD6">
      <w:t xml:space="preserve"> 202</w:t>
    </w:r>
    <w:r w:rsidR="00A345AE">
      <w:t>6</w:t>
    </w:r>
  </w:p>
  <w:p w14:paraId="61039E0D" w14:textId="78B56BE5" w:rsidR="00CA0296"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E272B8">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272B8">
      <w:rPr>
        <w:b/>
        <w:bCs/>
        <w:noProof/>
      </w:rPr>
      <w:t>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FBB0" w14:textId="1B709428" w:rsidR="00CA0296" w:rsidRDefault="00AE0ADC" w:rsidP="00AB07E9">
    <w:pPr>
      <w:pStyle w:val="a5"/>
      <w:bidi w:val="0"/>
      <w:jc w:val="center"/>
    </w:pPr>
    <w:r>
      <w:t xml:space="preserve">Bank of Israel — Research Department Macroeconomic Staff Forecast, </w:t>
    </w:r>
    <w:r w:rsidR="00AB07E9">
      <w:t>July</w:t>
    </w:r>
    <w:r w:rsidR="0093113B">
      <w:t xml:space="preserve"> 2026</w:t>
    </w:r>
  </w:p>
  <w:p w14:paraId="6622DCD0" w14:textId="35773625" w:rsidR="00AE0ADC"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E272B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272B8">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10E25ADD" w:rsidR="00A30AC5" w:rsidRPr="00F31BDD" w:rsidRDefault="00A30AC5" w:rsidP="005D65A1">
      <w:pPr>
        <w:pStyle w:val="aa"/>
        <w:bidi w:val="0"/>
        <w:jc w:val="both"/>
        <w:rPr>
          <w:rtl/>
        </w:rPr>
      </w:pPr>
      <w:r>
        <w:rPr>
          <w:rStyle w:val="ac"/>
        </w:rPr>
        <w:footnoteRef/>
      </w:r>
      <w:r>
        <w:t xml:space="preserve"> The forecast </w:t>
      </w:r>
      <w:proofErr w:type="gramStart"/>
      <w:r>
        <w:t>was presented</w:t>
      </w:r>
      <w:proofErr w:type="gramEnd"/>
      <w:r>
        <w:t xml:space="preserve"> to the Bank of Israel Monetary Committee on </w:t>
      </w:r>
      <w:r w:rsidR="005D65A1">
        <w:t>July 5</w:t>
      </w:r>
      <w:r w:rsidR="0059481A">
        <w:t>, 2026</w:t>
      </w:r>
      <w:r>
        <w:t xml:space="preserve">, prior to the </w:t>
      </w:r>
      <w:r w:rsidRPr="00F31BDD">
        <w:t xml:space="preserve">decision on the interest rate made </w:t>
      </w:r>
      <w:r w:rsidR="00757359">
        <w:t xml:space="preserve">on </w:t>
      </w:r>
      <w:r w:rsidR="005D65A1">
        <w:t>July 6</w:t>
      </w:r>
      <w:r w:rsidR="0059481A">
        <w:t>, 2026</w:t>
      </w:r>
      <w:r w:rsidR="00D81515" w:rsidRPr="00F31BD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5169"/>
    <w:rsid w:val="00087BFF"/>
    <w:rsid w:val="000905F1"/>
    <w:rsid w:val="00090662"/>
    <w:rsid w:val="00090AA3"/>
    <w:rsid w:val="00091079"/>
    <w:rsid w:val="0009185E"/>
    <w:rsid w:val="00091EE0"/>
    <w:rsid w:val="00094471"/>
    <w:rsid w:val="00094E50"/>
    <w:rsid w:val="00094F60"/>
    <w:rsid w:val="0009515E"/>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1F7"/>
    <w:rsid w:val="000E2E12"/>
    <w:rsid w:val="000E4216"/>
    <w:rsid w:val="000E5247"/>
    <w:rsid w:val="000E5777"/>
    <w:rsid w:val="000E5976"/>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6CB"/>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77DD6"/>
    <w:rsid w:val="0018085C"/>
    <w:rsid w:val="001819F6"/>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301"/>
    <w:rsid w:val="001F390D"/>
    <w:rsid w:val="001F57FB"/>
    <w:rsid w:val="001F69AF"/>
    <w:rsid w:val="00200A32"/>
    <w:rsid w:val="00200E9B"/>
    <w:rsid w:val="0020285E"/>
    <w:rsid w:val="00202CCB"/>
    <w:rsid w:val="00205E52"/>
    <w:rsid w:val="00206BD3"/>
    <w:rsid w:val="00207522"/>
    <w:rsid w:val="00207CCA"/>
    <w:rsid w:val="0021167C"/>
    <w:rsid w:val="00211EF7"/>
    <w:rsid w:val="00213E62"/>
    <w:rsid w:val="002142E4"/>
    <w:rsid w:val="00217D29"/>
    <w:rsid w:val="00221B38"/>
    <w:rsid w:val="00222265"/>
    <w:rsid w:val="00225FAA"/>
    <w:rsid w:val="002260C5"/>
    <w:rsid w:val="00226664"/>
    <w:rsid w:val="00227A43"/>
    <w:rsid w:val="00233A26"/>
    <w:rsid w:val="002345E4"/>
    <w:rsid w:val="00234A33"/>
    <w:rsid w:val="00235170"/>
    <w:rsid w:val="0023631B"/>
    <w:rsid w:val="002363D1"/>
    <w:rsid w:val="00236603"/>
    <w:rsid w:val="002405BC"/>
    <w:rsid w:val="00241E66"/>
    <w:rsid w:val="0024200C"/>
    <w:rsid w:val="00242401"/>
    <w:rsid w:val="0024299E"/>
    <w:rsid w:val="002439E9"/>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0E11"/>
    <w:rsid w:val="00291398"/>
    <w:rsid w:val="002945D2"/>
    <w:rsid w:val="002966D2"/>
    <w:rsid w:val="002A1839"/>
    <w:rsid w:val="002A3BC1"/>
    <w:rsid w:val="002A4261"/>
    <w:rsid w:val="002A4B84"/>
    <w:rsid w:val="002B1C60"/>
    <w:rsid w:val="002B2C54"/>
    <w:rsid w:val="002B3EAC"/>
    <w:rsid w:val="002C0AF6"/>
    <w:rsid w:val="002C2B40"/>
    <w:rsid w:val="002C5C16"/>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3FE7"/>
    <w:rsid w:val="00324468"/>
    <w:rsid w:val="00326605"/>
    <w:rsid w:val="00326B5C"/>
    <w:rsid w:val="00327BB0"/>
    <w:rsid w:val="00333B0C"/>
    <w:rsid w:val="003366FD"/>
    <w:rsid w:val="003373DB"/>
    <w:rsid w:val="003379D1"/>
    <w:rsid w:val="003415C9"/>
    <w:rsid w:val="0034489A"/>
    <w:rsid w:val="00353C9A"/>
    <w:rsid w:val="00354E0E"/>
    <w:rsid w:val="00363628"/>
    <w:rsid w:val="003638DE"/>
    <w:rsid w:val="0036519C"/>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80E"/>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4413"/>
    <w:rsid w:val="004A4BD6"/>
    <w:rsid w:val="004A5916"/>
    <w:rsid w:val="004A6595"/>
    <w:rsid w:val="004A7599"/>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0D0"/>
    <w:rsid w:val="00566CFA"/>
    <w:rsid w:val="00567BBF"/>
    <w:rsid w:val="00567BD9"/>
    <w:rsid w:val="00571311"/>
    <w:rsid w:val="005715D5"/>
    <w:rsid w:val="00571AF0"/>
    <w:rsid w:val="005746E6"/>
    <w:rsid w:val="0057714E"/>
    <w:rsid w:val="005775AE"/>
    <w:rsid w:val="00577844"/>
    <w:rsid w:val="005778CC"/>
    <w:rsid w:val="00580B69"/>
    <w:rsid w:val="00586880"/>
    <w:rsid w:val="00587791"/>
    <w:rsid w:val="00591B6F"/>
    <w:rsid w:val="005946CC"/>
    <w:rsid w:val="0059481A"/>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5A1"/>
    <w:rsid w:val="005D6EBF"/>
    <w:rsid w:val="005D773A"/>
    <w:rsid w:val="005D77B9"/>
    <w:rsid w:val="005D7D3B"/>
    <w:rsid w:val="005E0237"/>
    <w:rsid w:val="005E18E9"/>
    <w:rsid w:val="005E6AD1"/>
    <w:rsid w:val="005E6CFC"/>
    <w:rsid w:val="005E7BD3"/>
    <w:rsid w:val="005F1F9D"/>
    <w:rsid w:val="005F2B24"/>
    <w:rsid w:val="005F6371"/>
    <w:rsid w:val="005F638E"/>
    <w:rsid w:val="005F6830"/>
    <w:rsid w:val="005F7583"/>
    <w:rsid w:val="006001D0"/>
    <w:rsid w:val="0060705B"/>
    <w:rsid w:val="006100B7"/>
    <w:rsid w:val="0061045E"/>
    <w:rsid w:val="00611D9B"/>
    <w:rsid w:val="006120B8"/>
    <w:rsid w:val="00614BA6"/>
    <w:rsid w:val="00615CDF"/>
    <w:rsid w:val="00621127"/>
    <w:rsid w:val="006220D7"/>
    <w:rsid w:val="006264EC"/>
    <w:rsid w:val="0063072B"/>
    <w:rsid w:val="00631795"/>
    <w:rsid w:val="00632EEB"/>
    <w:rsid w:val="00637B9C"/>
    <w:rsid w:val="006418B2"/>
    <w:rsid w:val="00641EA5"/>
    <w:rsid w:val="0064284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67C18"/>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B72C0"/>
    <w:rsid w:val="006C03C8"/>
    <w:rsid w:val="006C0D25"/>
    <w:rsid w:val="006C2D83"/>
    <w:rsid w:val="006C48FC"/>
    <w:rsid w:val="006C6293"/>
    <w:rsid w:val="006D3F0D"/>
    <w:rsid w:val="006D561A"/>
    <w:rsid w:val="006D574F"/>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2F40"/>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E5779"/>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3592"/>
    <w:rsid w:val="00844652"/>
    <w:rsid w:val="0084562F"/>
    <w:rsid w:val="00845C66"/>
    <w:rsid w:val="008512DE"/>
    <w:rsid w:val="00856207"/>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30D4"/>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462B"/>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1B78"/>
    <w:rsid w:val="009120C7"/>
    <w:rsid w:val="0091296D"/>
    <w:rsid w:val="00912F53"/>
    <w:rsid w:val="0091354C"/>
    <w:rsid w:val="00914404"/>
    <w:rsid w:val="00915695"/>
    <w:rsid w:val="00917EB4"/>
    <w:rsid w:val="00921594"/>
    <w:rsid w:val="0092271E"/>
    <w:rsid w:val="00922843"/>
    <w:rsid w:val="009229D2"/>
    <w:rsid w:val="00924F7B"/>
    <w:rsid w:val="0093113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826"/>
    <w:rsid w:val="00987A72"/>
    <w:rsid w:val="00987DC0"/>
    <w:rsid w:val="00990177"/>
    <w:rsid w:val="00990197"/>
    <w:rsid w:val="00991A64"/>
    <w:rsid w:val="00994B25"/>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C7A47"/>
    <w:rsid w:val="009D0346"/>
    <w:rsid w:val="009D0EE8"/>
    <w:rsid w:val="009D18E9"/>
    <w:rsid w:val="009D204E"/>
    <w:rsid w:val="009D3DC3"/>
    <w:rsid w:val="009D7FDA"/>
    <w:rsid w:val="009E0E54"/>
    <w:rsid w:val="009E1313"/>
    <w:rsid w:val="009E1656"/>
    <w:rsid w:val="009E1E37"/>
    <w:rsid w:val="009E3036"/>
    <w:rsid w:val="009E690A"/>
    <w:rsid w:val="009E7277"/>
    <w:rsid w:val="009E7E21"/>
    <w:rsid w:val="009F0CCE"/>
    <w:rsid w:val="009F17F3"/>
    <w:rsid w:val="009F1D5C"/>
    <w:rsid w:val="009F1F95"/>
    <w:rsid w:val="009F20C5"/>
    <w:rsid w:val="009F20F0"/>
    <w:rsid w:val="009F4404"/>
    <w:rsid w:val="009F4481"/>
    <w:rsid w:val="009F6812"/>
    <w:rsid w:val="009F6F89"/>
    <w:rsid w:val="009F7322"/>
    <w:rsid w:val="009F7CC0"/>
    <w:rsid w:val="00A0124F"/>
    <w:rsid w:val="00A02BD8"/>
    <w:rsid w:val="00A034A0"/>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41A2"/>
    <w:rsid w:val="00A259DD"/>
    <w:rsid w:val="00A2696D"/>
    <w:rsid w:val="00A30AC5"/>
    <w:rsid w:val="00A31317"/>
    <w:rsid w:val="00A32E5F"/>
    <w:rsid w:val="00A3378A"/>
    <w:rsid w:val="00A345AE"/>
    <w:rsid w:val="00A346A5"/>
    <w:rsid w:val="00A379B9"/>
    <w:rsid w:val="00A43FBA"/>
    <w:rsid w:val="00A43FFF"/>
    <w:rsid w:val="00A47365"/>
    <w:rsid w:val="00A47C92"/>
    <w:rsid w:val="00A50C95"/>
    <w:rsid w:val="00A51500"/>
    <w:rsid w:val="00A51FEB"/>
    <w:rsid w:val="00A53B6A"/>
    <w:rsid w:val="00A53FEA"/>
    <w:rsid w:val="00A5432B"/>
    <w:rsid w:val="00A602A3"/>
    <w:rsid w:val="00A61B99"/>
    <w:rsid w:val="00A63D50"/>
    <w:rsid w:val="00A651A5"/>
    <w:rsid w:val="00A65273"/>
    <w:rsid w:val="00A65999"/>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5B2F"/>
    <w:rsid w:val="00AA6475"/>
    <w:rsid w:val="00AB07E9"/>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BF0"/>
    <w:rsid w:val="00AD43AF"/>
    <w:rsid w:val="00AD4C9B"/>
    <w:rsid w:val="00AD5C82"/>
    <w:rsid w:val="00AD713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AE3"/>
    <w:rsid w:val="00B50BA7"/>
    <w:rsid w:val="00B518A6"/>
    <w:rsid w:val="00B52491"/>
    <w:rsid w:val="00B525A8"/>
    <w:rsid w:val="00B525D0"/>
    <w:rsid w:val="00B540ED"/>
    <w:rsid w:val="00B555ED"/>
    <w:rsid w:val="00B61879"/>
    <w:rsid w:val="00B64E48"/>
    <w:rsid w:val="00B70EB0"/>
    <w:rsid w:val="00B727F3"/>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5C7"/>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547A"/>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485E"/>
    <w:rsid w:val="00D166DB"/>
    <w:rsid w:val="00D16DFB"/>
    <w:rsid w:val="00D17CE0"/>
    <w:rsid w:val="00D211EC"/>
    <w:rsid w:val="00D22293"/>
    <w:rsid w:val="00D261C7"/>
    <w:rsid w:val="00D31908"/>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2501"/>
    <w:rsid w:val="00D860B7"/>
    <w:rsid w:val="00D9026F"/>
    <w:rsid w:val="00D9118C"/>
    <w:rsid w:val="00D914FA"/>
    <w:rsid w:val="00D91D85"/>
    <w:rsid w:val="00D949B6"/>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42DB"/>
    <w:rsid w:val="00E15173"/>
    <w:rsid w:val="00E151AA"/>
    <w:rsid w:val="00E20475"/>
    <w:rsid w:val="00E21C8A"/>
    <w:rsid w:val="00E24D13"/>
    <w:rsid w:val="00E272B8"/>
    <w:rsid w:val="00E27A4C"/>
    <w:rsid w:val="00E27CE1"/>
    <w:rsid w:val="00E3127C"/>
    <w:rsid w:val="00E31A80"/>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2232"/>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18716691">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35914100">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182743306">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3.xml><?xml version="1.0" encoding="utf-8"?>
<ds:datastoreItem xmlns:ds="http://schemas.openxmlformats.org/officeDocument/2006/customXml" ds:itemID="{DAC57AAB-9898-4DE2-BDAA-17A292961A9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9365EF4-227E-4084-A517-2A1FE3EE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2519</Words>
  <Characters>12597</Characters>
  <Application>Microsoft Office Word</Application>
  <DocSecurity>0</DocSecurity>
  <Lines>104</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לירון בן עמוס</dc:creator>
  <cp:lastModifiedBy>לירון בן עמוס</cp:lastModifiedBy>
  <cp:revision>5</cp:revision>
  <cp:lastPrinted>2026-07-06T11:09:00Z</cp:lastPrinted>
  <dcterms:created xsi:type="dcterms:W3CDTF">2026-07-06T10:54:00Z</dcterms:created>
  <dcterms:modified xsi:type="dcterms:W3CDTF">2026-07-06T12:33:00Z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