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15B" w:rsidRPr="006F18D3" w:rsidRDefault="006A415B" w:rsidP="00C2592B">
      <w:pPr>
        <w:pStyle w:val="Heading1"/>
        <w:numPr>
          <w:ilvl w:val="0"/>
          <w:numId w:val="0"/>
        </w:numPr>
        <w:tabs>
          <w:tab w:val="left" w:pos="180"/>
        </w:tabs>
        <w:bidi w:val="0"/>
        <w:spacing w:line="240" w:lineRule="auto"/>
        <w:ind w:right="32"/>
        <w:rPr>
          <w:rtl/>
          <w:lang w:eastAsia="en-US"/>
        </w:rPr>
      </w:pPr>
    </w:p>
    <w:p w:rsidR="006A415B" w:rsidRPr="006F18D3" w:rsidRDefault="00D4676A" w:rsidP="00A541E1">
      <w:pPr>
        <w:pStyle w:val="Header"/>
        <w:bidi w:val="0"/>
        <w:spacing w:line="240" w:lineRule="auto"/>
        <w:jc w:val="right"/>
      </w:pPr>
      <w:r>
        <w:t>April 7</w:t>
      </w:r>
      <w:r w:rsidR="00A541E1">
        <w:t>, 2025</w:t>
      </w:r>
    </w:p>
    <w:p w:rsidR="006A415B" w:rsidRPr="006F18D3" w:rsidRDefault="006A415B" w:rsidP="00C2592B">
      <w:pPr>
        <w:jc w:val="center"/>
        <w:rPr>
          <w:b/>
          <w:bCs/>
          <w:rtl/>
        </w:rPr>
      </w:pPr>
    </w:p>
    <w:p w:rsidR="00B06E18" w:rsidRDefault="00B06E18" w:rsidP="00A541E1">
      <w:pPr>
        <w:jc w:val="center"/>
        <w:rPr>
          <w:b/>
          <w:bCs/>
          <w:sz w:val="32"/>
          <w:szCs w:val="32"/>
          <w:rtl/>
        </w:rPr>
      </w:pPr>
    </w:p>
    <w:p w:rsidR="006A415B" w:rsidRPr="006850DB" w:rsidRDefault="006A415B" w:rsidP="00D4676A">
      <w:pPr>
        <w:jc w:val="center"/>
        <w:rPr>
          <w:b/>
          <w:bCs/>
          <w:sz w:val="32"/>
          <w:szCs w:val="32"/>
        </w:rPr>
      </w:pPr>
      <w:r w:rsidRPr="006850DB">
        <w:rPr>
          <w:b/>
          <w:bCs/>
          <w:sz w:val="32"/>
          <w:szCs w:val="32"/>
        </w:rPr>
        <w:t xml:space="preserve">The Monetary Committee decides on </w:t>
      </w:r>
      <w:r w:rsidR="00D4676A" w:rsidRPr="006850DB">
        <w:rPr>
          <w:rFonts w:hint="cs"/>
          <w:b/>
          <w:bCs/>
          <w:sz w:val="32"/>
          <w:szCs w:val="32"/>
        </w:rPr>
        <w:t>A</w:t>
      </w:r>
      <w:r w:rsidR="00D4676A" w:rsidRPr="006850DB">
        <w:rPr>
          <w:b/>
          <w:bCs/>
          <w:sz w:val="32"/>
          <w:szCs w:val="32"/>
        </w:rPr>
        <w:t>pril 7</w:t>
      </w:r>
      <w:r w:rsidR="005B062A" w:rsidRPr="006850DB">
        <w:rPr>
          <w:b/>
          <w:bCs/>
          <w:sz w:val="32"/>
          <w:szCs w:val="32"/>
        </w:rPr>
        <w:t>, 2025</w:t>
      </w:r>
      <w:r w:rsidRPr="006850DB">
        <w:rPr>
          <w:b/>
          <w:bCs/>
          <w:sz w:val="32"/>
          <w:szCs w:val="32"/>
        </w:rPr>
        <w:t xml:space="preserve"> </w:t>
      </w:r>
    </w:p>
    <w:p w:rsidR="006A415B" w:rsidRPr="007635B7" w:rsidRDefault="006A415B" w:rsidP="00BE5BD6">
      <w:pPr>
        <w:jc w:val="center"/>
        <w:rPr>
          <w:b/>
          <w:bCs/>
          <w:sz w:val="32"/>
          <w:szCs w:val="32"/>
        </w:rPr>
      </w:pPr>
      <w:proofErr w:type="gramStart"/>
      <w:r w:rsidRPr="006850DB">
        <w:rPr>
          <w:b/>
          <w:bCs/>
          <w:sz w:val="32"/>
          <w:szCs w:val="32"/>
        </w:rPr>
        <w:t>to</w:t>
      </w:r>
      <w:proofErr w:type="gramEnd"/>
      <w:r w:rsidRPr="006850DB">
        <w:rPr>
          <w:b/>
          <w:bCs/>
          <w:sz w:val="32"/>
          <w:szCs w:val="32"/>
        </w:rPr>
        <w:t xml:space="preserve"> </w:t>
      </w:r>
      <w:r w:rsidR="00BE5BD6" w:rsidRPr="006850DB">
        <w:rPr>
          <w:b/>
          <w:bCs/>
          <w:sz w:val="32"/>
          <w:szCs w:val="32"/>
        </w:rPr>
        <w:t>leave the interest rate unchanged at 4.5 percent.</w:t>
      </w:r>
    </w:p>
    <w:p w:rsidR="000512B0" w:rsidRPr="00570519" w:rsidRDefault="000512B0" w:rsidP="00C2592B">
      <w:pPr>
        <w:jc w:val="both"/>
      </w:pPr>
    </w:p>
    <w:p w:rsidR="00D4676A" w:rsidRDefault="00D4676A" w:rsidP="00D4676A">
      <w:pPr>
        <w:pStyle w:val="NormalWeb"/>
        <w:numPr>
          <w:ilvl w:val="0"/>
          <w:numId w:val="14"/>
        </w:numPr>
        <w:shd w:val="clear" w:color="auto" w:fill="FFFFFF"/>
        <w:spacing w:before="0" w:beforeAutospacing="0" w:after="0" w:afterAutospacing="0"/>
        <w:ind w:left="350" w:hanging="357"/>
        <w:jc w:val="both"/>
        <w:rPr>
          <w:rFonts w:asciiTheme="majorBidi" w:hAnsiTheme="majorBidi" w:cstheme="majorBidi"/>
          <w:b/>
          <w:bCs/>
          <w:color w:val="242424"/>
        </w:rPr>
      </w:pPr>
      <w:bookmarkStart w:id="0" w:name="_GoBack"/>
      <w:r>
        <w:rPr>
          <w:rFonts w:asciiTheme="majorBidi" w:hAnsiTheme="majorBidi" w:cstheme="majorBidi"/>
          <w:b/>
          <w:bCs/>
          <w:color w:val="242424"/>
        </w:rPr>
        <w:t>The announcement of the US government’s tariff program last week has led to sharp declines in the markets, downward revisions of the global growth forecast and the forecast for world trade, and an increase in inflation expectations in the US.</w:t>
      </w:r>
    </w:p>
    <w:p w:rsidR="009141AE" w:rsidRDefault="00A541E1" w:rsidP="00D4676A">
      <w:pPr>
        <w:pStyle w:val="NormalWeb"/>
        <w:numPr>
          <w:ilvl w:val="0"/>
          <w:numId w:val="14"/>
        </w:numPr>
        <w:shd w:val="clear" w:color="auto" w:fill="FFFFFF"/>
        <w:spacing w:before="0" w:beforeAutospacing="0" w:after="0" w:afterAutospacing="0"/>
        <w:ind w:left="350" w:hanging="357"/>
        <w:jc w:val="both"/>
        <w:rPr>
          <w:rFonts w:asciiTheme="majorBidi" w:hAnsiTheme="majorBidi" w:cstheme="majorBidi"/>
          <w:b/>
          <w:bCs/>
          <w:color w:val="242424"/>
        </w:rPr>
      </w:pPr>
      <w:r>
        <w:rPr>
          <w:rFonts w:asciiTheme="majorBidi" w:hAnsiTheme="majorBidi" w:cstheme="majorBidi"/>
          <w:b/>
          <w:bCs/>
          <w:color w:val="242424"/>
        </w:rPr>
        <w:t>Economic activity continues to recover moderately in vi</w:t>
      </w:r>
      <w:r w:rsidR="00691F03">
        <w:rPr>
          <w:rFonts w:asciiTheme="majorBidi" w:hAnsiTheme="majorBidi" w:cstheme="majorBidi"/>
          <w:b/>
          <w:bCs/>
          <w:color w:val="242424"/>
        </w:rPr>
        <w:t>ew of geopolitical developments</w:t>
      </w:r>
      <w:r>
        <w:rPr>
          <w:rFonts w:asciiTheme="majorBidi" w:hAnsiTheme="majorBidi" w:cstheme="majorBidi"/>
          <w:b/>
          <w:bCs/>
          <w:color w:val="242424"/>
        </w:rPr>
        <w:t xml:space="preserve">. </w:t>
      </w:r>
      <w:r w:rsidR="00D4676A">
        <w:rPr>
          <w:rFonts w:asciiTheme="majorBidi" w:hAnsiTheme="majorBidi" w:cstheme="majorBidi"/>
          <w:b/>
          <w:bCs/>
          <w:color w:val="242424"/>
        </w:rPr>
        <w:t xml:space="preserve"> The labor market remains tight.  Activity in the construction industry is recovering.</w:t>
      </w:r>
    </w:p>
    <w:p w:rsidR="00A541E1" w:rsidRDefault="00D4676A" w:rsidP="00D4676A">
      <w:pPr>
        <w:pStyle w:val="NormalWeb"/>
        <w:numPr>
          <w:ilvl w:val="0"/>
          <w:numId w:val="14"/>
        </w:numPr>
        <w:shd w:val="clear" w:color="auto" w:fill="FFFFFF"/>
        <w:spacing w:before="0" w:beforeAutospacing="0" w:after="0" w:afterAutospacing="0"/>
        <w:ind w:left="350" w:hanging="357"/>
        <w:jc w:val="both"/>
        <w:rPr>
          <w:rFonts w:asciiTheme="majorBidi" w:hAnsiTheme="majorBidi" w:cstheme="majorBidi"/>
          <w:b/>
          <w:bCs/>
          <w:color w:val="242424"/>
        </w:rPr>
      </w:pPr>
      <w:r>
        <w:rPr>
          <w:rFonts w:asciiTheme="majorBidi" w:hAnsiTheme="majorBidi" w:cstheme="majorBidi"/>
          <w:b/>
          <w:bCs/>
          <w:color w:val="242424"/>
        </w:rPr>
        <w:t xml:space="preserve">Inflation in the past 12 months declined, to 3.4 percent, which is above the upper bound of the target range.  Inflation </w:t>
      </w:r>
      <w:proofErr w:type="gramStart"/>
      <w:r w:rsidR="00A541E1">
        <w:rPr>
          <w:rFonts w:asciiTheme="majorBidi" w:hAnsiTheme="majorBidi" w:cstheme="majorBidi"/>
          <w:b/>
          <w:bCs/>
          <w:color w:val="242424"/>
        </w:rPr>
        <w:t>is expected</w:t>
      </w:r>
      <w:proofErr w:type="gramEnd"/>
      <w:r w:rsidR="00A541E1">
        <w:rPr>
          <w:rFonts w:asciiTheme="majorBidi" w:hAnsiTheme="majorBidi" w:cstheme="majorBidi"/>
          <w:b/>
          <w:bCs/>
          <w:color w:val="242424"/>
        </w:rPr>
        <w:t xml:space="preserve"> to </w:t>
      </w:r>
      <w:r>
        <w:rPr>
          <w:rFonts w:asciiTheme="majorBidi" w:hAnsiTheme="majorBidi" w:cstheme="majorBidi"/>
          <w:b/>
          <w:bCs/>
          <w:color w:val="242424"/>
        </w:rPr>
        <w:t xml:space="preserve">continue moderating toward </w:t>
      </w:r>
      <w:r w:rsidR="00A541E1">
        <w:rPr>
          <w:rFonts w:asciiTheme="majorBidi" w:hAnsiTheme="majorBidi" w:cstheme="majorBidi"/>
          <w:b/>
          <w:bCs/>
          <w:color w:val="242424"/>
        </w:rPr>
        <w:t xml:space="preserve">the target range </w:t>
      </w:r>
      <w:r>
        <w:rPr>
          <w:rFonts w:asciiTheme="majorBidi" w:hAnsiTheme="majorBidi" w:cstheme="majorBidi"/>
          <w:b/>
          <w:bCs/>
          <w:color w:val="242424"/>
        </w:rPr>
        <w:t>during the coming months</w:t>
      </w:r>
      <w:r w:rsidR="00A541E1">
        <w:rPr>
          <w:rFonts w:asciiTheme="majorBidi" w:hAnsiTheme="majorBidi" w:cstheme="majorBidi"/>
          <w:b/>
          <w:bCs/>
          <w:color w:val="242424"/>
        </w:rPr>
        <w:t>.</w:t>
      </w:r>
    </w:p>
    <w:p w:rsidR="00A541E1" w:rsidRPr="003A6A53" w:rsidRDefault="00A541E1" w:rsidP="009D0E3A">
      <w:pPr>
        <w:pStyle w:val="NormalWeb"/>
        <w:numPr>
          <w:ilvl w:val="0"/>
          <w:numId w:val="14"/>
        </w:numPr>
        <w:shd w:val="clear" w:color="auto" w:fill="FFFFFF"/>
        <w:spacing w:before="0" w:beforeAutospacing="0" w:after="0" w:afterAutospacing="0"/>
        <w:ind w:left="350" w:hanging="357"/>
        <w:jc w:val="both"/>
        <w:rPr>
          <w:rFonts w:asciiTheme="majorBidi" w:hAnsiTheme="majorBidi" w:cstheme="majorBidi"/>
          <w:b/>
          <w:bCs/>
          <w:color w:val="242424"/>
        </w:rPr>
      </w:pPr>
      <w:r>
        <w:rPr>
          <w:rFonts w:asciiTheme="majorBidi" w:hAnsiTheme="majorBidi" w:cstheme="majorBidi"/>
          <w:b/>
          <w:bCs/>
          <w:color w:val="242424"/>
        </w:rPr>
        <w:t xml:space="preserve">Since the previous interest rate decision, the shekel has </w:t>
      </w:r>
      <w:r w:rsidR="00D4676A" w:rsidRPr="003A6A53">
        <w:rPr>
          <w:rFonts w:asciiTheme="majorBidi" w:hAnsiTheme="majorBidi" w:cstheme="majorBidi"/>
          <w:b/>
          <w:bCs/>
          <w:color w:val="242424"/>
        </w:rPr>
        <w:t>de</w:t>
      </w:r>
      <w:r w:rsidRPr="003A6A53">
        <w:rPr>
          <w:rFonts w:asciiTheme="majorBidi" w:hAnsiTheme="majorBidi" w:cstheme="majorBidi"/>
          <w:b/>
          <w:bCs/>
          <w:color w:val="242424"/>
        </w:rPr>
        <w:t xml:space="preserve">preciated </w:t>
      </w:r>
      <w:r w:rsidR="009D0E3A" w:rsidRPr="003A6A53">
        <w:rPr>
          <w:rFonts w:asciiTheme="majorBidi" w:hAnsiTheme="majorBidi" w:cstheme="majorBidi"/>
          <w:b/>
          <w:bCs/>
          <w:color w:val="242424"/>
        </w:rPr>
        <w:t xml:space="preserve">sharply </w:t>
      </w:r>
      <w:r w:rsidRPr="003A6A53">
        <w:rPr>
          <w:rFonts w:asciiTheme="majorBidi" w:hAnsiTheme="majorBidi" w:cstheme="majorBidi"/>
          <w:b/>
          <w:bCs/>
          <w:color w:val="242424"/>
        </w:rPr>
        <w:t xml:space="preserve">by </w:t>
      </w:r>
      <w:r w:rsidR="00D4676A" w:rsidRPr="003A6A53">
        <w:rPr>
          <w:rFonts w:asciiTheme="majorBidi" w:hAnsiTheme="majorBidi" w:cstheme="majorBidi"/>
          <w:b/>
          <w:bCs/>
          <w:color w:val="242424"/>
        </w:rPr>
        <w:t>4.3</w:t>
      </w:r>
      <w:r w:rsidRPr="003A6A53">
        <w:rPr>
          <w:rFonts w:asciiTheme="majorBidi" w:hAnsiTheme="majorBidi" w:cstheme="majorBidi"/>
          <w:b/>
          <w:bCs/>
          <w:color w:val="242424"/>
        </w:rPr>
        <w:t xml:space="preserve"> percent against the US dollar</w:t>
      </w:r>
      <w:r w:rsidR="00D4676A" w:rsidRPr="003A6A53">
        <w:rPr>
          <w:rFonts w:asciiTheme="majorBidi" w:hAnsiTheme="majorBidi" w:cstheme="majorBidi"/>
          <w:b/>
          <w:bCs/>
          <w:color w:val="242424"/>
        </w:rPr>
        <w:t>,</w:t>
      </w:r>
      <w:r w:rsidRPr="003A6A53">
        <w:rPr>
          <w:rFonts w:asciiTheme="majorBidi" w:hAnsiTheme="majorBidi" w:cstheme="majorBidi"/>
          <w:b/>
          <w:bCs/>
          <w:color w:val="242424"/>
        </w:rPr>
        <w:t xml:space="preserve"> by </w:t>
      </w:r>
      <w:r w:rsidR="00D4676A" w:rsidRPr="003A6A53">
        <w:rPr>
          <w:rFonts w:asciiTheme="majorBidi" w:hAnsiTheme="majorBidi" w:cstheme="majorBidi"/>
          <w:b/>
          <w:bCs/>
          <w:color w:val="242424"/>
        </w:rPr>
        <w:t>9.5</w:t>
      </w:r>
      <w:r w:rsidRPr="003A6A53">
        <w:rPr>
          <w:rFonts w:asciiTheme="majorBidi" w:hAnsiTheme="majorBidi" w:cstheme="majorBidi"/>
          <w:b/>
          <w:bCs/>
          <w:color w:val="242424"/>
        </w:rPr>
        <w:t xml:space="preserve"> percent against the euro, and by </w:t>
      </w:r>
      <w:r w:rsidR="00D4676A" w:rsidRPr="003A6A53">
        <w:rPr>
          <w:rFonts w:asciiTheme="majorBidi" w:hAnsiTheme="majorBidi" w:cstheme="majorBidi"/>
          <w:b/>
          <w:bCs/>
          <w:color w:val="242424"/>
        </w:rPr>
        <w:t>5.8</w:t>
      </w:r>
      <w:r w:rsidRPr="003A6A53">
        <w:rPr>
          <w:rFonts w:asciiTheme="majorBidi" w:hAnsiTheme="majorBidi" w:cstheme="majorBidi"/>
          <w:b/>
          <w:bCs/>
          <w:color w:val="242424"/>
        </w:rPr>
        <w:t xml:space="preserve"> percent in terms of the nominal effective exchange rate.</w:t>
      </w:r>
    </w:p>
    <w:p w:rsidR="00A541E1" w:rsidRDefault="00A541E1" w:rsidP="00D4676A">
      <w:pPr>
        <w:pStyle w:val="NormalWeb"/>
        <w:numPr>
          <w:ilvl w:val="0"/>
          <w:numId w:val="14"/>
        </w:numPr>
        <w:shd w:val="clear" w:color="auto" w:fill="FFFFFF"/>
        <w:spacing w:before="0" w:beforeAutospacing="0" w:after="0" w:afterAutospacing="0"/>
        <w:ind w:left="350" w:hanging="357"/>
        <w:jc w:val="both"/>
        <w:rPr>
          <w:rFonts w:asciiTheme="majorBidi" w:hAnsiTheme="majorBidi" w:cstheme="majorBidi"/>
          <w:b/>
          <w:bCs/>
          <w:color w:val="242424"/>
        </w:rPr>
      </w:pPr>
      <w:r w:rsidRPr="003A6A53">
        <w:rPr>
          <w:rFonts w:asciiTheme="majorBidi" w:hAnsiTheme="majorBidi" w:cstheme="majorBidi"/>
          <w:b/>
          <w:bCs/>
          <w:color w:val="242424"/>
        </w:rPr>
        <w:t xml:space="preserve">Israel’s risk premium, as measured by the 5-year CDS </w:t>
      </w:r>
      <w:r w:rsidR="00D4676A" w:rsidRPr="003A6A53">
        <w:rPr>
          <w:rFonts w:asciiTheme="majorBidi" w:hAnsiTheme="majorBidi" w:cstheme="majorBidi"/>
          <w:b/>
          <w:bCs/>
          <w:color w:val="242424"/>
        </w:rPr>
        <w:t>pric</w:t>
      </w:r>
      <w:r w:rsidR="00BE5BD6" w:rsidRPr="003A6A53">
        <w:rPr>
          <w:rFonts w:asciiTheme="majorBidi" w:hAnsiTheme="majorBidi" w:cstheme="majorBidi"/>
          <w:b/>
          <w:bCs/>
          <w:color w:val="242424"/>
        </w:rPr>
        <w:t>e</w:t>
      </w:r>
      <w:r w:rsidRPr="003A6A53">
        <w:rPr>
          <w:rFonts w:asciiTheme="majorBidi" w:hAnsiTheme="majorBidi" w:cstheme="majorBidi"/>
          <w:b/>
          <w:bCs/>
          <w:color w:val="242424"/>
        </w:rPr>
        <w:t xml:space="preserve"> and by the spreads on dollar-denominated government bonds, </w:t>
      </w:r>
      <w:r w:rsidR="00D4676A" w:rsidRPr="003A6A53">
        <w:rPr>
          <w:rFonts w:asciiTheme="majorBidi" w:hAnsiTheme="majorBidi" w:cstheme="majorBidi"/>
          <w:b/>
          <w:bCs/>
          <w:color w:val="242424"/>
        </w:rPr>
        <w:t xml:space="preserve">increased </w:t>
      </w:r>
      <w:r w:rsidR="009D0E3A" w:rsidRPr="003A6A53">
        <w:rPr>
          <w:rFonts w:asciiTheme="majorBidi" w:hAnsiTheme="majorBidi" w:cstheme="majorBidi"/>
          <w:b/>
          <w:bCs/>
          <w:color w:val="242424"/>
        </w:rPr>
        <w:t xml:space="preserve">sharply </w:t>
      </w:r>
      <w:r w:rsidR="00D4676A" w:rsidRPr="003A6A53">
        <w:rPr>
          <w:rFonts w:asciiTheme="majorBidi" w:hAnsiTheme="majorBidi" w:cstheme="majorBidi"/>
          <w:b/>
          <w:bCs/>
          <w:color w:val="242424"/>
        </w:rPr>
        <w:t>during the reviewed</w:t>
      </w:r>
      <w:r w:rsidR="00D4676A">
        <w:rPr>
          <w:rFonts w:asciiTheme="majorBidi" w:hAnsiTheme="majorBidi" w:cstheme="majorBidi"/>
          <w:b/>
          <w:bCs/>
          <w:color w:val="242424"/>
        </w:rPr>
        <w:t xml:space="preserve"> period, and is</w:t>
      </w:r>
      <w:r>
        <w:rPr>
          <w:rFonts w:asciiTheme="majorBidi" w:hAnsiTheme="majorBidi" w:cstheme="majorBidi"/>
          <w:b/>
          <w:bCs/>
          <w:color w:val="242424"/>
        </w:rPr>
        <w:t xml:space="preserve"> higher than in the prewar period.</w:t>
      </w:r>
    </w:p>
    <w:p w:rsidR="00D4676A" w:rsidRDefault="00D4676A" w:rsidP="008963D2">
      <w:pPr>
        <w:pStyle w:val="NormalWeb"/>
        <w:numPr>
          <w:ilvl w:val="0"/>
          <w:numId w:val="14"/>
        </w:numPr>
        <w:shd w:val="clear" w:color="auto" w:fill="FFFFFF"/>
        <w:spacing w:before="0" w:beforeAutospacing="0" w:after="0" w:afterAutospacing="0"/>
        <w:ind w:left="350" w:hanging="357"/>
        <w:jc w:val="both"/>
        <w:rPr>
          <w:rFonts w:asciiTheme="majorBidi" w:hAnsiTheme="majorBidi" w:cstheme="majorBidi"/>
          <w:b/>
          <w:bCs/>
          <w:color w:val="242424"/>
        </w:rPr>
      </w:pPr>
      <w:r>
        <w:rPr>
          <w:rFonts w:asciiTheme="majorBidi" w:hAnsiTheme="majorBidi" w:cstheme="majorBidi"/>
          <w:b/>
          <w:bCs/>
          <w:color w:val="242424"/>
        </w:rPr>
        <w:t xml:space="preserve">In the base scenario of the Research Department’s forecast, GDP </w:t>
      </w:r>
      <w:proofErr w:type="gramStart"/>
      <w:r>
        <w:rPr>
          <w:rFonts w:asciiTheme="majorBidi" w:hAnsiTheme="majorBidi" w:cstheme="majorBidi"/>
          <w:b/>
          <w:bCs/>
          <w:color w:val="242424"/>
        </w:rPr>
        <w:t>is expected</w:t>
      </w:r>
      <w:proofErr w:type="gramEnd"/>
      <w:r>
        <w:rPr>
          <w:rFonts w:asciiTheme="majorBidi" w:hAnsiTheme="majorBidi" w:cstheme="majorBidi"/>
          <w:b/>
          <w:bCs/>
          <w:color w:val="242424"/>
        </w:rPr>
        <w:t xml:space="preserve"> to grow by 3.5 percent in 2025 and by 4.0 percent in 2026, both lower than in the January forecast.  </w:t>
      </w:r>
      <w:r w:rsidR="008963D2">
        <w:rPr>
          <w:rFonts w:asciiTheme="majorBidi" w:hAnsiTheme="majorBidi" w:cstheme="majorBidi"/>
          <w:b/>
          <w:bCs/>
          <w:color w:val="242424"/>
        </w:rPr>
        <w:t>According to t</w:t>
      </w:r>
      <w:r>
        <w:rPr>
          <w:rFonts w:asciiTheme="majorBidi" w:hAnsiTheme="majorBidi" w:cstheme="majorBidi"/>
          <w:b/>
          <w:bCs/>
          <w:color w:val="242424"/>
        </w:rPr>
        <w:t>he current forecast</w:t>
      </w:r>
      <w:r w:rsidR="008963D2">
        <w:rPr>
          <w:rFonts w:asciiTheme="majorBidi" w:hAnsiTheme="majorBidi" w:cstheme="majorBidi"/>
          <w:b/>
          <w:bCs/>
          <w:color w:val="242424"/>
        </w:rPr>
        <w:t>,</w:t>
      </w:r>
      <w:r>
        <w:rPr>
          <w:rFonts w:asciiTheme="majorBidi" w:hAnsiTheme="majorBidi" w:cstheme="majorBidi"/>
          <w:b/>
          <w:bCs/>
          <w:color w:val="242424"/>
        </w:rPr>
        <w:t xml:space="preserve"> the new tariff policy announced b</w:t>
      </w:r>
      <w:r w:rsidR="007F458F">
        <w:rPr>
          <w:rFonts w:asciiTheme="majorBidi" w:hAnsiTheme="majorBidi" w:cstheme="majorBidi"/>
          <w:b/>
          <w:bCs/>
          <w:color w:val="242424"/>
        </w:rPr>
        <w:t xml:space="preserve">y the US government </w:t>
      </w:r>
      <w:proofErr w:type="gramStart"/>
      <w:r w:rsidR="008963D2">
        <w:rPr>
          <w:rFonts w:asciiTheme="majorBidi" w:hAnsiTheme="majorBidi" w:cstheme="majorBidi"/>
          <w:b/>
          <w:bCs/>
          <w:color w:val="242424"/>
        </w:rPr>
        <w:t>is expected</w:t>
      </w:r>
      <w:proofErr w:type="gramEnd"/>
      <w:r w:rsidR="008963D2">
        <w:rPr>
          <w:rFonts w:asciiTheme="majorBidi" w:hAnsiTheme="majorBidi" w:cstheme="majorBidi"/>
          <w:b/>
          <w:bCs/>
          <w:color w:val="242424"/>
        </w:rPr>
        <w:t xml:space="preserve"> to</w:t>
      </w:r>
      <w:r w:rsidR="007F458F">
        <w:rPr>
          <w:rFonts w:asciiTheme="majorBidi" w:hAnsiTheme="majorBidi" w:cstheme="majorBidi"/>
          <w:b/>
          <w:bCs/>
          <w:color w:val="242424"/>
        </w:rPr>
        <w:t xml:space="preserve"> moderate the volume of world trade and of Israeli exports.</w:t>
      </w:r>
    </w:p>
    <w:p w:rsidR="007F458F" w:rsidRDefault="007F458F" w:rsidP="00BD7538">
      <w:pPr>
        <w:ind w:right="-1"/>
        <w:jc w:val="both"/>
        <w:rPr>
          <w:b/>
          <w:bCs/>
        </w:rPr>
      </w:pPr>
    </w:p>
    <w:p w:rsidR="00514240" w:rsidRDefault="003E2FB9" w:rsidP="00BD7538">
      <w:pPr>
        <w:ind w:right="-1"/>
        <w:jc w:val="both"/>
        <w:rPr>
          <w:b/>
          <w:bCs/>
        </w:rPr>
      </w:pPr>
      <w:r w:rsidRPr="00CD5043">
        <w:rPr>
          <w:b/>
          <w:bCs/>
        </w:rPr>
        <w:t xml:space="preserve">In view of the </w:t>
      </w:r>
      <w:r w:rsidR="00DF60FF" w:rsidRPr="00CD5043">
        <w:rPr>
          <w:b/>
          <w:bCs/>
        </w:rPr>
        <w:t xml:space="preserve">continuing </w:t>
      </w:r>
      <w:r w:rsidRPr="00CD5043">
        <w:rPr>
          <w:b/>
          <w:bCs/>
        </w:rPr>
        <w:t xml:space="preserve">war, the Monetary Committee’s policy is focusing on stabilizing the markets and reducing uncertainty, </w:t>
      </w:r>
      <w:r w:rsidR="008D5EB4" w:rsidRPr="00CD5043">
        <w:rPr>
          <w:b/>
          <w:bCs/>
        </w:rPr>
        <w:t>alongside price stability and supporting economic activity.</w:t>
      </w:r>
      <w:r w:rsidR="00195AC7" w:rsidRPr="00CD5043">
        <w:rPr>
          <w:b/>
          <w:bCs/>
        </w:rPr>
        <w:t xml:space="preserve"> </w:t>
      </w:r>
      <w:r w:rsidR="008D5EB4" w:rsidRPr="00CD5043">
        <w:rPr>
          <w:b/>
          <w:bCs/>
        </w:rPr>
        <w:t>The interest rate path</w:t>
      </w:r>
      <w:r w:rsidRPr="00CD5043">
        <w:rPr>
          <w:b/>
          <w:bCs/>
        </w:rPr>
        <w:t xml:space="preserve"> will be determined in accordance with</w:t>
      </w:r>
      <w:r w:rsidR="00560CDB" w:rsidRPr="00CD5043">
        <w:rPr>
          <w:b/>
          <w:bCs/>
        </w:rPr>
        <w:t xml:space="preserve"> the convergence of inflation to its target, continued stability in the</w:t>
      </w:r>
      <w:r w:rsidR="00851499" w:rsidRPr="00CD5043">
        <w:rPr>
          <w:b/>
          <w:bCs/>
        </w:rPr>
        <w:t xml:space="preserve"> </w:t>
      </w:r>
      <w:r w:rsidR="008D5EB4" w:rsidRPr="00CD5043">
        <w:rPr>
          <w:b/>
          <w:bCs/>
        </w:rPr>
        <w:t>financial markets</w:t>
      </w:r>
      <w:r w:rsidR="00560CDB" w:rsidRPr="00CD5043">
        <w:rPr>
          <w:b/>
          <w:bCs/>
        </w:rPr>
        <w:t xml:space="preserve">, </w:t>
      </w:r>
      <w:r w:rsidR="008D5EB4" w:rsidRPr="00CD5043">
        <w:rPr>
          <w:b/>
          <w:bCs/>
        </w:rPr>
        <w:t>economic activity</w:t>
      </w:r>
      <w:r w:rsidR="00560CDB" w:rsidRPr="00CD5043">
        <w:rPr>
          <w:b/>
          <w:bCs/>
        </w:rPr>
        <w:t>, and fiscal policy</w:t>
      </w:r>
      <w:r w:rsidR="008D5EB4" w:rsidRPr="00CD5043">
        <w:rPr>
          <w:b/>
          <w:bCs/>
        </w:rPr>
        <w:t>.</w:t>
      </w:r>
    </w:p>
    <w:p w:rsidR="00982234" w:rsidRDefault="00982234" w:rsidP="006075EE">
      <w:pPr>
        <w:ind w:right="265"/>
        <w:jc w:val="both"/>
        <w:rPr>
          <w:b/>
          <w:bCs/>
        </w:rPr>
      </w:pPr>
    </w:p>
    <w:p w:rsidR="00982234" w:rsidRPr="00004259" w:rsidRDefault="00982234" w:rsidP="006075EE">
      <w:pPr>
        <w:ind w:right="265"/>
        <w:jc w:val="both"/>
        <w:rPr>
          <w:b/>
          <w:bCs/>
        </w:rPr>
      </w:pPr>
    </w:p>
    <w:p w:rsidR="007B5771" w:rsidRPr="006F18D3" w:rsidRDefault="007B5771" w:rsidP="006075EE">
      <w:pPr>
        <w:rPr>
          <w:b/>
          <w:bCs/>
        </w:rPr>
      </w:pPr>
      <w:r w:rsidRPr="00176645">
        <w:rPr>
          <w:b/>
          <w:bCs/>
        </w:rPr>
        <w:t>For the file of figures accompanying this notice, click here.</w:t>
      </w:r>
    </w:p>
    <w:p w:rsidR="002E392D" w:rsidRPr="006F18D3" w:rsidRDefault="002E392D" w:rsidP="006075EE">
      <w:pPr>
        <w:jc w:val="both"/>
      </w:pPr>
    </w:p>
    <w:p w:rsidR="00A34B91" w:rsidRDefault="00A34B91" w:rsidP="00BD7538">
      <w:pPr>
        <w:ind w:right="-1"/>
        <w:jc w:val="both"/>
      </w:pPr>
    </w:p>
    <w:p w:rsidR="005B062A" w:rsidRDefault="005B062A" w:rsidP="00CF1847">
      <w:pPr>
        <w:ind w:right="-1"/>
        <w:jc w:val="both"/>
      </w:pPr>
      <w:r w:rsidRPr="00F557EC">
        <w:t>The recovery</w:t>
      </w:r>
      <w:r>
        <w:t xml:space="preserve"> in economic activity continues at a moderate pace, in view of geopolitical developments.  </w:t>
      </w:r>
      <w:r w:rsidR="00F557EC">
        <w:t xml:space="preserve">Inflation </w:t>
      </w:r>
      <w:r w:rsidR="007F458F">
        <w:t>remains</w:t>
      </w:r>
      <w:r w:rsidR="00F557EC">
        <w:t xml:space="preserve"> above the upp</w:t>
      </w:r>
      <w:r w:rsidR="00CF1847">
        <w:t xml:space="preserve">er bound of the target range. It moderated in February, and according to forecasters’ </w:t>
      </w:r>
      <w:proofErr w:type="gramStart"/>
      <w:r w:rsidR="00CF1847">
        <w:t>projections</w:t>
      </w:r>
      <w:proofErr w:type="gramEnd"/>
      <w:r w:rsidR="00CF1847">
        <w:t xml:space="preserve"> it is expected to continue moderating toward the target range in the coming months. </w:t>
      </w:r>
      <w:r>
        <w:t xml:space="preserve">The economy’s risk premium </w:t>
      </w:r>
      <w:r w:rsidR="00CF1847">
        <w:t xml:space="preserve">increased </w:t>
      </w:r>
      <w:r w:rsidR="008963D2">
        <w:t xml:space="preserve">markedly </w:t>
      </w:r>
      <w:r w:rsidR="00CF1847">
        <w:t>in recent months</w:t>
      </w:r>
      <w:r>
        <w:t>.</w:t>
      </w:r>
      <w:r w:rsidR="00CF1847">
        <w:t xml:space="preserve">  The announcement of the US government’s tariff program last week led to a sharp decline in the markets, </w:t>
      </w:r>
      <w:r w:rsidR="00CF1847">
        <w:lastRenderedPageBreak/>
        <w:t>downward revisions of the forecasts for global growth and world trade, and an increase in inflation expectations in the US, and possibly also in other countries.</w:t>
      </w:r>
    </w:p>
    <w:p w:rsidR="00E31FBB" w:rsidRDefault="00E31FBB" w:rsidP="00BD7538">
      <w:pPr>
        <w:ind w:right="-1"/>
        <w:jc w:val="both"/>
      </w:pPr>
    </w:p>
    <w:p w:rsidR="0054460C" w:rsidRDefault="00E31FBB" w:rsidP="008963D2">
      <w:pPr>
        <w:ind w:right="-1"/>
        <w:jc w:val="both"/>
      </w:pPr>
      <w:r>
        <w:t xml:space="preserve">The Consumer Price Index </w:t>
      </w:r>
      <w:r w:rsidR="00F557EC">
        <w:t xml:space="preserve">for </w:t>
      </w:r>
      <w:r w:rsidR="00CF1847">
        <w:t>February remained unchanged, and</w:t>
      </w:r>
      <w:r>
        <w:t xml:space="preserve"> inflation in the past 12 months </w:t>
      </w:r>
      <w:r w:rsidR="00CF1847">
        <w:t>declined to</w:t>
      </w:r>
      <w:r>
        <w:t xml:space="preserve"> 3.</w:t>
      </w:r>
      <w:r w:rsidR="00CF1847">
        <w:t>4</w:t>
      </w:r>
      <w:r>
        <w:t xml:space="preserve"> percent, above the upper bound of the target range (</w:t>
      </w:r>
      <w:r>
        <w:rPr>
          <w:b/>
          <w:bCs/>
        </w:rPr>
        <w:t>Figure 1</w:t>
      </w:r>
      <w:r>
        <w:t xml:space="preserve">).  </w:t>
      </w:r>
      <w:r w:rsidR="003978C2">
        <w:t xml:space="preserve">Net of </w:t>
      </w:r>
      <w:proofErr w:type="gramStart"/>
      <w:r w:rsidR="003978C2">
        <w:t>energy and fruit</w:t>
      </w:r>
      <w:proofErr w:type="gramEnd"/>
      <w:r w:rsidR="003978C2">
        <w:t xml:space="preserve"> and vegetables, </w:t>
      </w:r>
      <w:r>
        <w:t xml:space="preserve">the annual </w:t>
      </w:r>
      <w:r w:rsidR="003978C2">
        <w:t xml:space="preserve">inflation </w:t>
      </w:r>
      <w:r>
        <w:t xml:space="preserve">rate </w:t>
      </w:r>
      <w:r w:rsidR="00BE5BD6">
        <w:t>was</w:t>
      </w:r>
      <w:r w:rsidR="00F557EC">
        <w:t xml:space="preserve"> </w:t>
      </w:r>
      <w:r w:rsidR="0036423D">
        <w:t>3.</w:t>
      </w:r>
      <w:r w:rsidR="00CF1847">
        <w:t>7</w:t>
      </w:r>
      <w:r w:rsidR="003978C2">
        <w:t xml:space="preserve"> percent</w:t>
      </w:r>
      <w:r w:rsidR="009775A1">
        <w:t xml:space="preserve"> </w:t>
      </w:r>
      <w:r w:rsidR="003978C2" w:rsidRPr="00CC1BEA">
        <w:rPr>
          <w:b/>
          <w:bCs/>
        </w:rPr>
        <w:t>(Figure 2)</w:t>
      </w:r>
      <w:r w:rsidR="003978C2">
        <w:t>.</w:t>
      </w:r>
      <w:r w:rsidR="0071424E">
        <w:t xml:space="preserve"> The</w:t>
      </w:r>
      <w:r w:rsidR="00CC1BEA">
        <w:t xml:space="preserve"> </w:t>
      </w:r>
      <w:r w:rsidR="00CF1847">
        <w:t xml:space="preserve">decline in </w:t>
      </w:r>
      <w:r>
        <w:t xml:space="preserve">annual </w:t>
      </w:r>
      <w:r w:rsidR="00CC1BEA">
        <w:t>inflation</w:t>
      </w:r>
      <w:r w:rsidR="00CF1847">
        <w:t xml:space="preserve"> in February also reflects declines</w:t>
      </w:r>
      <w:r w:rsidR="00CC1BEA">
        <w:t xml:space="preserve"> </w:t>
      </w:r>
      <w:r w:rsidR="00CC1BEA" w:rsidRPr="00CC1BEA">
        <w:t>in</w:t>
      </w:r>
      <w:r w:rsidR="00CF1847">
        <w:t xml:space="preserve"> inflation of</w:t>
      </w:r>
      <w:r w:rsidR="00CC1BEA" w:rsidRPr="00CC1BEA">
        <w:t xml:space="preserve"> </w:t>
      </w:r>
      <w:r>
        <w:t xml:space="preserve">the </w:t>
      </w:r>
      <w:r w:rsidR="00CC1BEA" w:rsidRPr="00CC1BEA">
        <w:t>tradable components</w:t>
      </w:r>
      <w:r w:rsidR="00CF1847">
        <w:t>, to</w:t>
      </w:r>
      <w:r w:rsidR="00F557EC">
        <w:t xml:space="preserve"> </w:t>
      </w:r>
      <w:r w:rsidR="00CF1847">
        <w:t>2.8</w:t>
      </w:r>
      <w:r>
        <w:t xml:space="preserve"> percent, and of the </w:t>
      </w:r>
      <w:proofErr w:type="spellStart"/>
      <w:r w:rsidR="00CF1847">
        <w:t>non</w:t>
      </w:r>
      <w:r>
        <w:t>tradable</w:t>
      </w:r>
      <w:proofErr w:type="spellEnd"/>
      <w:r>
        <w:t xml:space="preserve"> components </w:t>
      </w:r>
      <w:r w:rsidR="00CF1847">
        <w:t>to</w:t>
      </w:r>
      <w:r>
        <w:t xml:space="preserve"> </w:t>
      </w:r>
      <w:r w:rsidR="00F557EC">
        <w:t>3.</w:t>
      </w:r>
      <w:r w:rsidR="00CF1847">
        <w:t>8</w:t>
      </w:r>
      <w:r>
        <w:t xml:space="preserve"> percent</w:t>
      </w:r>
      <w:r w:rsidR="00651161">
        <w:t xml:space="preserve"> </w:t>
      </w:r>
      <w:r w:rsidR="00651161" w:rsidRPr="00CC1BEA">
        <w:rPr>
          <w:b/>
          <w:bCs/>
        </w:rPr>
        <w:t>(Figure</w:t>
      </w:r>
      <w:r w:rsidR="00332016" w:rsidRPr="00CC1BEA">
        <w:rPr>
          <w:b/>
          <w:bCs/>
        </w:rPr>
        <w:t xml:space="preserve"> </w:t>
      </w:r>
      <w:r w:rsidR="00F557EC">
        <w:rPr>
          <w:b/>
          <w:bCs/>
        </w:rPr>
        <w:t>3</w:t>
      </w:r>
      <w:r w:rsidR="00651161" w:rsidRPr="00CC1BEA">
        <w:rPr>
          <w:b/>
          <w:bCs/>
        </w:rPr>
        <w:t>)</w:t>
      </w:r>
      <w:r w:rsidR="00651161">
        <w:t>.</w:t>
      </w:r>
      <w:r w:rsidR="00A34B91">
        <w:t xml:space="preserve"> </w:t>
      </w:r>
      <w:r w:rsidR="00CC1BEA">
        <w:t>According to forecasters’ projections, i</w:t>
      </w:r>
      <w:r w:rsidR="00D339E5">
        <w:t>nflation</w:t>
      </w:r>
      <w:r w:rsidR="00CC1BEA">
        <w:t xml:space="preserve"> </w:t>
      </w:r>
      <w:proofErr w:type="gramStart"/>
      <w:r w:rsidR="00F557EC">
        <w:t>is expected</w:t>
      </w:r>
      <w:proofErr w:type="gramEnd"/>
      <w:r w:rsidR="00F557EC">
        <w:t xml:space="preserve"> to </w:t>
      </w:r>
      <w:r w:rsidR="00CF1847">
        <w:t>continue moderating t</w:t>
      </w:r>
      <w:r w:rsidR="00F557EC">
        <w:t>o</w:t>
      </w:r>
      <w:r w:rsidR="00CF1847">
        <w:t>ward</w:t>
      </w:r>
      <w:r w:rsidR="00F557EC">
        <w:t xml:space="preserve"> the target range in the </w:t>
      </w:r>
      <w:r w:rsidR="00CF1847">
        <w:t>coming months</w:t>
      </w:r>
      <w:r w:rsidR="00CC1BEA">
        <w:t xml:space="preserve"> </w:t>
      </w:r>
      <w:r w:rsidR="00610A83" w:rsidRPr="00CC1BEA">
        <w:rPr>
          <w:b/>
          <w:bCs/>
        </w:rPr>
        <w:t>(Figure 5)</w:t>
      </w:r>
      <w:r w:rsidR="00610A83">
        <w:t>.</w:t>
      </w:r>
      <w:r w:rsidR="0054460C" w:rsidRPr="0054460C">
        <w:t xml:space="preserve"> </w:t>
      </w:r>
      <w:r w:rsidR="00CC1BEA">
        <w:t xml:space="preserve">According to </w:t>
      </w:r>
      <w:r>
        <w:t xml:space="preserve">the </w:t>
      </w:r>
      <w:r w:rsidR="00CC1BEA">
        <w:t xml:space="preserve">various sources, inflation expectations for </w:t>
      </w:r>
      <w:r w:rsidR="0007516C">
        <w:t>one year forward</w:t>
      </w:r>
      <w:r w:rsidR="00CC1BEA">
        <w:t xml:space="preserve"> </w:t>
      </w:r>
      <w:r w:rsidR="0007516C">
        <w:t>are</w:t>
      </w:r>
      <w:r>
        <w:t xml:space="preserve"> </w:t>
      </w:r>
      <w:r w:rsidR="008963D2">
        <w:t>within</w:t>
      </w:r>
      <w:r>
        <w:t xml:space="preserve"> </w:t>
      </w:r>
      <w:r w:rsidR="00CC1BEA">
        <w:t>the target range (</w:t>
      </w:r>
      <w:r w:rsidR="00CC1BEA">
        <w:rPr>
          <w:b/>
          <w:bCs/>
        </w:rPr>
        <w:t>Figure 6</w:t>
      </w:r>
      <w:r w:rsidR="00CC1BEA">
        <w:t xml:space="preserve">).  </w:t>
      </w:r>
      <w:proofErr w:type="gramStart"/>
      <w:r w:rsidR="00CC1BEA">
        <w:t xml:space="preserve">Expectations for the second year onward </w:t>
      </w:r>
      <w:r w:rsidR="00CF1847">
        <w:t xml:space="preserve">moderated </w:t>
      </w:r>
      <w:r w:rsidR="008963D2">
        <w:t xml:space="preserve">slightly </w:t>
      </w:r>
      <w:r w:rsidR="00CF1847">
        <w:t>and are</w:t>
      </w:r>
      <w:r>
        <w:t xml:space="preserve"> within</w:t>
      </w:r>
      <w:r w:rsidR="00CC1BEA">
        <w:t xml:space="preserve"> the target range (</w:t>
      </w:r>
      <w:r w:rsidR="00CC1BEA">
        <w:rPr>
          <w:b/>
          <w:bCs/>
        </w:rPr>
        <w:t>Figure 7</w:t>
      </w:r>
      <w:r w:rsidR="00CC1BEA">
        <w:t>).</w:t>
      </w:r>
      <w:proofErr w:type="gramEnd"/>
      <w:r w:rsidR="00CC1BEA">
        <w:t xml:space="preserve"> </w:t>
      </w:r>
      <w:r w:rsidR="00CC1BEA">
        <w:rPr>
          <w:b/>
          <w:bCs/>
        </w:rPr>
        <w:t xml:space="preserve"> </w:t>
      </w:r>
      <w:r w:rsidR="00583992" w:rsidRPr="00CC1BEA">
        <w:t>In</w:t>
      </w:r>
      <w:r w:rsidR="00583992">
        <w:t xml:space="preserve"> t</w:t>
      </w:r>
      <w:r w:rsidR="0054460C">
        <w:t>he Committee</w:t>
      </w:r>
      <w:r w:rsidR="00583992">
        <w:t>’s</w:t>
      </w:r>
      <w:r w:rsidR="0054460C">
        <w:t xml:space="preserve"> assess</w:t>
      </w:r>
      <w:r w:rsidR="00583992">
        <w:t>ment,</w:t>
      </w:r>
      <w:r w:rsidR="0054460C">
        <w:t xml:space="preserve"> there are several risks for a possible acceleration </w:t>
      </w:r>
      <w:r w:rsidR="00583992">
        <w:t>of</w:t>
      </w:r>
      <w:r w:rsidR="0054460C">
        <w:t xml:space="preserve"> inflation</w:t>
      </w:r>
      <w:r w:rsidR="00691F03">
        <w:t xml:space="preserve"> or for it not converging to the target range</w:t>
      </w:r>
      <w:r w:rsidR="0054460C">
        <w:t xml:space="preserve">: geopolitical developments and their impact on economic activity, prolonged supply </w:t>
      </w:r>
      <w:r w:rsidR="004907D8">
        <w:t>constraints</w:t>
      </w:r>
      <w:r w:rsidR="0054460C">
        <w:t>,</w:t>
      </w:r>
      <w:r w:rsidR="00EC0B87">
        <w:t xml:space="preserve"> </w:t>
      </w:r>
      <w:r w:rsidR="00CF1847">
        <w:t xml:space="preserve">worsening global terms of trade, and </w:t>
      </w:r>
      <w:r w:rsidR="00EC0B87">
        <w:t>volatility</w:t>
      </w:r>
      <w:r w:rsidR="0054460C">
        <w:t xml:space="preserve"> </w:t>
      </w:r>
      <w:r w:rsidR="00EC0B87">
        <w:t>of the shekel</w:t>
      </w:r>
      <w:r w:rsidR="0054460C">
        <w:t>.</w:t>
      </w:r>
    </w:p>
    <w:p w:rsidR="00CC1BEA" w:rsidRDefault="00CC1BEA" w:rsidP="00BD7538">
      <w:pPr>
        <w:pStyle w:val="ListParagraph"/>
        <w:bidi w:val="0"/>
        <w:spacing w:line="240" w:lineRule="auto"/>
        <w:ind w:left="0" w:right="-1"/>
      </w:pPr>
    </w:p>
    <w:p w:rsidR="009775A1" w:rsidRDefault="008963D2" w:rsidP="00CF1847">
      <w:pPr>
        <w:pStyle w:val="ListParagraph"/>
        <w:bidi w:val="0"/>
        <w:spacing w:line="240" w:lineRule="auto"/>
        <w:ind w:left="0" w:right="-1"/>
      </w:pPr>
      <w:r>
        <w:t>From</w:t>
      </w:r>
      <w:r w:rsidR="00CC1BEA">
        <w:t xml:space="preserve"> the previous interest rate decision</w:t>
      </w:r>
      <w:r>
        <w:t xml:space="preserve"> (until April 4)</w:t>
      </w:r>
      <w:r w:rsidR="00CC1BEA">
        <w:t xml:space="preserve">, the shekel has </w:t>
      </w:r>
      <w:r w:rsidR="00CF1847">
        <w:t>de</w:t>
      </w:r>
      <w:r w:rsidR="00EC0B87">
        <w:t xml:space="preserve">preciated by </w:t>
      </w:r>
      <w:r w:rsidR="00CF1847">
        <w:t>about 4.3</w:t>
      </w:r>
      <w:r w:rsidR="00CC1BEA">
        <w:t xml:space="preserve"> percent against the US dollar, by </w:t>
      </w:r>
      <w:r w:rsidR="00CF1847">
        <w:t>9.5</w:t>
      </w:r>
      <w:r w:rsidR="00CC1BEA">
        <w:t xml:space="preserve"> percent against the euro, and </w:t>
      </w:r>
      <w:r w:rsidR="00CC1BEA" w:rsidRPr="00B66FC2">
        <w:t xml:space="preserve">by </w:t>
      </w:r>
      <w:r w:rsidR="00CF1847">
        <w:t>5.8</w:t>
      </w:r>
      <w:r w:rsidR="00CC1BEA" w:rsidRPr="00B66FC2">
        <w:t xml:space="preserve"> percent in terms of the nominal effective exchange rate</w:t>
      </w:r>
      <w:r w:rsidR="00B66FC2">
        <w:t>.</w:t>
      </w:r>
      <w:r w:rsidR="00CC1BEA" w:rsidRPr="00B66FC2">
        <w:t xml:space="preserve"> </w:t>
      </w:r>
    </w:p>
    <w:p w:rsidR="00CC1BEA" w:rsidRDefault="00CC1BEA" w:rsidP="00CC1BEA">
      <w:pPr>
        <w:pStyle w:val="ListParagraph"/>
        <w:bidi w:val="0"/>
        <w:spacing w:line="240" w:lineRule="auto"/>
        <w:ind w:left="-270" w:right="265"/>
      </w:pPr>
    </w:p>
    <w:p w:rsidR="000E6783" w:rsidRPr="000E6783" w:rsidRDefault="00523666" w:rsidP="008963D2">
      <w:pPr>
        <w:jc w:val="both"/>
        <w:rPr>
          <w:rtl/>
        </w:rPr>
      </w:pPr>
      <w:r w:rsidRPr="000E6783">
        <w:t xml:space="preserve">The Research Department revised its macroeconomic forecast. The baseline scenario of the forecast </w:t>
      </w:r>
      <w:proofErr w:type="gramStart"/>
      <w:r w:rsidRPr="000E6783">
        <w:t>was built</w:t>
      </w:r>
      <w:proofErr w:type="gramEnd"/>
      <w:r w:rsidRPr="000E6783">
        <w:t xml:space="preserve"> under the assumption that the direct economic impact of the</w:t>
      </w:r>
      <w:r w:rsidR="000E6783" w:rsidRPr="000E6783">
        <w:t xml:space="preserve"> moderate intensification of the</w:t>
      </w:r>
      <w:r w:rsidRPr="000E6783">
        <w:t xml:space="preserve"> war will continue</w:t>
      </w:r>
      <w:r w:rsidR="000E6783" w:rsidRPr="000E6783">
        <w:t xml:space="preserve"> for a limited period during the second</w:t>
      </w:r>
      <w:r w:rsidRPr="000E6783">
        <w:t xml:space="preserve"> quarter</w:t>
      </w:r>
      <w:r w:rsidR="000E6783" w:rsidRPr="000E6783">
        <w:t>, and assuming that the fighting will not be reflected in significant limitations on activity on the home front.</w:t>
      </w:r>
      <w:r w:rsidRPr="000E6783">
        <w:t xml:space="preserve"> </w:t>
      </w:r>
      <w:r w:rsidR="000E6783" w:rsidRPr="000E6783">
        <w:t xml:space="preserve"> </w:t>
      </w:r>
      <w:r w:rsidR="008963D2">
        <w:t>According to t</w:t>
      </w:r>
      <w:r w:rsidR="000E6783" w:rsidRPr="000E6783">
        <w:t>he forecast</w:t>
      </w:r>
      <w:r w:rsidR="008963D2">
        <w:t>,</w:t>
      </w:r>
      <w:r w:rsidR="000E6783" w:rsidRPr="000E6783">
        <w:t xml:space="preserve"> the new tariff policy announced by the US government will moderate the volume of world trade and of Israeli exports. </w:t>
      </w:r>
      <w:r w:rsidRPr="000E6783">
        <w:t xml:space="preserve"> </w:t>
      </w:r>
    </w:p>
    <w:p w:rsidR="000E6783" w:rsidRPr="000E6783" w:rsidRDefault="000E6783" w:rsidP="000E6783">
      <w:pPr>
        <w:jc w:val="both"/>
        <w:rPr>
          <w:rtl/>
        </w:rPr>
      </w:pPr>
    </w:p>
    <w:p w:rsidR="00523666" w:rsidRPr="000E6783" w:rsidRDefault="00523666" w:rsidP="000E6783">
      <w:pPr>
        <w:jc w:val="both"/>
      </w:pPr>
      <w:r w:rsidRPr="000E6783">
        <w:t xml:space="preserve">According to the Research Department’s assessment, GDP </w:t>
      </w:r>
      <w:proofErr w:type="gramStart"/>
      <w:r w:rsidRPr="000E6783">
        <w:t>is expected</w:t>
      </w:r>
      <w:proofErr w:type="gramEnd"/>
      <w:r w:rsidRPr="000E6783">
        <w:t xml:space="preserve"> to grow by </w:t>
      </w:r>
      <w:r w:rsidR="000E6783" w:rsidRPr="000E6783">
        <w:t>3.5</w:t>
      </w:r>
      <w:r w:rsidRPr="000E6783">
        <w:t xml:space="preserve"> percent in 202</w:t>
      </w:r>
      <w:r w:rsidR="000E6783" w:rsidRPr="000E6783">
        <w:t>5</w:t>
      </w:r>
      <w:r w:rsidRPr="000E6783">
        <w:t xml:space="preserve"> and by 4.0 percent in 202</w:t>
      </w:r>
      <w:r w:rsidR="000E6783" w:rsidRPr="000E6783">
        <w:t>6</w:t>
      </w:r>
      <w:r w:rsidRPr="000E6783">
        <w:t>—</w:t>
      </w:r>
      <w:r w:rsidR="000E6783" w:rsidRPr="000E6783">
        <w:t>low</w:t>
      </w:r>
      <w:r w:rsidRPr="000E6783">
        <w:t xml:space="preserve">er than the </w:t>
      </w:r>
      <w:r w:rsidR="000E6783" w:rsidRPr="000E6783">
        <w:t>January</w:t>
      </w:r>
      <w:r w:rsidRPr="000E6783">
        <w:t xml:space="preserve"> forecast (</w:t>
      </w:r>
      <w:r w:rsidRPr="000E6783">
        <w:rPr>
          <w:b/>
          <w:bCs/>
        </w:rPr>
        <w:t>Figure 9</w:t>
      </w:r>
      <w:r w:rsidRPr="000E6783">
        <w:t xml:space="preserve">).  In the Department’s assessment, </w:t>
      </w:r>
      <w:r w:rsidR="000E6783" w:rsidRPr="000E6783">
        <w:t xml:space="preserve">during the forecast period, supply </w:t>
      </w:r>
      <w:proofErr w:type="gramStart"/>
      <w:r w:rsidR="000E6783" w:rsidRPr="000E6783">
        <w:t>is</w:t>
      </w:r>
      <w:r w:rsidRPr="000E6783">
        <w:t xml:space="preserve"> expected</w:t>
      </w:r>
      <w:proofErr w:type="gramEnd"/>
      <w:r w:rsidRPr="000E6783">
        <w:t xml:space="preserve"> to </w:t>
      </w:r>
      <w:r w:rsidR="000E6783" w:rsidRPr="000E6783">
        <w:t>recover</w:t>
      </w:r>
      <w:r w:rsidRPr="000E6783">
        <w:t xml:space="preserve">, </w:t>
      </w:r>
      <w:r w:rsidR="000E6783" w:rsidRPr="000E6783">
        <w:t>which will contribute to the moderation of inflation</w:t>
      </w:r>
      <w:r w:rsidRPr="000E6783">
        <w:t xml:space="preserve">. </w:t>
      </w:r>
      <w:r w:rsidR="000E6783" w:rsidRPr="000E6783">
        <w:t xml:space="preserve">The </w:t>
      </w:r>
      <w:r w:rsidRPr="000E6783">
        <w:t xml:space="preserve">broad unemployment rate among the prime working ages (25–64) is expected to </w:t>
      </w:r>
      <w:r w:rsidR="000E6783" w:rsidRPr="000E6783">
        <w:t>average 2.9 percent in 2025 and 3.2 percent in 2026.</w:t>
      </w:r>
      <w:r w:rsidRPr="000E6783">
        <w:t xml:space="preserve">  The annual inflation rate </w:t>
      </w:r>
      <w:proofErr w:type="gramStart"/>
      <w:r w:rsidRPr="000E6783">
        <w:t>is expected</w:t>
      </w:r>
      <w:proofErr w:type="gramEnd"/>
      <w:r w:rsidRPr="000E6783">
        <w:t xml:space="preserve"> to be 2.6 percent in 2025 and 2.</w:t>
      </w:r>
      <w:r w:rsidR="000E6783" w:rsidRPr="000E6783">
        <w:t>2</w:t>
      </w:r>
      <w:r w:rsidRPr="000E6783">
        <w:t xml:space="preserve"> percent in 2026.  </w:t>
      </w:r>
    </w:p>
    <w:p w:rsidR="00523666" w:rsidRPr="00523666" w:rsidRDefault="00523666" w:rsidP="00523666">
      <w:pPr>
        <w:jc w:val="both"/>
        <w:rPr>
          <w:color w:val="FF0000"/>
        </w:rPr>
      </w:pPr>
    </w:p>
    <w:p w:rsidR="00523666" w:rsidRPr="004B7AA5" w:rsidRDefault="000E6783" w:rsidP="000E6783">
      <w:pPr>
        <w:jc w:val="both"/>
      </w:pPr>
      <w:r w:rsidRPr="004B7AA5">
        <w:t>In t</w:t>
      </w:r>
      <w:r w:rsidR="00523666" w:rsidRPr="004B7AA5">
        <w:t>he Research Department’s assessment</w:t>
      </w:r>
      <w:r w:rsidRPr="004B7AA5">
        <w:t>, the government budget deficit</w:t>
      </w:r>
      <w:r w:rsidR="00523666" w:rsidRPr="004B7AA5">
        <w:t xml:space="preserve"> </w:t>
      </w:r>
      <w:proofErr w:type="gramStart"/>
      <w:r w:rsidR="00523666" w:rsidRPr="004B7AA5">
        <w:t xml:space="preserve">is </w:t>
      </w:r>
      <w:r w:rsidRPr="004B7AA5">
        <w:t>expected</w:t>
      </w:r>
      <w:proofErr w:type="gramEnd"/>
      <w:r w:rsidRPr="004B7AA5">
        <w:t xml:space="preserve"> to be </w:t>
      </w:r>
      <w:r w:rsidR="00523666" w:rsidRPr="004B7AA5">
        <w:t>4.</w:t>
      </w:r>
      <w:r w:rsidRPr="004B7AA5">
        <w:t>2</w:t>
      </w:r>
      <w:r w:rsidR="00523666" w:rsidRPr="004B7AA5">
        <w:t xml:space="preserve"> percent of GDP</w:t>
      </w:r>
      <w:r w:rsidRPr="004B7AA5">
        <w:t xml:space="preserve"> in 2025 and 2.9 percent of GDP in 2026.  The deficit forecast reflects a downward revision for these years relative to the previous forecast, in view of the increase in forecast revenues.  The debt to GDP ratio is expected to be </w:t>
      </w:r>
      <w:r w:rsidR="00523666" w:rsidRPr="004B7AA5">
        <w:t>69 percent of GDP in 2025, and then to decline to 6</w:t>
      </w:r>
      <w:r w:rsidRPr="004B7AA5">
        <w:t>8</w:t>
      </w:r>
      <w:r w:rsidR="00523666" w:rsidRPr="004B7AA5">
        <w:t xml:space="preserve"> percent of GDP in 2026. </w:t>
      </w:r>
    </w:p>
    <w:p w:rsidR="00523666" w:rsidRPr="00523666" w:rsidRDefault="00523666" w:rsidP="00523666">
      <w:pPr>
        <w:jc w:val="both"/>
        <w:rPr>
          <w:color w:val="FF0000"/>
        </w:rPr>
      </w:pPr>
    </w:p>
    <w:p w:rsidR="00523666" w:rsidRPr="00645207" w:rsidRDefault="004B7AA5" w:rsidP="003A6A53">
      <w:pPr>
        <w:jc w:val="both"/>
      </w:pPr>
      <w:r w:rsidRPr="00645207">
        <w:t>T</w:t>
      </w:r>
      <w:r w:rsidR="00523666" w:rsidRPr="00645207">
        <w:t xml:space="preserve">his forecast </w:t>
      </w:r>
      <w:proofErr w:type="gramStart"/>
      <w:r w:rsidR="00523666" w:rsidRPr="00645207">
        <w:t>is characterized</w:t>
      </w:r>
      <w:proofErr w:type="gramEnd"/>
      <w:r w:rsidR="00523666" w:rsidRPr="00645207">
        <w:t xml:space="preserve"> by a high level of uncertainty</w:t>
      </w:r>
      <w:r w:rsidRPr="00645207">
        <w:t xml:space="preserve">. The balance of risks to </w:t>
      </w:r>
      <w:r w:rsidRPr="003A6A53">
        <w:t xml:space="preserve">growth </w:t>
      </w:r>
      <w:proofErr w:type="gramStart"/>
      <w:r w:rsidR="009D0E3A" w:rsidRPr="003A6A53">
        <w:t>is tilted</w:t>
      </w:r>
      <w:proofErr w:type="gramEnd"/>
      <w:r w:rsidR="009D0E3A" w:rsidRPr="003A6A53">
        <w:t xml:space="preserve"> </w:t>
      </w:r>
      <w:r w:rsidRPr="003A6A53">
        <w:t>downward, while the balance of risks of inflation tends upward</w:t>
      </w:r>
      <w:r w:rsidR="00523666" w:rsidRPr="003A6A53">
        <w:t xml:space="preserve">.  </w:t>
      </w:r>
      <w:r w:rsidRPr="003A6A53">
        <w:t>Beyond the baseline scenario, the forecast examined another scenario that includes an</w:t>
      </w:r>
      <w:r w:rsidR="003A6A53" w:rsidRPr="003A6A53">
        <w:t xml:space="preserve"> </w:t>
      </w:r>
      <w:r w:rsidRPr="003A6A53">
        <w:t>intensification of the fighting along the southern front</w:t>
      </w:r>
      <w:r w:rsidR="00645207" w:rsidRPr="003A6A53">
        <w:t xml:space="preserve"> beginning in the second quarter, lasting about two quarters.  According to this scenario, defense expenditures </w:t>
      </w:r>
      <w:proofErr w:type="gramStart"/>
      <w:r w:rsidR="00645207" w:rsidRPr="003A6A53">
        <w:t>are expected</w:t>
      </w:r>
      <w:proofErr w:type="gramEnd"/>
      <w:r w:rsidR="00645207" w:rsidRPr="003A6A53">
        <w:t xml:space="preserve"> to increase by about 2 percent of GDP, </w:t>
      </w:r>
      <w:r w:rsidR="008963D2" w:rsidRPr="003A6A53">
        <w:t>while</w:t>
      </w:r>
      <w:r w:rsidR="00645207" w:rsidRPr="003A6A53">
        <w:t xml:space="preserve"> the deficit and government debt </w:t>
      </w:r>
      <w:r w:rsidR="008963D2" w:rsidRPr="003A6A53">
        <w:t xml:space="preserve">are expected to </w:t>
      </w:r>
      <w:r w:rsidR="00645207" w:rsidRPr="003A6A53">
        <w:t>increas</w:t>
      </w:r>
      <w:r w:rsidR="008963D2" w:rsidRPr="003A6A53">
        <w:t>e</w:t>
      </w:r>
      <w:r w:rsidR="00645207" w:rsidRPr="003A6A53">
        <w:t xml:space="preserve"> accordingly</w:t>
      </w:r>
      <w:r w:rsidR="008963D2" w:rsidRPr="003A6A53">
        <w:t>, with the debt expected to reach 71 percent of GDP</w:t>
      </w:r>
      <w:r w:rsidR="00645207" w:rsidRPr="003A6A53">
        <w:t xml:space="preserve">.  In addition, an increase in the risk premium and a depreciation of the shekel </w:t>
      </w:r>
      <w:proofErr w:type="gramStart"/>
      <w:r w:rsidR="00645207" w:rsidRPr="003A6A53">
        <w:t>are also expected</w:t>
      </w:r>
      <w:proofErr w:type="gramEnd"/>
      <w:r w:rsidR="009D0E3A" w:rsidRPr="003A6A53">
        <w:t xml:space="preserve"> in such a scenario</w:t>
      </w:r>
      <w:r w:rsidR="00645207" w:rsidRPr="003A6A53">
        <w:t>.  The impact to the supply of labor is expected to deepen, and will lead to an increase in excess demand.  As such, the growth trajectory</w:t>
      </w:r>
      <w:r w:rsidR="00645207" w:rsidRPr="00645207">
        <w:t xml:space="preserve"> will be about 0.5 percent more moderate than in the baseline scenario in 2025, and the inflation and interest rate paths will be higher.  </w:t>
      </w:r>
    </w:p>
    <w:p w:rsidR="00523666" w:rsidRDefault="00523666" w:rsidP="00BE5BD6">
      <w:pPr>
        <w:jc w:val="both"/>
      </w:pPr>
    </w:p>
    <w:p w:rsidR="00645207" w:rsidRDefault="00645207" w:rsidP="009D0E3A">
      <w:pPr>
        <w:jc w:val="both"/>
      </w:pPr>
      <w:r>
        <w:t>Current indicators of economic activity point to continued moderate improvement.  Credit card expenditure data in current prices show an increase in March, following some moderation in January and February</w:t>
      </w:r>
      <w:r w:rsidR="00B1285C">
        <w:t xml:space="preserve"> (</w:t>
      </w:r>
      <w:r w:rsidR="00B1285C">
        <w:rPr>
          <w:b/>
          <w:bCs/>
        </w:rPr>
        <w:t>Figure 1</w:t>
      </w:r>
      <w:r>
        <w:rPr>
          <w:b/>
          <w:bCs/>
        </w:rPr>
        <w:t>1</w:t>
      </w:r>
      <w:r w:rsidR="00B1285C">
        <w:t xml:space="preserve">).  The Central Bureau of Statistics Business Tendency Survey </w:t>
      </w:r>
      <w:r>
        <w:t xml:space="preserve">shows a </w:t>
      </w:r>
      <w:r w:rsidR="00A6367F">
        <w:t xml:space="preserve">continued </w:t>
      </w:r>
      <w:r w:rsidR="009D0E3A">
        <w:t xml:space="preserve">significant </w:t>
      </w:r>
      <w:r>
        <w:t xml:space="preserve">trend of recovery in recent months, and the aggregate balance for February increased to a level similar </w:t>
      </w:r>
      <w:r w:rsidR="00A6367F">
        <w:t>to</w:t>
      </w:r>
      <w:r w:rsidR="00B1285C">
        <w:t xml:space="preserve"> its prewar level</w:t>
      </w:r>
      <w:r w:rsidR="000857A0">
        <w:t xml:space="preserve"> (</w:t>
      </w:r>
      <w:r w:rsidR="000857A0">
        <w:rPr>
          <w:b/>
          <w:bCs/>
        </w:rPr>
        <w:t>Figure 1</w:t>
      </w:r>
      <w:r>
        <w:rPr>
          <w:b/>
          <w:bCs/>
        </w:rPr>
        <w:t>0</w:t>
      </w:r>
      <w:r w:rsidR="000857A0">
        <w:t>).</w:t>
      </w:r>
      <w:r>
        <w:t xml:space="preserve"> The trade and services industries showed stability in activity and in expectations, while the construction industry showed recovery in activity and in expectations, as the shortage of professional workers is moderating.  The consumer confidence index increased slightly in February.  Capital raised in the high-tech sector in the </w:t>
      </w:r>
      <w:r w:rsidR="004C5F87">
        <w:t>first quarter was similar to its level in the fourth quarter of 2024 (</w:t>
      </w:r>
      <w:r w:rsidR="004C5F87">
        <w:rPr>
          <w:b/>
          <w:bCs/>
        </w:rPr>
        <w:t>Figure 2</w:t>
      </w:r>
      <w:r w:rsidR="00ED3CC7">
        <w:rPr>
          <w:b/>
          <w:bCs/>
        </w:rPr>
        <w:t>1</w:t>
      </w:r>
      <w:r w:rsidR="004C5F87">
        <w:t>).  The surplus in the current account of the balance of payments declined in the fourth quarter of 2024, due to an increase in goods imports.</w:t>
      </w:r>
    </w:p>
    <w:p w:rsidR="00A72A29" w:rsidRDefault="00A72A29" w:rsidP="00BD7538">
      <w:pPr>
        <w:ind w:right="-1"/>
        <w:jc w:val="both"/>
      </w:pPr>
    </w:p>
    <w:p w:rsidR="00244C15" w:rsidRDefault="00086CE6" w:rsidP="00ED3CC7">
      <w:pPr>
        <w:ind w:right="-1"/>
        <w:jc w:val="both"/>
      </w:pPr>
      <w:r w:rsidRPr="00691F03">
        <w:t>The cumulative</w:t>
      </w:r>
      <w:r>
        <w:t xml:space="preserve"> deficit in the government budget</w:t>
      </w:r>
      <w:r w:rsidR="0072321A">
        <w:t xml:space="preserve"> in the past 12 months</w:t>
      </w:r>
      <w:r w:rsidR="004C5F87">
        <w:t xml:space="preserve"> declined in February to</w:t>
      </w:r>
      <w:r>
        <w:t xml:space="preserve"> </w:t>
      </w:r>
      <w:r w:rsidR="0072321A">
        <w:t>5.</w:t>
      </w:r>
      <w:r w:rsidR="004C5F87">
        <w:t>3</w:t>
      </w:r>
      <w:r w:rsidR="0072321A">
        <w:t xml:space="preserve"> percent of GDP (</w:t>
      </w:r>
      <w:r w:rsidR="0072321A">
        <w:rPr>
          <w:b/>
          <w:bCs/>
        </w:rPr>
        <w:t xml:space="preserve">Figure </w:t>
      </w:r>
      <w:r w:rsidR="004C5F87">
        <w:rPr>
          <w:b/>
          <w:bCs/>
        </w:rPr>
        <w:t>1</w:t>
      </w:r>
      <w:r w:rsidR="00ED3CC7">
        <w:rPr>
          <w:b/>
          <w:bCs/>
        </w:rPr>
        <w:t>8</w:t>
      </w:r>
      <w:r w:rsidR="0072321A">
        <w:t xml:space="preserve">). </w:t>
      </w:r>
      <w:r w:rsidR="004C5F87">
        <w:t xml:space="preserve">From the beginning of the year, government office expenditures declined relative to the same period last year, mainly due to the continued decline in war-related expenses. The increase in government revenue from taxes, which has been trending upward in recent months, partly in view of taxation changes that took effect at the beginning of the year, also contributed to the decline in the deficit. </w:t>
      </w:r>
    </w:p>
    <w:p w:rsidR="00244C15" w:rsidRDefault="00244C15" w:rsidP="00BD7538">
      <w:pPr>
        <w:ind w:right="-1"/>
        <w:jc w:val="both"/>
      </w:pPr>
    </w:p>
    <w:p w:rsidR="008A0DA3" w:rsidRPr="00ED3CC7" w:rsidRDefault="00820E0F" w:rsidP="003A6A53">
      <w:pPr>
        <w:ind w:right="-1"/>
        <w:jc w:val="both"/>
      </w:pPr>
      <w:r>
        <w:t>The labor market remains tight</w:t>
      </w:r>
      <w:r w:rsidR="004C5F87">
        <w:t>, similar to recent months</w:t>
      </w:r>
      <w:r>
        <w:t>.</w:t>
      </w:r>
      <w:r w:rsidR="004C5F87">
        <w:t xml:space="preserve">  The ratio of the number of job vacancies to the number of unemployed declined slightly in the most recent figures, but remains high.</w:t>
      </w:r>
      <w:r>
        <w:t xml:space="preserve"> </w:t>
      </w:r>
      <w:r w:rsidR="00415067">
        <w:t xml:space="preserve">The </w:t>
      </w:r>
      <w:r w:rsidR="0072321A">
        <w:t xml:space="preserve">broad unemployment rate </w:t>
      </w:r>
      <w:r w:rsidR="004C5F87">
        <w:t>was 3 percent in Febr</w:t>
      </w:r>
      <w:r w:rsidR="0072321A">
        <w:t>uary (seasonally adjusted), which is lower than its prewar level (</w:t>
      </w:r>
      <w:r w:rsidR="0072321A">
        <w:rPr>
          <w:b/>
          <w:bCs/>
        </w:rPr>
        <w:t xml:space="preserve">Figure </w:t>
      </w:r>
      <w:r w:rsidR="0072321A" w:rsidRPr="0072321A">
        <w:rPr>
          <w:b/>
          <w:bCs/>
        </w:rPr>
        <w:t>1</w:t>
      </w:r>
      <w:r w:rsidR="004C5F87">
        <w:rPr>
          <w:b/>
          <w:bCs/>
        </w:rPr>
        <w:t>2</w:t>
      </w:r>
      <w:r w:rsidR="0072321A" w:rsidRPr="0072321A">
        <w:rPr>
          <w:b/>
          <w:bCs/>
        </w:rPr>
        <w:t>b</w:t>
      </w:r>
      <w:r w:rsidR="0072321A">
        <w:t>). The rate of temporary absentees due to reserve duty continued to decline, to 0.</w:t>
      </w:r>
      <w:r w:rsidR="004C5F87">
        <w:t>5</w:t>
      </w:r>
      <w:r w:rsidR="0072321A">
        <w:t xml:space="preserve"> percent in </w:t>
      </w:r>
      <w:r w:rsidR="004C5F87">
        <w:t>Febr</w:t>
      </w:r>
      <w:r w:rsidR="0072321A">
        <w:t>uary. The j</w:t>
      </w:r>
      <w:r w:rsidR="00415067" w:rsidRPr="0072321A">
        <w:t>ob</w:t>
      </w:r>
      <w:r w:rsidR="00415067">
        <w:t xml:space="preserve"> vacancy rate </w:t>
      </w:r>
      <w:r w:rsidR="0072321A">
        <w:t xml:space="preserve">remained stable at 4.4 percent in </w:t>
      </w:r>
      <w:r w:rsidR="004C5F87">
        <w:t>Febr</w:t>
      </w:r>
      <w:r w:rsidR="0072321A">
        <w:t>uary (</w:t>
      </w:r>
      <w:r w:rsidR="0072321A" w:rsidRPr="0072321A">
        <w:rPr>
          <w:b/>
          <w:bCs/>
        </w:rPr>
        <w:t>Figure 1</w:t>
      </w:r>
      <w:r w:rsidR="004C5F87">
        <w:rPr>
          <w:b/>
          <w:bCs/>
        </w:rPr>
        <w:t>4</w:t>
      </w:r>
      <w:r w:rsidR="0072321A" w:rsidRPr="0072321A">
        <w:rPr>
          <w:b/>
          <w:bCs/>
        </w:rPr>
        <w:t>a</w:t>
      </w:r>
      <w:r w:rsidR="0072321A" w:rsidRPr="0072321A">
        <w:t>)</w:t>
      </w:r>
      <w:r w:rsidR="00415067">
        <w:t>.</w:t>
      </w:r>
      <w:r>
        <w:t xml:space="preserve"> </w:t>
      </w:r>
      <w:r w:rsidR="0072321A">
        <w:t>The employment rate and t</w:t>
      </w:r>
      <w:r>
        <w:t xml:space="preserve">he participation rate </w:t>
      </w:r>
      <w:r w:rsidR="00415067">
        <w:t xml:space="preserve">among those aged </w:t>
      </w:r>
      <w:r w:rsidR="004C5F87">
        <w:t>25–64</w:t>
      </w:r>
      <w:r w:rsidR="00415067">
        <w:t xml:space="preserve"> </w:t>
      </w:r>
      <w:r w:rsidR="004C5F87">
        <w:t>remained high</w:t>
      </w:r>
      <w:r w:rsidR="00415067" w:rsidRPr="00691F03">
        <w:t xml:space="preserve"> (</w:t>
      </w:r>
      <w:r w:rsidR="00415067">
        <w:rPr>
          <w:b/>
          <w:bCs/>
        </w:rPr>
        <w:t>Figure 1</w:t>
      </w:r>
      <w:r w:rsidR="005B7A98">
        <w:rPr>
          <w:b/>
          <w:bCs/>
        </w:rPr>
        <w:t>2</w:t>
      </w:r>
      <w:r w:rsidR="00415067">
        <w:rPr>
          <w:b/>
          <w:bCs/>
        </w:rPr>
        <w:t>a</w:t>
      </w:r>
      <w:r w:rsidR="00415067">
        <w:t>)</w:t>
      </w:r>
      <w:r>
        <w:t xml:space="preserve">. </w:t>
      </w:r>
      <w:r w:rsidR="005B7A98">
        <w:t>N</w:t>
      </w:r>
      <w:r>
        <w:t xml:space="preserve">ominal wages </w:t>
      </w:r>
      <w:r w:rsidR="003A6A53">
        <w:t>in annual terms were</w:t>
      </w:r>
      <w:r w:rsidR="005B7A98">
        <w:t xml:space="preserve"> 4.6 percent </w:t>
      </w:r>
      <w:r w:rsidR="003A6A53">
        <w:t xml:space="preserve">higher in </w:t>
      </w:r>
      <w:r w:rsidR="005B7A98">
        <w:t xml:space="preserve">December and </w:t>
      </w:r>
      <w:r w:rsidR="005B7A98" w:rsidRPr="003A6A53">
        <w:t>February</w:t>
      </w:r>
      <w:r w:rsidR="0044725D" w:rsidRPr="003A6A53">
        <w:t>,</w:t>
      </w:r>
      <w:r w:rsidR="002301B5" w:rsidRPr="003A6A53">
        <w:t xml:space="preserve"> </w:t>
      </w:r>
      <w:r w:rsidR="003A6A53" w:rsidRPr="003A6A53">
        <w:t>than they were in</w:t>
      </w:r>
      <w:r w:rsidR="005B7A98" w:rsidRPr="003A6A53">
        <w:t xml:space="preserve"> the three months prior to the war. </w:t>
      </w:r>
      <w:r w:rsidR="002301B5" w:rsidRPr="003A6A53">
        <w:t>R</w:t>
      </w:r>
      <w:r w:rsidRPr="003A6A53">
        <w:t>eal</w:t>
      </w:r>
      <w:r>
        <w:t xml:space="preserve"> wages</w:t>
      </w:r>
      <w:r w:rsidR="002301B5">
        <w:t xml:space="preserve"> remain </w:t>
      </w:r>
      <w:r w:rsidR="005B7A98">
        <w:t>below</w:t>
      </w:r>
      <w:r w:rsidR="00C43724">
        <w:t xml:space="preserve"> the long-term trend</w:t>
      </w:r>
      <w:r w:rsidR="005B7A98">
        <w:t xml:space="preserve"> line</w:t>
      </w:r>
      <w:r w:rsidR="003C7B49">
        <w:t xml:space="preserve"> </w:t>
      </w:r>
      <w:r w:rsidR="00ED3CC7">
        <w:t>(</w:t>
      </w:r>
      <w:r w:rsidR="00ED3CC7">
        <w:rPr>
          <w:b/>
          <w:bCs/>
        </w:rPr>
        <w:t>Figure 13</w:t>
      </w:r>
      <w:r w:rsidR="00ED3CC7">
        <w:t>).</w:t>
      </w:r>
    </w:p>
    <w:p w:rsidR="0044662E" w:rsidRDefault="0044662E" w:rsidP="00BD7538">
      <w:pPr>
        <w:ind w:right="-1"/>
        <w:jc w:val="both"/>
      </w:pPr>
    </w:p>
    <w:p w:rsidR="0044662E" w:rsidRDefault="00820E0F" w:rsidP="00ED3CC7">
      <w:pPr>
        <w:ind w:right="-1"/>
        <w:jc w:val="both"/>
      </w:pPr>
      <w:r w:rsidRPr="005C1032">
        <w:t>Activity in the construction</w:t>
      </w:r>
      <w:r w:rsidR="00BE5BD6">
        <w:t xml:space="preserve"> industry</w:t>
      </w:r>
      <w:r w:rsidRPr="005C1032">
        <w:t xml:space="preserve"> </w:t>
      </w:r>
      <w:r w:rsidR="005C1032">
        <w:t xml:space="preserve">is </w:t>
      </w:r>
      <w:r w:rsidR="005B7A98">
        <w:t xml:space="preserve">recovering, though it </w:t>
      </w:r>
      <w:proofErr w:type="gramStart"/>
      <w:r w:rsidR="005B7A98">
        <w:t xml:space="preserve">is </w:t>
      </w:r>
      <w:r w:rsidR="005C1032">
        <w:t>still being</w:t>
      </w:r>
      <w:r w:rsidR="00C43724" w:rsidRPr="005C1032">
        <w:t xml:space="preserve"> </w:t>
      </w:r>
      <w:r w:rsidR="004907D8" w:rsidRPr="005C1032">
        <w:t>affected</w:t>
      </w:r>
      <w:proofErr w:type="gramEnd"/>
      <w:r w:rsidR="00C43724" w:rsidRPr="005C1032">
        <w:t xml:space="preserve"> by </w:t>
      </w:r>
      <w:r w:rsidR="00BE5BD6">
        <w:t>labor shortages</w:t>
      </w:r>
      <w:r w:rsidR="005C1032">
        <w:t xml:space="preserve">, </w:t>
      </w:r>
      <w:r>
        <w:t>(</w:t>
      </w:r>
      <w:r>
        <w:rPr>
          <w:b/>
          <w:bCs/>
        </w:rPr>
        <w:t>Figure</w:t>
      </w:r>
      <w:r w:rsidR="005C1032">
        <w:rPr>
          <w:b/>
          <w:bCs/>
        </w:rPr>
        <w:t>s</w:t>
      </w:r>
      <w:r>
        <w:rPr>
          <w:b/>
          <w:bCs/>
        </w:rPr>
        <w:t xml:space="preserve"> 1</w:t>
      </w:r>
      <w:r w:rsidR="005B7A98">
        <w:rPr>
          <w:b/>
          <w:bCs/>
        </w:rPr>
        <w:t>5</w:t>
      </w:r>
      <w:r w:rsidR="00BD7538">
        <w:rPr>
          <w:b/>
          <w:bCs/>
        </w:rPr>
        <w:t>b</w:t>
      </w:r>
      <w:r>
        <w:t>).</w:t>
      </w:r>
      <w:r w:rsidR="0044662E" w:rsidRPr="00743B49">
        <w:t xml:space="preserve"> </w:t>
      </w:r>
      <w:r w:rsidR="005B7A98">
        <w:t xml:space="preserve">Building starts increased in the fourth quarter of 2024 by about 19 percent (seasonally adjusted) relative to the previous quarter. Building permits increased by about 11 percent, and building completions increased by about 11 percent but remain lower than before the war. </w:t>
      </w:r>
      <w:r w:rsidR="005C1032">
        <w:t>(</w:t>
      </w:r>
      <w:r w:rsidR="005C1032">
        <w:rPr>
          <w:b/>
          <w:bCs/>
        </w:rPr>
        <w:t xml:space="preserve">Figure </w:t>
      </w:r>
      <w:r w:rsidR="005C1032" w:rsidRPr="005C1032">
        <w:rPr>
          <w:b/>
          <w:bCs/>
        </w:rPr>
        <w:t>1</w:t>
      </w:r>
      <w:r w:rsidR="00ED3CC7">
        <w:rPr>
          <w:b/>
          <w:bCs/>
        </w:rPr>
        <w:t>7</w:t>
      </w:r>
      <w:r w:rsidR="005B7A98">
        <w:rPr>
          <w:b/>
          <w:bCs/>
        </w:rPr>
        <w:t>a</w:t>
      </w:r>
      <w:r w:rsidR="005C1032">
        <w:t>). The</w:t>
      </w:r>
      <w:r w:rsidR="005B7A98">
        <w:t xml:space="preserve"> pace of annual increase in the</w:t>
      </w:r>
      <w:r w:rsidR="005C1032">
        <w:t xml:space="preserve"> housing component of the CPI</w:t>
      </w:r>
      <w:r w:rsidR="005B7A98">
        <w:t xml:space="preserve"> has been stable</w:t>
      </w:r>
      <w:r w:rsidR="005C1032">
        <w:t xml:space="preserve"> in </w:t>
      </w:r>
      <w:r w:rsidR="005B7A98">
        <w:t>recent months, at 4.1 percent. The pace of increase in home prices accelerated to 7.7 percent (</w:t>
      </w:r>
      <w:r w:rsidR="005B7A98">
        <w:rPr>
          <w:b/>
          <w:bCs/>
        </w:rPr>
        <w:t>Figure 1</w:t>
      </w:r>
      <w:r w:rsidR="00ED3CC7">
        <w:rPr>
          <w:b/>
          <w:bCs/>
        </w:rPr>
        <w:t>6</w:t>
      </w:r>
      <w:r w:rsidR="005B7A98">
        <w:t>).</w:t>
      </w:r>
      <w:r w:rsidR="005C1032">
        <w:t xml:space="preserve"> </w:t>
      </w:r>
      <w:r w:rsidR="00C43724">
        <w:t xml:space="preserve">New mortgage borrowing totaled about NIS </w:t>
      </w:r>
      <w:r w:rsidR="005B7A98">
        <w:t>7.4</w:t>
      </w:r>
      <w:r w:rsidR="00C43724">
        <w:t xml:space="preserve"> billion in </w:t>
      </w:r>
      <w:r w:rsidR="005B7A98">
        <w:t>February</w:t>
      </w:r>
      <w:r w:rsidR="00C43724">
        <w:t xml:space="preserve"> (</w:t>
      </w:r>
      <w:r w:rsidR="00C43724">
        <w:rPr>
          <w:b/>
          <w:bCs/>
        </w:rPr>
        <w:t xml:space="preserve">Figure </w:t>
      </w:r>
      <w:r w:rsidR="005B7A98">
        <w:rPr>
          <w:b/>
          <w:bCs/>
        </w:rPr>
        <w:t>1</w:t>
      </w:r>
      <w:r w:rsidR="00ED3CC7">
        <w:rPr>
          <w:b/>
          <w:bCs/>
        </w:rPr>
        <w:t>7</w:t>
      </w:r>
      <w:r w:rsidR="005B7A98">
        <w:rPr>
          <w:b/>
          <w:bCs/>
        </w:rPr>
        <w:t>b</w:t>
      </w:r>
      <w:r w:rsidR="00C43724">
        <w:t>).</w:t>
      </w:r>
    </w:p>
    <w:p w:rsidR="008A0DA3" w:rsidRDefault="008A0DA3" w:rsidP="00BD7538">
      <w:pPr>
        <w:ind w:right="-1"/>
        <w:jc w:val="both"/>
      </w:pPr>
    </w:p>
    <w:p w:rsidR="005D299B" w:rsidRDefault="005B7A98" w:rsidP="00AF0FBE">
      <w:pPr>
        <w:ind w:right="-1"/>
        <w:jc w:val="both"/>
      </w:pPr>
      <w:r>
        <w:t xml:space="preserve">During the reviewed period, there were sharp declines in the </w:t>
      </w:r>
      <w:r w:rsidR="00456ADD">
        <w:t>domestic</w:t>
      </w:r>
      <w:r w:rsidR="000E6DF7" w:rsidRPr="00456ADD">
        <w:t xml:space="preserve"> </w:t>
      </w:r>
      <w:r w:rsidR="00C9560E" w:rsidRPr="00456ADD">
        <w:t>equities</w:t>
      </w:r>
      <w:r w:rsidR="000E6DF7" w:rsidRPr="00456ADD">
        <w:t xml:space="preserve"> </w:t>
      </w:r>
      <w:r>
        <w:t>indices, but those declines were slightly more moderate than the global trend</w:t>
      </w:r>
      <w:r w:rsidR="00456ADD">
        <w:t xml:space="preserve"> (</w:t>
      </w:r>
      <w:r w:rsidR="00456ADD">
        <w:rPr>
          <w:b/>
          <w:bCs/>
        </w:rPr>
        <w:t xml:space="preserve">Figure </w:t>
      </w:r>
      <w:r>
        <w:rPr>
          <w:b/>
          <w:bCs/>
        </w:rPr>
        <w:t>28</w:t>
      </w:r>
      <w:r w:rsidR="00456ADD">
        <w:t>).</w:t>
      </w:r>
      <w:r w:rsidR="000E6DF7">
        <w:t xml:space="preserve"> </w:t>
      </w:r>
      <w:r w:rsidR="006C73A9">
        <w:t xml:space="preserve">Israel’s risk premium, as </w:t>
      </w:r>
      <w:r w:rsidR="00AE0DC2">
        <w:t xml:space="preserve">measured by the </w:t>
      </w:r>
      <w:r w:rsidR="006C73A9">
        <w:t xml:space="preserve">5-year CDS </w:t>
      </w:r>
      <w:r w:rsidR="00C43724">
        <w:t xml:space="preserve">and by the dollar-denominated government bond spread, </w:t>
      </w:r>
      <w:r>
        <w:t xml:space="preserve">increased </w:t>
      </w:r>
      <w:r w:rsidR="00AF0FBE">
        <w:t xml:space="preserve">markedly </w:t>
      </w:r>
      <w:r>
        <w:t>during the reviewed period</w:t>
      </w:r>
      <w:r w:rsidR="00C43724">
        <w:t xml:space="preserve">, </w:t>
      </w:r>
      <w:r>
        <w:t xml:space="preserve">and </w:t>
      </w:r>
      <w:r w:rsidR="00C43724">
        <w:t xml:space="preserve">its level remains higher than </w:t>
      </w:r>
      <w:r>
        <w:t xml:space="preserve">in </w:t>
      </w:r>
      <w:r w:rsidR="00C43724">
        <w:t>the prewar period</w:t>
      </w:r>
      <w:r w:rsidR="009C2FAD">
        <w:t>.</w:t>
      </w:r>
      <w:r w:rsidR="00C43724">
        <w:t xml:space="preserve"> </w:t>
      </w:r>
      <w:r w:rsidR="009C2FAD">
        <w:t xml:space="preserve">The spread between yields on unindexed Israeli and American government bonds also widened. </w:t>
      </w:r>
      <w:r w:rsidR="006C73A9">
        <w:t>(</w:t>
      </w:r>
      <w:r w:rsidR="006C73A9">
        <w:rPr>
          <w:b/>
          <w:bCs/>
        </w:rPr>
        <w:t>Figure 2</w:t>
      </w:r>
      <w:r w:rsidR="009C2FAD">
        <w:rPr>
          <w:b/>
          <w:bCs/>
        </w:rPr>
        <w:t>5</w:t>
      </w:r>
      <w:r w:rsidR="006C73A9">
        <w:t>)</w:t>
      </w:r>
      <w:r w:rsidR="00AE0DC2">
        <w:t>.</w:t>
      </w:r>
      <w:r w:rsidR="006C73A9">
        <w:t xml:space="preserve">  </w:t>
      </w:r>
      <w:r w:rsidR="00E7258E">
        <w:t>Business credit continued to expand,</w:t>
      </w:r>
      <w:r w:rsidR="009C2FAD">
        <w:t xml:space="preserve"> led by bank credit and tradable bonds. Business and household credit risk remain low.</w:t>
      </w:r>
    </w:p>
    <w:p w:rsidR="000308DE" w:rsidRDefault="000308DE" w:rsidP="006075EE">
      <w:pPr>
        <w:ind w:right="265"/>
        <w:jc w:val="both"/>
      </w:pPr>
    </w:p>
    <w:p w:rsidR="00D32BDF" w:rsidRPr="00D32BDF" w:rsidRDefault="00876E04" w:rsidP="00ED3CC7">
      <w:pPr>
        <w:pStyle w:val="NormalWeb"/>
        <w:shd w:val="clear" w:color="auto" w:fill="FFFFFF"/>
        <w:spacing w:before="0" w:beforeAutospacing="0" w:after="240" w:afterAutospacing="0"/>
        <w:jc w:val="both"/>
        <w:rPr>
          <w:rFonts w:asciiTheme="majorBidi" w:hAnsiTheme="majorBidi" w:cstheme="majorBidi"/>
          <w:color w:val="242424"/>
        </w:rPr>
      </w:pPr>
      <w:r>
        <w:rPr>
          <w:rFonts w:asciiTheme="majorBidi" w:hAnsiTheme="majorBidi" w:cstheme="majorBidi"/>
          <w:color w:val="242424"/>
        </w:rPr>
        <w:t xml:space="preserve">The tariff policy announced by the US, and its expected consequences, led a number of leading investment houses and international financial organizations to revise their growth forecasts and their forecasts of world trade sharply downward.  According to initial assessments by a number of international organizations, the economic impact of the measures could amount to about 2 percent of GDP in the US over the coming two years.  A significant impact to growth </w:t>
      </w:r>
      <w:proofErr w:type="gramStart"/>
      <w:r>
        <w:rPr>
          <w:rFonts w:asciiTheme="majorBidi" w:hAnsiTheme="majorBidi" w:cstheme="majorBidi"/>
          <w:color w:val="242424"/>
        </w:rPr>
        <w:t>is also expected</w:t>
      </w:r>
      <w:proofErr w:type="gramEnd"/>
      <w:r>
        <w:rPr>
          <w:rFonts w:asciiTheme="majorBidi" w:hAnsiTheme="majorBidi" w:cstheme="majorBidi"/>
          <w:color w:val="242424"/>
        </w:rPr>
        <w:t xml:space="preserve"> in the global economy and in the main economic blocs, but it should be more moderate. Yields on US </w:t>
      </w:r>
      <w:r>
        <w:rPr>
          <w:rFonts w:asciiTheme="majorBidi" w:hAnsiTheme="majorBidi" w:cstheme="majorBidi"/>
          <w:color w:val="242424"/>
        </w:rPr>
        <w:lastRenderedPageBreak/>
        <w:t xml:space="preserve">government bonds and the expected interest rate path of the Fed declined sharply.  In the </w:t>
      </w:r>
      <w:proofErr w:type="spellStart"/>
      <w:r>
        <w:rPr>
          <w:rFonts w:asciiTheme="majorBidi" w:hAnsiTheme="majorBidi" w:cstheme="majorBidi"/>
          <w:color w:val="242424"/>
        </w:rPr>
        <w:t>eurozone</w:t>
      </w:r>
      <w:proofErr w:type="spellEnd"/>
      <w:r>
        <w:rPr>
          <w:rFonts w:asciiTheme="majorBidi" w:hAnsiTheme="majorBidi" w:cstheme="majorBidi"/>
          <w:color w:val="242424"/>
        </w:rPr>
        <w:t xml:space="preserve"> as well, the market’s assessment is that the interest path will be lower.  In view of these events, there was a sharp increase in risk in the global markets, and the leading equities indices declined by more than 10 percent, with the declines in the US being even sharper.  Contrary to similar previous cases, the US dollar weakened against most of the major currencies.  The price of oil increased at the beginning of the reviewed period, but the US tariff measures and reactive measures by other countries led to a sharp decline of about 12 percent in the price of Brent crude oil, to $65 per barrel </w:t>
      </w:r>
      <w:r w:rsidR="00957834">
        <w:rPr>
          <w:rFonts w:asciiTheme="majorBidi" w:hAnsiTheme="majorBidi" w:cstheme="majorBidi"/>
          <w:color w:val="242424"/>
        </w:rPr>
        <w:t>(</w:t>
      </w:r>
      <w:r w:rsidR="00957834">
        <w:rPr>
          <w:rFonts w:asciiTheme="majorBidi" w:hAnsiTheme="majorBidi" w:cstheme="majorBidi"/>
          <w:b/>
          <w:bCs/>
          <w:color w:val="242424"/>
        </w:rPr>
        <w:t>Figure 3</w:t>
      </w:r>
      <w:r w:rsidR="00ED3CC7">
        <w:rPr>
          <w:rFonts w:asciiTheme="majorBidi" w:hAnsiTheme="majorBidi" w:cstheme="majorBidi"/>
          <w:b/>
          <w:bCs/>
          <w:color w:val="242424"/>
        </w:rPr>
        <w:t>0</w:t>
      </w:r>
      <w:r w:rsidR="00957834">
        <w:rPr>
          <w:rFonts w:asciiTheme="majorBidi" w:hAnsiTheme="majorBidi" w:cstheme="majorBidi"/>
          <w:color w:val="242424"/>
        </w:rPr>
        <w:t>).</w:t>
      </w:r>
      <w:r w:rsidR="00D32BDF" w:rsidRPr="00D32BDF">
        <w:rPr>
          <w:rFonts w:asciiTheme="majorBidi" w:hAnsiTheme="majorBidi" w:cstheme="majorBidi"/>
          <w:color w:val="242424"/>
        </w:rPr>
        <w:t xml:space="preserve"> </w:t>
      </w:r>
    </w:p>
    <w:p w:rsidR="00D32BDF" w:rsidRPr="00D32BDF" w:rsidRDefault="00D32BDF" w:rsidP="00C5786B">
      <w:pPr>
        <w:pStyle w:val="NormalWeb"/>
        <w:shd w:val="clear" w:color="auto" w:fill="FFFFFF"/>
        <w:spacing w:before="0" w:beforeAutospacing="0" w:after="240" w:afterAutospacing="0"/>
        <w:jc w:val="both"/>
        <w:rPr>
          <w:rFonts w:asciiTheme="majorBidi" w:hAnsiTheme="majorBidi" w:cstheme="majorBidi"/>
          <w:color w:val="242424"/>
        </w:rPr>
      </w:pPr>
      <w:r w:rsidRPr="00D32BDF">
        <w:rPr>
          <w:rFonts w:asciiTheme="majorBidi" w:hAnsiTheme="majorBidi" w:cstheme="majorBidi"/>
          <w:color w:val="242424"/>
        </w:rPr>
        <w:t xml:space="preserve">In the United States, the Consumer Price Index (CPI) </w:t>
      </w:r>
      <w:r w:rsidR="00C5786B">
        <w:rPr>
          <w:rFonts w:asciiTheme="majorBidi" w:hAnsiTheme="majorBidi" w:cstheme="majorBidi"/>
          <w:color w:val="242424"/>
        </w:rPr>
        <w:t>declined to an annual rate of</w:t>
      </w:r>
      <w:r w:rsidRPr="00D32BDF">
        <w:rPr>
          <w:rFonts w:asciiTheme="majorBidi" w:hAnsiTheme="majorBidi" w:cstheme="majorBidi"/>
          <w:color w:val="242424"/>
        </w:rPr>
        <w:t xml:space="preserve"> </w:t>
      </w:r>
      <w:r w:rsidR="00C5786B">
        <w:rPr>
          <w:rFonts w:asciiTheme="majorBidi" w:hAnsiTheme="majorBidi" w:cstheme="majorBidi"/>
          <w:color w:val="242424"/>
        </w:rPr>
        <w:t>2.8</w:t>
      </w:r>
      <w:r>
        <w:rPr>
          <w:rFonts w:asciiTheme="majorBidi" w:hAnsiTheme="majorBidi" w:cstheme="majorBidi"/>
          <w:color w:val="242424"/>
        </w:rPr>
        <w:t xml:space="preserve"> percent</w:t>
      </w:r>
      <w:r w:rsidR="00957834">
        <w:rPr>
          <w:rFonts w:asciiTheme="majorBidi" w:hAnsiTheme="majorBidi" w:cstheme="majorBidi"/>
          <w:color w:val="242424"/>
        </w:rPr>
        <w:t xml:space="preserve">, and the core CPI </w:t>
      </w:r>
      <w:r w:rsidR="00C5786B">
        <w:rPr>
          <w:rFonts w:asciiTheme="majorBidi" w:hAnsiTheme="majorBidi" w:cstheme="majorBidi"/>
          <w:color w:val="242424"/>
        </w:rPr>
        <w:t>declined to</w:t>
      </w:r>
      <w:r w:rsidR="00957834">
        <w:rPr>
          <w:rFonts w:asciiTheme="majorBidi" w:hAnsiTheme="majorBidi" w:cstheme="majorBidi"/>
          <w:color w:val="242424"/>
        </w:rPr>
        <w:t xml:space="preserve"> 3.</w:t>
      </w:r>
      <w:r w:rsidR="00C5786B">
        <w:rPr>
          <w:rFonts w:asciiTheme="majorBidi" w:hAnsiTheme="majorBidi" w:cstheme="majorBidi"/>
          <w:color w:val="242424"/>
        </w:rPr>
        <w:t>1</w:t>
      </w:r>
      <w:r w:rsidR="00957834">
        <w:rPr>
          <w:rFonts w:asciiTheme="majorBidi" w:hAnsiTheme="majorBidi" w:cstheme="majorBidi"/>
          <w:color w:val="242424"/>
        </w:rPr>
        <w:t xml:space="preserve"> percent</w:t>
      </w:r>
      <w:r>
        <w:rPr>
          <w:rFonts w:asciiTheme="majorBidi" w:hAnsiTheme="majorBidi" w:cstheme="majorBidi"/>
          <w:color w:val="242424"/>
        </w:rPr>
        <w:t>.</w:t>
      </w:r>
      <w:r w:rsidRPr="00D32BDF">
        <w:rPr>
          <w:rFonts w:asciiTheme="majorBidi" w:hAnsiTheme="majorBidi" w:cstheme="majorBidi"/>
          <w:color w:val="242424"/>
        </w:rPr>
        <w:t xml:space="preserve"> </w:t>
      </w:r>
      <w:r w:rsidR="00B71E2A">
        <w:rPr>
          <w:rFonts w:asciiTheme="majorBidi" w:hAnsiTheme="majorBidi" w:cstheme="majorBidi"/>
          <w:color w:val="242424"/>
        </w:rPr>
        <w:t>I</w:t>
      </w:r>
      <w:r w:rsidRPr="00D32BDF">
        <w:rPr>
          <w:rFonts w:asciiTheme="majorBidi" w:hAnsiTheme="majorBidi" w:cstheme="majorBidi"/>
          <w:color w:val="242424"/>
        </w:rPr>
        <w:t xml:space="preserve">nflation expectations for the next two years </w:t>
      </w:r>
      <w:r w:rsidR="00957834">
        <w:rPr>
          <w:rFonts w:asciiTheme="majorBidi" w:hAnsiTheme="majorBidi" w:cstheme="majorBidi"/>
          <w:color w:val="242424"/>
        </w:rPr>
        <w:t>continued to increase</w:t>
      </w:r>
      <w:r w:rsidRPr="00D32BDF">
        <w:rPr>
          <w:rFonts w:asciiTheme="majorBidi" w:hAnsiTheme="majorBidi" w:cstheme="majorBidi"/>
          <w:color w:val="242424"/>
        </w:rPr>
        <w:t>,</w:t>
      </w:r>
      <w:r w:rsidR="00B71E2A">
        <w:rPr>
          <w:rFonts w:asciiTheme="majorBidi" w:hAnsiTheme="majorBidi" w:cstheme="majorBidi"/>
          <w:color w:val="242424"/>
        </w:rPr>
        <w:t xml:space="preserve"> </w:t>
      </w:r>
      <w:r w:rsidR="00C5786B">
        <w:rPr>
          <w:rFonts w:asciiTheme="majorBidi" w:hAnsiTheme="majorBidi" w:cstheme="majorBidi"/>
          <w:color w:val="242424"/>
        </w:rPr>
        <w:t>in view of</w:t>
      </w:r>
      <w:r w:rsidRPr="00D32BDF">
        <w:rPr>
          <w:rFonts w:asciiTheme="majorBidi" w:hAnsiTheme="majorBidi" w:cstheme="majorBidi"/>
          <w:color w:val="242424"/>
        </w:rPr>
        <w:t xml:space="preserve"> the </w:t>
      </w:r>
      <w:r w:rsidR="00957834">
        <w:rPr>
          <w:rFonts w:asciiTheme="majorBidi" w:hAnsiTheme="majorBidi" w:cstheme="majorBidi"/>
          <w:color w:val="242424"/>
        </w:rPr>
        <w:t>government’s tariff policy</w:t>
      </w:r>
      <w:r w:rsidRPr="00D32BDF">
        <w:rPr>
          <w:rFonts w:asciiTheme="majorBidi" w:hAnsiTheme="majorBidi" w:cstheme="majorBidi"/>
          <w:color w:val="242424"/>
        </w:rPr>
        <w:t>.</w:t>
      </w:r>
      <w:r w:rsidR="00957834">
        <w:rPr>
          <w:rFonts w:asciiTheme="majorBidi" w:hAnsiTheme="majorBidi" w:cstheme="majorBidi"/>
          <w:color w:val="242424"/>
        </w:rPr>
        <w:t xml:space="preserve"> </w:t>
      </w:r>
    </w:p>
    <w:p w:rsidR="00D32BDF" w:rsidRPr="00957834" w:rsidRDefault="00D32BDF" w:rsidP="003A6A53">
      <w:pPr>
        <w:pStyle w:val="NormalWeb"/>
        <w:shd w:val="clear" w:color="auto" w:fill="FFFFFF"/>
        <w:spacing w:before="0" w:beforeAutospacing="0" w:after="240" w:afterAutospacing="0"/>
        <w:jc w:val="both"/>
        <w:rPr>
          <w:rFonts w:asciiTheme="majorBidi" w:hAnsiTheme="majorBidi" w:cstheme="majorBidi"/>
          <w:color w:val="242424"/>
        </w:rPr>
      </w:pPr>
      <w:r w:rsidRPr="00D32BDF">
        <w:rPr>
          <w:rFonts w:asciiTheme="majorBidi" w:hAnsiTheme="majorBidi" w:cstheme="majorBidi"/>
          <w:color w:val="242424"/>
        </w:rPr>
        <w:t>Inflat</w:t>
      </w:r>
      <w:r w:rsidR="00B71E2A">
        <w:rPr>
          <w:rFonts w:asciiTheme="majorBidi" w:hAnsiTheme="majorBidi" w:cstheme="majorBidi"/>
          <w:color w:val="242424"/>
        </w:rPr>
        <w:t xml:space="preserve">ion in the </w:t>
      </w:r>
      <w:proofErr w:type="spellStart"/>
      <w:r w:rsidR="00C9560E">
        <w:rPr>
          <w:rFonts w:asciiTheme="majorBidi" w:hAnsiTheme="majorBidi" w:cstheme="majorBidi"/>
          <w:color w:val="242424"/>
        </w:rPr>
        <w:t>e</w:t>
      </w:r>
      <w:r w:rsidR="00B71E2A">
        <w:rPr>
          <w:rFonts w:asciiTheme="majorBidi" w:hAnsiTheme="majorBidi" w:cstheme="majorBidi"/>
          <w:color w:val="242424"/>
        </w:rPr>
        <w:t>urozone</w:t>
      </w:r>
      <w:proofErr w:type="spellEnd"/>
      <w:r w:rsidR="00957834">
        <w:rPr>
          <w:rFonts w:asciiTheme="majorBidi" w:hAnsiTheme="majorBidi" w:cstheme="majorBidi"/>
          <w:color w:val="242424"/>
        </w:rPr>
        <w:t xml:space="preserve"> </w:t>
      </w:r>
      <w:r w:rsidR="00C5786B">
        <w:rPr>
          <w:rFonts w:asciiTheme="majorBidi" w:hAnsiTheme="majorBidi" w:cstheme="majorBidi"/>
          <w:color w:val="242424"/>
        </w:rPr>
        <w:t>declined to 2.2 percent</w:t>
      </w:r>
      <w:r w:rsidRPr="00D32BDF">
        <w:rPr>
          <w:rFonts w:asciiTheme="majorBidi" w:hAnsiTheme="majorBidi" w:cstheme="majorBidi"/>
          <w:color w:val="242424"/>
        </w:rPr>
        <w:t xml:space="preserve">, </w:t>
      </w:r>
      <w:r w:rsidR="00C5786B">
        <w:rPr>
          <w:rFonts w:asciiTheme="majorBidi" w:hAnsiTheme="majorBidi" w:cstheme="majorBidi"/>
          <w:color w:val="242424"/>
        </w:rPr>
        <w:t>and</w:t>
      </w:r>
      <w:r w:rsidRPr="00D32BDF">
        <w:rPr>
          <w:rFonts w:asciiTheme="majorBidi" w:hAnsiTheme="majorBidi" w:cstheme="majorBidi"/>
          <w:color w:val="242424"/>
        </w:rPr>
        <w:t xml:space="preserve"> core infla</w:t>
      </w:r>
      <w:r w:rsidR="00B71E2A">
        <w:rPr>
          <w:rFonts w:asciiTheme="majorBidi" w:hAnsiTheme="majorBidi" w:cstheme="majorBidi"/>
          <w:color w:val="242424"/>
        </w:rPr>
        <w:t xml:space="preserve">tion </w:t>
      </w:r>
      <w:r w:rsidR="00C5786B">
        <w:rPr>
          <w:rFonts w:asciiTheme="majorBidi" w:hAnsiTheme="majorBidi" w:cstheme="majorBidi"/>
          <w:color w:val="242424"/>
        </w:rPr>
        <w:t>declin</w:t>
      </w:r>
      <w:r w:rsidR="00B71E2A">
        <w:rPr>
          <w:rFonts w:asciiTheme="majorBidi" w:hAnsiTheme="majorBidi" w:cstheme="majorBidi"/>
          <w:color w:val="242424"/>
        </w:rPr>
        <w:t xml:space="preserve">ed </w:t>
      </w:r>
      <w:r w:rsidR="00C5786B">
        <w:rPr>
          <w:rFonts w:asciiTheme="majorBidi" w:hAnsiTheme="majorBidi" w:cstheme="majorBidi"/>
          <w:color w:val="242424"/>
        </w:rPr>
        <w:t>to</w:t>
      </w:r>
      <w:r w:rsidR="00B71E2A">
        <w:rPr>
          <w:rFonts w:asciiTheme="majorBidi" w:hAnsiTheme="majorBidi" w:cstheme="majorBidi"/>
          <w:color w:val="242424"/>
        </w:rPr>
        <w:t xml:space="preserve"> 2.</w:t>
      </w:r>
      <w:r w:rsidR="00C5786B">
        <w:rPr>
          <w:rFonts w:asciiTheme="majorBidi" w:hAnsiTheme="majorBidi" w:cstheme="majorBidi"/>
          <w:color w:val="242424"/>
        </w:rPr>
        <w:t>4</w:t>
      </w:r>
      <w:r w:rsidR="00B71E2A">
        <w:rPr>
          <w:rFonts w:asciiTheme="majorBidi" w:hAnsiTheme="majorBidi" w:cstheme="majorBidi"/>
          <w:color w:val="242424"/>
        </w:rPr>
        <w:t xml:space="preserve"> percent</w:t>
      </w:r>
      <w:r w:rsidR="00C5786B">
        <w:rPr>
          <w:rFonts w:asciiTheme="majorBidi" w:hAnsiTheme="majorBidi" w:cstheme="majorBidi"/>
          <w:color w:val="242424"/>
        </w:rPr>
        <w:t xml:space="preserve"> in a preliminary reading for March</w:t>
      </w:r>
      <w:r w:rsidRPr="00D32BDF">
        <w:rPr>
          <w:rFonts w:asciiTheme="majorBidi" w:hAnsiTheme="majorBidi" w:cstheme="majorBidi"/>
          <w:color w:val="242424"/>
        </w:rPr>
        <w:t>.</w:t>
      </w:r>
      <w:r w:rsidR="00957834">
        <w:rPr>
          <w:rFonts w:asciiTheme="majorBidi" w:hAnsiTheme="majorBidi" w:cstheme="majorBidi"/>
          <w:color w:val="242424"/>
        </w:rPr>
        <w:t xml:space="preserve">  </w:t>
      </w:r>
      <w:r w:rsidRPr="00D32BDF">
        <w:rPr>
          <w:rFonts w:asciiTheme="majorBidi" w:hAnsiTheme="majorBidi" w:cstheme="majorBidi"/>
          <w:color w:val="242424"/>
        </w:rPr>
        <w:t xml:space="preserve">The ECB </w:t>
      </w:r>
      <w:r w:rsidR="00957834">
        <w:rPr>
          <w:rFonts w:asciiTheme="majorBidi" w:hAnsiTheme="majorBidi" w:cstheme="majorBidi"/>
          <w:color w:val="242424"/>
        </w:rPr>
        <w:t>lowered its</w:t>
      </w:r>
      <w:r w:rsidRPr="00D32BDF">
        <w:rPr>
          <w:rFonts w:asciiTheme="majorBidi" w:hAnsiTheme="majorBidi" w:cstheme="majorBidi"/>
          <w:color w:val="242424"/>
        </w:rPr>
        <w:t xml:space="preserve"> rate</w:t>
      </w:r>
      <w:r w:rsidR="00C5786B">
        <w:rPr>
          <w:rFonts w:asciiTheme="majorBidi" w:hAnsiTheme="majorBidi" w:cstheme="majorBidi"/>
          <w:color w:val="242424"/>
        </w:rPr>
        <w:t xml:space="preserve"> for the sixth time</w:t>
      </w:r>
      <w:r w:rsidRPr="00D32BDF">
        <w:rPr>
          <w:rFonts w:asciiTheme="majorBidi" w:hAnsiTheme="majorBidi" w:cstheme="majorBidi"/>
          <w:color w:val="242424"/>
        </w:rPr>
        <w:t xml:space="preserve"> by 25 basis points</w:t>
      </w:r>
      <w:r w:rsidR="00C5786B">
        <w:rPr>
          <w:rFonts w:asciiTheme="majorBidi" w:hAnsiTheme="majorBidi" w:cstheme="majorBidi"/>
          <w:color w:val="242424"/>
        </w:rPr>
        <w:t>, while</w:t>
      </w:r>
      <w:r w:rsidR="00957834">
        <w:rPr>
          <w:rFonts w:asciiTheme="majorBidi" w:hAnsiTheme="majorBidi" w:cstheme="majorBidi"/>
          <w:color w:val="242424"/>
        </w:rPr>
        <w:t xml:space="preserve"> the Federal Reserve left its rate unchanged in </w:t>
      </w:r>
      <w:r w:rsidR="00C5786B">
        <w:rPr>
          <w:rFonts w:asciiTheme="majorBidi" w:hAnsiTheme="majorBidi" w:cstheme="majorBidi"/>
          <w:color w:val="242424"/>
        </w:rPr>
        <w:t>March</w:t>
      </w:r>
      <w:r w:rsidR="00957834">
        <w:rPr>
          <w:rFonts w:asciiTheme="majorBidi" w:hAnsiTheme="majorBidi" w:cstheme="majorBidi"/>
          <w:color w:val="242424"/>
        </w:rPr>
        <w:t xml:space="preserve"> (</w:t>
      </w:r>
      <w:r w:rsidR="00957834">
        <w:rPr>
          <w:rFonts w:asciiTheme="majorBidi" w:hAnsiTheme="majorBidi" w:cstheme="majorBidi"/>
          <w:b/>
          <w:bCs/>
          <w:color w:val="242424"/>
        </w:rPr>
        <w:t xml:space="preserve">Figure </w:t>
      </w:r>
      <w:r w:rsidR="003A6A53">
        <w:rPr>
          <w:rFonts w:asciiTheme="majorBidi" w:hAnsiTheme="majorBidi" w:cstheme="majorBidi"/>
          <w:b/>
          <w:bCs/>
          <w:color w:val="242424"/>
        </w:rPr>
        <w:t>31</w:t>
      </w:r>
      <w:r w:rsidR="00957834">
        <w:rPr>
          <w:rFonts w:asciiTheme="majorBidi" w:hAnsiTheme="majorBidi" w:cstheme="majorBidi"/>
          <w:color w:val="242424"/>
        </w:rPr>
        <w:t>).</w:t>
      </w:r>
    </w:p>
    <w:p w:rsidR="00B5030C" w:rsidRDefault="00B5030C" w:rsidP="006075EE">
      <w:pPr>
        <w:ind w:right="265"/>
        <w:jc w:val="both"/>
      </w:pPr>
    </w:p>
    <w:p w:rsidR="00AD12BC" w:rsidRPr="006F18D3" w:rsidRDefault="00AD12BC" w:rsidP="006075EE">
      <w:pPr>
        <w:jc w:val="both"/>
      </w:pPr>
    </w:p>
    <w:p w:rsidR="00AD12BC" w:rsidRPr="006F18D3" w:rsidRDefault="00AD12BC" w:rsidP="006075EE">
      <w:pPr>
        <w:jc w:val="both"/>
      </w:pPr>
    </w:p>
    <w:p w:rsidR="00D26730" w:rsidRDefault="00D26730" w:rsidP="00C5786B">
      <w:pPr>
        <w:jc w:val="both"/>
      </w:pPr>
      <w:r w:rsidRPr="006F18D3">
        <w:t xml:space="preserve">The minutes of the monetary discussions prior to this interest rate decision </w:t>
      </w:r>
      <w:proofErr w:type="gramStart"/>
      <w:r w:rsidRPr="006F18D3">
        <w:t>will be published</w:t>
      </w:r>
      <w:proofErr w:type="gramEnd"/>
      <w:r w:rsidRPr="006F18D3">
        <w:t xml:space="preserve"> on </w:t>
      </w:r>
      <w:r w:rsidR="00C5786B">
        <w:t>April 21</w:t>
      </w:r>
      <w:r w:rsidR="00B71E2A">
        <w:t>, 2025.</w:t>
      </w:r>
      <w:r w:rsidRPr="006F18D3">
        <w:t xml:space="preserve"> The next decision regarding the interest rate </w:t>
      </w:r>
      <w:proofErr w:type="gramStart"/>
      <w:r w:rsidRPr="006F18D3">
        <w:t>will be published</w:t>
      </w:r>
      <w:proofErr w:type="gramEnd"/>
      <w:r w:rsidRPr="006F18D3">
        <w:t xml:space="preserve"> on </w:t>
      </w:r>
      <w:r w:rsidR="00096C47">
        <w:t>Monday</w:t>
      </w:r>
      <w:r w:rsidR="00B71E2A">
        <w:t>,</w:t>
      </w:r>
      <w:r w:rsidR="00096C47">
        <w:t xml:space="preserve"> </w:t>
      </w:r>
      <w:r w:rsidR="00C5786B">
        <w:t>May 26</w:t>
      </w:r>
      <w:r w:rsidR="00B71E2A">
        <w:t>, 2025</w:t>
      </w:r>
      <w:r w:rsidR="00C615F3">
        <w:t>.</w:t>
      </w:r>
    </w:p>
    <w:p w:rsidR="00B21E55" w:rsidRDefault="00B21E55" w:rsidP="006075EE">
      <w:pPr>
        <w:jc w:val="both"/>
      </w:pPr>
    </w:p>
    <w:p w:rsidR="00B21E55" w:rsidRDefault="00B21E55" w:rsidP="006075EE">
      <w:pPr>
        <w:jc w:val="both"/>
      </w:pPr>
    </w:p>
    <w:p w:rsidR="00B21E55" w:rsidRDefault="00B21E55" w:rsidP="006075EE">
      <w:pPr>
        <w:jc w:val="both"/>
      </w:pPr>
      <w:r>
        <w:t xml:space="preserve">Interest rate decision dates for 2024 and 2025 are available </w:t>
      </w:r>
      <w:proofErr w:type="gramStart"/>
      <w:r>
        <w:t>at</w:t>
      </w:r>
      <w:proofErr w:type="gramEnd"/>
      <w:r>
        <w:t>:</w:t>
      </w:r>
    </w:p>
    <w:p w:rsidR="00606830" w:rsidRDefault="00606830" w:rsidP="006075EE">
      <w:pPr>
        <w:spacing w:after="120" w:line="360" w:lineRule="auto"/>
        <w:jc w:val="both"/>
        <w:rPr>
          <w:rStyle w:val="Hyperlink"/>
          <w:rFonts w:cs="Calibri"/>
        </w:rPr>
      </w:pPr>
      <w:r w:rsidRPr="00606830">
        <w:rPr>
          <w:rStyle w:val="Hyperlink"/>
          <w:rFonts w:cs="Calibri"/>
        </w:rPr>
        <w:t>https://www.boi.org.il/en/economic-roles/monetary-policy/interest-rate-announcement-dates-2024/</w:t>
      </w:r>
    </w:p>
    <w:p w:rsidR="00606830" w:rsidRPr="00EA10F4" w:rsidRDefault="00606830" w:rsidP="006075EE">
      <w:pPr>
        <w:spacing w:after="120" w:line="360" w:lineRule="auto"/>
        <w:jc w:val="both"/>
        <w:rPr>
          <w:rFonts w:cs="Calibri"/>
          <w:rtl/>
        </w:rPr>
      </w:pPr>
    </w:p>
    <w:bookmarkEnd w:id="0"/>
    <w:p w:rsidR="00B21E55" w:rsidRPr="006F18D3" w:rsidRDefault="00B21E55" w:rsidP="00DA2D37">
      <w:pPr>
        <w:jc w:val="both"/>
        <w:rPr>
          <w:rtl/>
        </w:rPr>
      </w:pPr>
    </w:p>
    <w:sectPr w:rsidR="00B21E55" w:rsidRPr="006F18D3" w:rsidSect="00BD7538">
      <w:headerReference w:type="first" r:id="rId8"/>
      <w:type w:val="continuous"/>
      <w:pgSz w:w="11907" w:h="16839" w:code="9"/>
      <w:pgMar w:top="1701" w:right="1134" w:bottom="1304" w:left="1134" w:header="10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603" w:rsidRDefault="00500603" w:rsidP="006A415B">
      <w:r>
        <w:separator/>
      </w:r>
    </w:p>
  </w:endnote>
  <w:endnote w:type="continuationSeparator" w:id="0">
    <w:p w:rsidR="00500603" w:rsidRDefault="00500603" w:rsidP="006A4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603" w:rsidRDefault="00500603" w:rsidP="006A415B">
      <w:r>
        <w:separator/>
      </w:r>
    </w:p>
  </w:footnote>
  <w:footnote w:type="continuationSeparator" w:id="0">
    <w:p w:rsidR="00500603" w:rsidRDefault="00500603" w:rsidP="006A4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E18" w:rsidRDefault="00B06E18" w:rsidP="00B06E18">
    <w:pPr>
      <w:pStyle w:val="regpar"/>
      <w:spacing w:line="300" w:lineRule="atLeast"/>
      <w:ind w:firstLine="0"/>
      <w:jc w:val="center"/>
      <w:rPr>
        <w:rFonts w:ascii="Times New Roman" w:hAnsi="Times New Roman" w:cs="David"/>
        <w:bCs/>
      </w:rPr>
    </w:pPr>
    <w:r>
      <w:rPr>
        <w:noProof/>
      </w:rPr>
      <w:drawing>
        <wp:inline distT="0" distB="0" distL="0" distR="0" wp14:anchorId="3495D6D5" wp14:editId="735F798D">
          <wp:extent cx="2924175" cy="971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971550"/>
                  </a:xfrm>
                  <a:prstGeom prst="rect">
                    <a:avLst/>
                  </a:prstGeom>
                  <a:noFill/>
                  <a:ln>
                    <a:noFill/>
                  </a:ln>
                </pic:spPr>
              </pic:pic>
            </a:graphicData>
          </a:graphic>
        </wp:inline>
      </w:drawing>
    </w:r>
  </w:p>
  <w:p w:rsidR="00B06E18" w:rsidRDefault="00B06E18" w:rsidP="00B06E18">
    <w:pPr>
      <w:pStyle w:val="regpar"/>
      <w:spacing w:line="300" w:lineRule="atLeast"/>
      <w:ind w:firstLine="0"/>
      <w:jc w:val="center"/>
      <w:rPr>
        <w:rFonts w:ascii="Times New Roman" w:hAnsi="Times New Roman" w:cs="David"/>
        <w:bCs/>
      </w:rPr>
    </w:pPr>
  </w:p>
  <w:p w:rsidR="00B06E18" w:rsidRPr="0012431B" w:rsidRDefault="00B06E18" w:rsidP="00B06E18">
    <w:pPr>
      <w:pStyle w:val="regpar"/>
      <w:spacing w:line="300" w:lineRule="atLeast"/>
      <w:ind w:firstLine="0"/>
      <w:jc w:val="center"/>
      <w:rPr>
        <w:rFonts w:ascii="Segoe UI" w:hAnsi="Segoe UI" w:cs="Segoe UI"/>
        <w:bCs/>
        <w:sz w:val="22"/>
        <w:szCs w:val="22"/>
      </w:rPr>
    </w:pPr>
    <w:r w:rsidRPr="0012431B">
      <w:rPr>
        <w:rFonts w:ascii="Segoe UI" w:hAnsi="Segoe UI" w:cs="Segoe UI"/>
        <w:bCs/>
        <w:sz w:val="22"/>
        <w:szCs w:val="22"/>
      </w:rPr>
      <w:t>BANK OF ISRAEL</w:t>
    </w:r>
  </w:p>
  <w:p w:rsidR="00B06E18" w:rsidRPr="0012431B" w:rsidRDefault="00B06E18" w:rsidP="00B06E18">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Office of the Spokesperson and Economic Information</w:t>
    </w:r>
  </w:p>
  <w:p w:rsidR="00B06E18" w:rsidRPr="0012431B" w:rsidRDefault="00B06E18" w:rsidP="00B06E18">
    <w:pPr>
      <w:pStyle w:val="regpar"/>
      <w:spacing w:line="300" w:lineRule="atLeast"/>
      <w:ind w:firstLine="0"/>
      <w:jc w:val="center"/>
      <w:rPr>
        <w:rFonts w:ascii="Segoe UI" w:hAnsi="Segoe UI" w:cs="Segoe UI"/>
        <w:sz w:val="22"/>
        <w:szCs w:val="22"/>
      </w:rPr>
    </w:pPr>
  </w:p>
  <w:p w:rsidR="00B06E18" w:rsidRPr="0012431B" w:rsidRDefault="00B06E18" w:rsidP="00B06E18">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hebrew1"/>
      <w:pStyle w:val="Heading1"/>
      <w:lvlText w:val="%1."/>
      <w:legacy w:legacy="1" w:legacySpace="0" w:legacyIndent="340"/>
      <w:lvlJc w:val="right"/>
      <w:pPr>
        <w:ind w:left="340" w:hanging="340"/>
      </w:pPr>
      <w:rPr>
        <w:rFonts w:ascii="Times New Roman" w:hAnsi="Times New Roman" w:cs="Times New Roman" w:hint="default"/>
        <w:b w:val="0"/>
        <w:i w:val="0"/>
        <w:sz w:val="22"/>
        <w:szCs w:val="24"/>
      </w:rPr>
    </w:lvl>
    <w:lvl w:ilvl="1">
      <w:start w:val="1"/>
      <w:numFmt w:val="decimal"/>
      <w:pStyle w:val="Heading2"/>
      <w:lvlText w:val="%2."/>
      <w:legacy w:legacy="1" w:legacySpace="0" w:legacyIndent="340"/>
      <w:lvlJc w:val="right"/>
      <w:pPr>
        <w:ind w:left="680" w:hanging="340"/>
      </w:pPr>
      <w:rPr>
        <w:rFonts w:ascii="Times New Roman" w:hAnsi="Times New Roman" w:cs="Times New Roman" w:hint="default"/>
        <w:b w:val="0"/>
        <w:i w:val="0"/>
        <w:sz w:val="22"/>
      </w:rPr>
    </w:lvl>
    <w:lvl w:ilvl="2">
      <w:start w:val="1"/>
      <w:numFmt w:val="hebrew1"/>
      <w:pStyle w:val="Heading3"/>
      <w:lvlText w:val="%3)"/>
      <w:legacy w:legacy="1" w:legacySpace="0" w:legacyIndent="340"/>
      <w:lvlJc w:val="right"/>
      <w:pPr>
        <w:ind w:left="1020" w:hanging="340"/>
      </w:pPr>
      <w:rPr>
        <w:rFonts w:ascii="Times New Roman" w:hAnsi="Times New Roman" w:cs="Times New Roman" w:hint="default"/>
        <w:b w:val="0"/>
        <w:i w:val="0"/>
        <w:sz w:val="22"/>
        <w:szCs w:val="24"/>
      </w:rPr>
    </w:lvl>
    <w:lvl w:ilvl="3">
      <w:start w:val="1"/>
      <w:numFmt w:val="decimal"/>
      <w:pStyle w:val="Heading4"/>
      <w:lvlText w:val="(%4)"/>
      <w:legacy w:legacy="1" w:legacySpace="0" w:legacyIndent="340"/>
      <w:lvlJc w:val="right"/>
      <w:pPr>
        <w:ind w:left="1360" w:hanging="340"/>
      </w:pPr>
      <w:rPr>
        <w:rFonts w:ascii="Times New Roman" w:hAnsi="Times New Roman" w:cs="Times New Roman" w:hint="default"/>
        <w:b w:val="0"/>
        <w:i w:val="0"/>
        <w:sz w:val="22"/>
      </w:rPr>
    </w:lvl>
    <w:lvl w:ilvl="4">
      <w:start w:val="1"/>
      <w:numFmt w:val="decimal"/>
      <w:pStyle w:val="Heading5"/>
      <w:lvlText w:val="(%5)"/>
      <w:legacy w:legacy="1" w:legacySpace="0" w:legacyIndent="708"/>
      <w:lvlJc w:val="center"/>
      <w:pPr>
        <w:ind w:left="2068" w:hanging="708"/>
      </w:pPr>
      <w:rPr>
        <w:rFonts w:ascii="Times New Roman" w:hAnsi="Times New Roman" w:cs="Times New Roman"/>
      </w:rPr>
    </w:lvl>
    <w:lvl w:ilvl="5">
      <w:start w:val="1"/>
      <w:numFmt w:val="lowerLetter"/>
      <w:pStyle w:val="Heading6"/>
      <w:lvlText w:val="(%6)"/>
      <w:legacy w:legacy="1" w:legacySpace="0" w:legacyIndent="708"/>
      <w:lvlJc w:val="center"/>
      <w:pPr>
        <w:ind w:left="2776" w:hanging="708"/>
      </w:pPr>
      <w:rPr>
        <w:rFonts w:ascii="Times New Roman" w:hAnsi="Times New Roman" w:cs="Times New Roman"/>
      </w:rPr>
    </w:lvl>
    <w:lvl w:ilvl="6">
      <w:start w:val="1"/>
      <w:numFmt w:val="lowerRoman"/>
      <w:pStyle w:val="Heading7"/>
      <w:lvlText w:val="(%7)"/>
      <w:legacy w:legacy="1" w:legacySpace="0" w:legacyIndent="708"/>
      <w:lvlJc w:val="center"/>
      <w:pPr>
        <w:ind w:left="3484" w:hanging="708"/>
      </w:pPr>
      <w:rPr>
        <w:rFonts w:ascii="Times New Roman" w:hAnsi="Times New Roman" w:cs="Times New Roman"/>
      </w:rPr>
    </w:lvl>
    <w:lvl w:ilvl="7">
      <w:start w:val="1"/>
      <w:numFmt w:val="lowerLetter"/>
      <w:pStyle w:val="Heading8"/>
      <w:lvlText w:val="(%8)"/>
      <w:legacy w:legacy="1" w:legacySpace="0" w:legacyIndent="708"/>
      <w:lvlJc w:val="center"/>
      <w:pPr>
        <w:ind w:left="4192" w:hanging="708"/>
      </w:pPr>
      <w:rPr>
        <w:rFonts w:ascii="Times New Roman" w:hAnsi="Times New Roman" w:cs="Times New Roman"/>
      </w:rPr>
    </w:lvl>
    <w:lvl w:ilvl="8">
      <w:start w:val="1"/>
      <w:numFmt w:val="lowerRoman"/>
      <w:pStyle w:val="Heading9"/>
      <w:lvlText w:val="(%9)"/>
      <w:legacy w:legacy="1" w:legacySpace="0" w:legacyIndent="708"/>
      <w:lvlJc w:val="center"/>
      <w:pPr>
        <w:ind w:left="4900" w:hanging="708"/>
      </w:pPr>
      <w:rPr>
        <w:rFonts w:ascii="Times New Roman" w:hAnsi="Times New Roman" w:cs="Times New Roman"/>
      </w:rPr>
    </w:lvl>
  </w:abstractNum>
  <w:abstractNum w:abstractNumId="1" w15:restartNumberingAfterBreak="0">
    <w:nsid w:val="0542714D"/>
    <w:multiLevelType w:val="hybridMultilevel"/>
    <w:tmpl w:val="EAD21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33779"/>
    <w:multiLevelType w:val="hybridMultilevel"/>
    <w:tmpl w:val="D2129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71947"/>
    <w:multiLevelType w:val="hybridMultilevel"/>
    <w:tmpl w:val="DED880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E1775"/>
    <w:multiLevelType w:val="hybridMultilevel"/>
    <w:tmpl w:val="3872C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AB429C"/>
    <w:multiLevelType w:val="hybridMultilevel"/>
    <w:tmpl w:val="5488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5799F"/>
    <w:multiLevelType w:val="hybridMultilevel"/>
    <w:tmpl w:val="4B7E8D5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975AE7"/>
    <w:multiLevelType w:val="hybridMultilevel"/>
    <w:tmpl w:val="0FE2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BD4A18"/>
    <w:multiLevelType w:val="hybridMultilevel"/>
    <w:tmpl w:val="89309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48C0C10"/>
    <w:multiLevelType w:val="hybridMultilevel"/>
    <w:tmpl w:val="6D109332"/>
    <w:lvl w:ilvl="0" w:tplc="6DA002C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5BA64F0"/>
    <w:multiLevelType w:val="hybridMultilevel"/>
    <w:tmpl w:val="4F7A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37205B"/>
    <w:multiLevelType w:val="hybridMultilevel"/>
    <w:tmpl w:val="66868FB6"/>
    <w:lvl w:ilvl="0" w:tplc="04090001">
      <w:start w:val="1"/>
      <w:numFmt w:val="bullet"/>
      <w:lvlText w:val=""/>
      <w:lvlJc w:val="left"/>
      <w:pPr>
        <w:ind w:left="5747" w:hanging="360"/>
      </w:pPr>
      <w:rPr>
        <w:rFonts w:ascii="Symbol" w:hAnsi="Symbol" w:hint="default"/>
      </w:rPr>
    </w:lvl>
    <w:lvl w:ilvl="1" w:tplc="04090003" w:tentative="1">
      <w:start w:val="1"/>
      <w:numFmt w:val="bullet"/>
      <w:lvlText w:val="o"/>
      <w:lvlJc w:val="left"/>
      <w:pPr>
        <w:ind w:left="6467" w:hanging="360"/>
      </w:pPr>
      <w:rPr>
        <w:rFonts w:ascii="Courier New" w:hAnsi="Courier New" w:cs="Courier New" w:hint="default"/>
      </w:rPr>
    </w:lvl>
    <w:lvl w:ilvl="2" w:tplc="04090005" w:tentative="1">
      <w:start w:val="1"/>
      <w:numFmt w:val="bullet"/>
      <w:lvlText w:val=""/>
      <w:lvlJc w:val="left"/>
      <w:pPr>
        <w:ind w:left="7187" w:hanging="360"/>
      </w:pPr>
      <w:rPr>
        <w:rFonts w:ascii="Wingdings" w:hAnsi="Wingdings" w:hint="default"/>
      </w:rPr>
    </w:lvl>
    <w:lvl w:ilvl="3" w:tplc="04090001" w:tentative="1">
      <w:start w:val="1"/>
      <w:numFmt w:val="bullet"/>
      <w:lvlText w:val=""/>
      <w:lvlJc w:val="left"/>
      <w:pPr>
        <w:ind w:left="7907" w:hanging="360"/>
      </w:pPr>
      <w:rPr>
        <w:rFonts w:ascii="Symbol" w:hAnsi="Symbol" w:hint="default"/>
      </w:rPr>
    </w:lvl>
    <w:lvl w:ilvl="4" w:tplc="04090003" w:tentative="1">
      <w:start w:val="1"/>
      <w:numFmt w:val="bullet"/>
      <w:lvlText w:val="o"/>
      <w:lvlJc w:val="left"/>
      <w:pPr>
        <w:ind w:left="8627" w:hanging="360"/>
      </w:pPr>
      <w:rPr>
        <w:rFonts w:ascii="Courier New" w:hAnsi="Courier New" w:cs="Courier New" w:hint="default"/>
      </w:rPr>
    </w:lvl>
    <w:lvl w:ilvl="5" w:tplc="04090005" w:tentative="1">
      <w:start w:val="1"/>
      <w:numFmt w:val="bullet"/>
      <w:lvlText w:val=""/>
      <w:lvlJc w:val="left"/>
      <w:pPr>
        <w:ind w:left="9347" w:hanging="360"/>
      </w:pPr>
      <w:rPr>
        <w:rFonts w:ascii="Wingdings" w:hAnsi="Wingdings" w:hint="default"/>
      </w:rPr>
    </w:lvl>
    <w:lvl w:ilvl="6" w:tplc="04090001" w:tentative="1">
      <w:start w:val="1"/>
      <w:numFmt w:val="bullet"/>
      <w:lvlText w:val=""/>
      <w:lvlJc w:val="left"/>
      <w:pPr>
        <w:ind w:left="10067" w:hanging="360"/>
      </w:pPr>
      <w:rPr>
        <w:rFonts w:ascii="Symbol" w:hAnsi="Symbol" w:hint="default"/>
      </w:rPr>
    </w:lvl>
    <w:lvl w:ilvl="7" w:tplc="04090003" w:tentative="1">
      <w:start w:val="1"/>
      <w:numFmt w:val="bullet"/>
      <w:lvlText w:val="o"/>
      <w:lvlJc w:val="left"/>
      <w:pPr>
        <w:ind w:left="10787" w:hanging="360"/>
      </w:pPr>
      <w:rPr>
        <w:rFonts w:ascii="Courier New" w:hAnsi="Courier New" w:cs="Courier New" w:hint="default"/>
      </w:rPr>
    </w:lvl>
    <w:lvl w:ilvl="8" w:tplc="04090005" w:tentative="1">
      <w:start w:val="1"/>
      <w:numFmt w:val="bullet"/>
      <w:lvlText w:val=""/>
      <w:lvlJc w:val="left"/>
      <w:pPr>
        <w:ind w:left="11507" w:hanging="360"/>
      </w:pPr>
      <w:rPr>
        <w:rFonts w:ascii="Wingdings" w:hAnsi="Wingdings" w:hint="default"/>
      </w:rPr>
    </w:lvl>
  </w:abstractNum>
  <w:abstractNum w:abstractNumId="12" w15:restartNumberingAfterBreak="0">
    <w:nsid w:val="7AB960C6"/>
    <w:multiLevelType w:val="hybridMultilevel"/>
    <w:tmpl w:val="A9C6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4"/>
  </w:num>
  <w:num w:numId="5">
    <w:abstractNumId w:val="1"/>
  </w:num>
  <w:num w:numId="6">
    <w:abstractNumId w:val="12"/>
  </w:num>
  <w:num w:numId="7">
    <w:abstractNumId w:val="5"/>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06"/>
    <w:rsid w:val="000009ED"/>
    <w:rsid w:val="000016FE"/>
    <w:rsid w:val="00003FA3"/>
    <w:rsid w:val="0000420E"/>
    <w:rsid w:val="00004259"/>
    <w:rsid w:val="00005040"/>
    <w:rsid w:val="00005212"/>
    <w:rsid w:val="0000579C"/>
    <w:rsid w:val="000057DC"/>
    <w:rsid w:val="0000766C"/>
    <w:rsid w:val="00010568"/>
    <w:rsid w:val="00010C70"/>
    <w:rsid w:val="0001308F"/>
    <w:rsid w:val="00014A23"/>
    <w:rsid w:val="00014EF7"/>
    <w:rsid w:val="0001723D"/>
    <w:rsid w:val="00017C7F"/>
    <w:rsid w:val="00020F9E"/>
    <w:rsid w:val="000247BE"/>
    <w:rsid w:val="0002574D"/>
    <w:rsid w:val="00026557"/>
    <w:rsid w:val="00026692"/>
    <w:rsid w:val="0002762F"/>
    <w:rsid w:val="0003080D"/>
    <w:rsid w:val="000308DE"/>
    <w:rsid w:val="00032BD5"/>
    <w:rsid w:val="00032EAA"/>
    <w:rsid w:val="00033062"/>
    <w:rsid w:val="00033326"/>
    <w:rsid w:val="000337D1"/>
    <w:rsid w:val="000359AC"/>
    <w:rsid w:val="0003624A"/>
    <w:rsid w:val="0003644D"/>
    <w:rsid w:val="000368DE"/>
    <w:rsid w:val="0004163E"/>
    <w:rsid w:val="000416AB"/>
    <w:rsid w:val="00041B69"/>
    <w:rsid w:val="00042865"/>
    <w:rsid w:val="00042D5A"/>
    <w:rsid w:val="00043E00"/>
    <w:rsid w:val="00043EF3"/>
    <w:rsid w:val="00044851"/>
    <w:rsid w:val="00044C54"/>
    <w:rsid w:val="000467E1"/>
    <w:rsid w:val="00046F70"/>
    <w:rsid w:val="000504FE"/>
    <w:rsid w:val="00050BD0"/>
    <w:rsid w:val="000512B0"/>
    <w:rsid w:val="000519B9"/>
    <w:rsid w:val="00051F02"/>
    <w:rsid w:val="00053072"/>
    <w:rsid w:val="00053163"/>
    <w:rsid w:val="000538AB"/>
    <w:rsid w:val="00053A86"/>
    <w:rsid w:val="00054956"/>
    <w:rsid w:val="00056533"/>
    <w:rsid w:val="00061166"/>
    <w:rsid w:val="00064AC9"/>
    <w:rsid w:val="00065057"/>
    <w:rsid w:val="000651F8"/>
    <w:rsid w:val="0006540D"/>
    <w:rsid w:val="00066322"/>
    <w:rsid w:val="000674E1"/>
    <w:rsid w:val="000677A6"/>
    <w:rsid w:val="0006797C"/>
    <w:rsid w:val="000703FF"/>
    <w:rsid w:val="00070DB3"/>
    <w:rsid w:val="00070EC2"/>
    <w:rsid w:val="000717B4"/>
    <w:rsid w:val="000743A2"/>
    <w:rsid w:val="00074B82"/>
    <w:rsid w:val="0007516C"/>
    <w:rsid w:val="0007573A"/>
    <w:rsid w:val="000769A8"/>
    <w:rsid w:val="000819C4"/>
    <w:rsid w:val="00081DD4"/>
    <w:rsid w:val="00081ECB"/>
    <w:rsid w:val="0008265B"/>
    <w:rsid w:val="00083540"/>
    <w:rsid w:val="00084BF8"/>
    <w:rsid w:val="000851CE"/>
    <w:rsid w:val="000857A0"/>
    <w:rsid w:val="000860E5"/>
    <w:rsid w:val="00086CE6"/>
    <w:rsid w:val="00086DD2"/>
    <w:rsid w:val="00087055"/>
    <w:rsid w:val="00087A89"/>
    <w:rsid w:val="0009033A"/>
    <w:rsid w:val="00090ABE"/>
    <w:rsid w:val="00091510"/>
    <w:rsid w:val="00091D07"/>
    <w:rsid w:val="00093CBA"/>
    <w:rsid w:val="00093E16"/>
    <w:rsid w:val="00094DC7"/>
    <w:rsid w:val="00096C47"/>
    <w:rsid w:val="000970A9"/>
    <w:rsid w:val="0009726C"/>
    <w:rsid w:val="000975E0"/>
    <w:rsid w:val="000A02E0"/>
    <w:rsid w:val="000A0503"/>
    <w:rsid w:val="000A409C"/>
    <w:rsid w:val="000A4196"/>
    <w:rsid w:val="000A50C6"/>
    <w:rsid w:val="000A577B"/>
    <w:rsid w:val="000A57F1"/>
    <w:rsid w:val="000A7183"/>
    <w:rsid w:val="000A75E1"/>
    <w:rsid w:val="000A7BAF"/>
    <w:rsid w:val="000B00F9"/>
    <w:rsid w:val="000B0812"/>
    <w:rsid w:val="000B0CA3"/>
    <w:rsid w:val="000B10F7"/>
    <w:rsid w:val="000B1666"/>
    <w:rsid w:val="000B288C"/>
    <w:rsid w:val="000B5823"/>
    <w:rsid w:val="000B77C7"/>
    <w:rsid w:val="000B7A80"/>
    <w:rsid w:val="000C0090"/>
    <w:rsid w:val="000C06F5"/>
    <w:rsid w:val="000C1CAB"/>
    <w:rsid w:val="000C1D36"/>
    <w:rsid w:val="000C23B4"/>
    <w:rsid w:val="000C3838"/>
    <w:rsid w:val="000C4DCD"/>
    <w:rsid w:val="000C5920"/>
    <w:rsid w:val="000C5AD8"/>
    <w:rsid w:val="000C5C39"/>
    <w:rsid w:val="000C6506"/>
    <w:rsid w:val="000C79A3"/>
    <w:rsid w:val="000C7D5B"/>
    <w:rsid w:val="000D1004"/>
    <w:rsid w:val="000D1A43"/>
    <w:rsid w:val="000D1F86"/>
    <w:rsid w:val="000D370E"/>
    <w:rsid w:val="000D3FD7"/>
    <w:rsid w:val="000D41A9"/>
    <w:rsid w:val="000D53EB"/>
    <w:rsid w:val="000D5605"/>
    <w:rsid w:val="000D5687"/>
    <w:rsid w:val="000D57DF"/>
    <w:rsid w:val="000D5952"/>
    <w:rsid w:val="000D623A"/>
    <w:rsid w:val="000D6B8C"/>
    <w:rsid w:val="000D70AC"/>
    <w:rsid w:val="000D74BC"/>
    <w:rsid w:val="000E030C"/>
    <w:rsid w:val="000E0752"/>
    <w:rsid w:val="000E0FBB"/>
    <w:rsid w:val="000E10F6"/>
    <w:rsid w:val="000E1246"/>
    <w:rsid w:val="000E12D2"/>
    <w:rsid w:val="000E168E"/>
    <w:rsid w:val="000E2B1B"/>
    <w:rsid w:val="000E3349"/>
    <w:rsid w:val="000E42A1"/>
    <w:rsid w:val="000E5444"/>
    <w:rsid w:val="000E5F83"/>
    <w:rsid w:val="000E64FA"/>
    <w:rsid w:val="000E674B"/>
    <w:rsid w:val="000E6783"/>
    <w:rsid w:val="000E690F"/>
    <w:rsid w:val="000E6DF7"/>
    <w:rsid w:val="000E77BF"/>
    <w:rsid w:val="000E7C33"/>
    <w:rsid w:val="000E7F9B"/>
    <w:rsid w:val="000F00D9"/>
    <w:rsid w:val="000F069A"/>
    <w:rsid w:val="000F10CC"/>
    <w:rsid w:val="000F11D7"/>
    <w:rsid w:val="000F1564"/>
    <w:rsid w:val="000F2AC0"/>
    <w:rsid w:val="000F40FB"/>
    <w:rsid w:val="000F4EBE"/>
    <w:rsid w:val="000F54D5"/>
    <w:rsid w:val="000F5C08"/>
    <w:rsid w:val="000F5F46"/>
    <w:rsid w:val="0010008A"/>
    <w:rsid w:val="00100ED2"/>
    <w:rsid w:val="00101CD9"/>
    <w:rsid w:val="00102273"/>
    <w:rsid w:val="001023DE"/>
    <w:rsid w:val="0010516D"/>
    <w:rsid w:val="0010554B"/>
    <w:rsid w:val="00105C6C"/>
    <w:rsid w:val="001077FE"/>
    <w:rsid w:val="001110C7"/>
    <w:rsid w:val="00111B01"/>
    <w:rsid w:val="00113F78"/>
    <w:rsid w:val="00114A1E"/>
    <w:rsid w:val="00115978"/>
    <w:rsid w:val="001209A1"/>
    <w:rsid w:val="00120A96"/>
    <w:rsid w:val="00120CBC"/>
    <w:rsid w:val="001230AB"/>
    <w:rsid w:val="0012343B"/>
    <w:rsid w:val="00123AAE"/>
    <w:rsid w:val="001246CD"/>
    <w:rsid w:val="00124898"/>
    <w:rsid w:val="00124C58"/>
    <w:rsid w:val="0012539C"/>
    <w:rsid w:val="00127542"/>
    <w:rsid w:val="0013000B"/>
    <w:rsid w:val="0013004C"/>
    <w:rsid w:val="00130AEA"/>
    <w:rsid w:val="00130B18"/>
    <w:rsid w:val="00130FDA"/>
    <w:rsid w:val="001314EF"/>
    <w:rsid w:val="00131DB9"/>
    <w:rsid w:val="00132757"/>
    <w:rsid w:val="00133702"/>
    <w:rsid w:val="00134E52"/>
    <w:rsid w:val="00135719"/>
    <w:rsid w:val="001361C4"/>
    <w:rsid w:val="00136EA2"/>
    <w:rsid w:val="00140663"/>
    <w:rsid w:val="001406C1"/>
    <w:rsid w:val="00142107"/>
    <w:rsid w:val="00145881"/>
    <w:rsid w:val="00145BF6"/>
    <w:rsid w:val="00146CF1"/>
    <w:rsid w:val="00146EEA"/>
    <w:rsid w:val="00146F92"/>
    <w:rsid w:val="00150F1E"/>
    <w:rsid w:val="00151E99"/>
    <w:rsid w:val="00152120"/>
    <w:rsid w:val="001530AA"/>
    <w:rsid w:val="0015502C"/>
    <w:rsid w:val="001550FB"/>
    <w:rsid w:val="00155630"/>
    <w:rsid w:val="00155BAE"/>
    <w:rsid w:val="00160AD5"/>
    <w:rsid w:val="00161C87"/>
    <w:rsid w:val="00162076"/>
    <w:rsid w:val="00163C3D"/>
    <w:rsid w:val="0016533E"/>
    <w:rsid w:val="00165645"/>
    <w:rsid w:val="00165ECA"/>
    <w:rsid w:val="00165FAB"/>
    <w:rsid w:val="00166110"/>
    <w:rsid w:val="00166DC5"/>
    <w:rsid w:val="00167478"/>
    <w:rsid w:val="00170743"/>
    <w:rsid w:val="001714A4"/>
    <w:rsid w:val="00171888"/>
    <w:rsid w:val="00171A9A"/>
    <w:rsid w:val="00174769"/>
    <w:rsid w:val="00174787"/>
    <w:rsid w:val="001758BE"/>
    <w:rsid w:val="00176645"/>
    <w:rsid w:val="00176852"/>
    <w:rsid w:val="0017762C"/>
    <w:rsid w:val="00177E01"/>
    <w:rsid w:val="001809CC"/>
    <w:rsid w:val="00180B68"/>
    <w:rsid w:val="00183F6B"/>
    <w:rsid w:val="00185B28"/>
    <w:rsid w:val="00185FC3"/>
    <w:rsid w:val="00186C12"/>
    <w:rsid w:val="001870AE"/>
    <w:rsid w:val="00190FC4"/>
    <w:rsid w:val="00191EDC"/>
    <w:rsid w:val="001929CC"/>
    <w:rsid w:val="00193ACF"/>
    <w:rsid w:val="00194663"/>
    <w:rsid w:val="00194A87"/>
    <w:rsid w:val="0019541B"/>
    <w:rsid w:val="00195AC7"/>
    <w:rsid w:val="00195DD8"/>
    <w:rsid w:val="00196720"/>
    <w:rsid w:val="00196FAC"/>
    <w:rsid w:val="001979DB"/>
    <w:rsid w:val="00197CEA"/>
    <w:rsid w:val="001A0731"/>
    <w:rsid w:val="001A1574"/>
    <w:rsid w:val="001A1A27"/>
    <w:rsid w:val="001A1D4C"/>
    <w:rsid w:val="001A20A9"/>
    <w:rsid w:val="001A29FE"/>
    <w:rsid w:val="001A34F4"/>
    <w:rsid w:val="001A3AC8"/>
    <w:rsid w:val="001A404B"/>
    <w:rsid w:val="001A4B79"/>
    <w:rsid w:val="001A503C"/>
    <w:rsid w:val="001A5208"/>
    <w:rsid w:val="001A55F3"/>
    <w:rsid w:val="001A5C00"/>
    <w:rsid w:val="001A5C93"/>
    <w:rsid w:val="001A5EEA"/>
    <w:rsid w:val="001B00BB"/>
    <w:rsid w:val="001B0124"/>
    <w:rsid w:val="001B0F37"/>
    <w:rsid w:val="001B1AC6"/>
    <w:rsid w:val="001B2297"/>
    <w:rsid w:val="001B2918"/>
    <w:rsid w:val="001B414F"/>
    <w:rsid w:val="001B41AF"/>
    <w:rsid w:val="001B430C"/>
    <w:rsid w:val="001B4676"/>
    <w:rsid w:val="001B4D56"/>
    <w:rsid w:val="001B4DD9"/>
    <w:rsid w:val="001B62A8"/>
    <w:rsid w:val="001B719D"/>
    <w:rsid w:val="001C005D"/>
    <w:rsid w:val="001C18C2"/>
    <w:rsid w:val="001C1ABA"/>
    <w:rsid w:val="001C253A"/>
    <w:rsid w:val="001C2F9B"/>
    <w:rsid w:val="001C30D7"/>
    <w:rsid w:val="001C36F1"/>
    <w:rsid w:val="001C5D4D"/>
    <w:rsid w:val="001C6061"/>
    <w:rsid w:val="001C648E"/>
    <w:rsid w:val="001C67AA"/>
    <w:rsid w:val="001C796D"/>
    <w:rsid w:val="001D1135"/>
    <w:rsid w:val="001D171B"/>
    <w:rsid w:val="001D1BFB"/>
    <w:rsid w:val="001D3676"/>
    <w:rsid w:val="001D398C"/>
    <w:rsid w:val="001D4181"/>
    <w:rsid w:val="001D42FB"/>
    <w:rsid w:val="001D4876"/>
    <w:rsid w:val="001D4FF1"/>
    <w:rsid w:val="001D6C29"/>
    <w:rsid w:val="001D6F20"/>
    <w:rsid w:val="001E0025"/>
    <w:rsid w:val="001E02C6"/>
    <w:rsid w:val="001E1D40"/>
    <w:rsid w:val="001E2111"/>
    <w:rsid w:val="001E2404"/>
    <w:rsid w:val="001E29C0"/>
    <w:rsid w:val="001E2CC0"/>
    <w:rsid w:val="001E34CC"/>
    <w:rsid w:val="001E389F"/>
    <w:rsid w:val="001E3D28"/>
    <w:rsid w:val="001E59FB"/>
    <w:rsid w:val="001F0639"/>
    <w:rsid w:val="001F07C0"/>
    <w:rsid w:val="001F0BF6"/>
    <w:rsid w:val="001F0E1E"/>
    <w:rsid w:val="001F1315"/>
    <w:rsid w:val="001F1511"/>
    <w:rsid w:val="001F2101"/>
    <w:rsid w:val="001F2855"/>
    <w:rsid w:val="001F2882"/>
    <w:rsid w:val="001F4879"/>
    <w:rsid w:val="001F4AD7"/>
    <w:rsid w:val="001F5492"/>
    <w:rsid w:val="001F579B"/>
    <w:rsid w:val="001F688C"/>
    <w:rsid w:val="001F7599"/>
    <w:rsid w:val="00201608"/>
    <w:rsid w:val="002016D1"/>
    <w:rsid w:val="002019AB"/>
    <w:rsid w:val="0020271C"/>
    <w:rsid w:val="00203AB5"/>
    <w:rsid w:val="002041D4"/>
    <w:rsid w:val="00204ACD"/>
    <w:rsid w:val="00207FB2"/>
    <w:rsid w:val="00211375"/>
    <w:rsid w:val="00211F00"/>
    <w:rsid w:val="002122F9"/>
    <w:rsid w:val="002127DE"/>
    <w:rsid w:val="002128E9"/>
    <w:rsid w:val="002131B9"/>
    <w:rsid w:val="002150B4"/>
    <w:rsid w:val="0021573C"/>
    <w:rsid w:val="00216193"/>
    <w:rsid w:val="002166E3"/>
    <w:rsid w:val="00217377"/>
    <w:rsid w:val="00220741"/>
    <w:rsid w:val="00221D8C"/>
    <w:rsid w:val="0022201F"/>
    <w:rsid w:val="002224F4"/>
    <w:rsid w:val="00225374"/>
    <w:rsid w:val="00227B40"/>
    <w:rsid w:val="00227DF7"/>
    <w:rsid w:val="002301B5"/>
    <w:rsid w:val="00230452"/>
    <w:rsid w:val="00230BCF"/>
    <w:rsid w:val="0023129F"/>
    <w:rsid w:val="00231C91"/>
    <w:rsid w:val="00232305"/>
    <w:rsid w:val="00233242"/>
    <w:rsid w:val="00234E8D"/>
    <w:rsid w:val="00235C2C"/>
    <w:rsid w:val="00235C9A"/>
    <w:rsid w:val="002372E6"/>
    <w:rsid w:val="0024000B"/>
    <w:rsid w:val="00240CBE"/>
    <w:rsid w:val="0024158D"/>
    <w:rsid w:val="00242029"/>
    <w:rsid w:val="002427B4"/>
    <w:rsid w:val="00242EA5"/>
    <w:rsid w:val="002439C2"/>
    <w:rsid w:val="00244C15"/>
    <w:rsid w:val="00244DF1"/>
    <w:rsid w:val="002454BD"/>
    <w:rsid w:val="00246670"/>
    <w:rsid w:val="00246A77"/>
    <w:rsid w:val="00246AB4"/>
    <w:rsid w:val="00246D60"/>
    <w:rsid w:val="00247CB6"/>
    <w:rsid w:val="00250448"/>
    <w:rsid w:val="0025090B"/>
    <w:rsid w:val="0025241A"/>
    <w:rsid w:val="002530C3"/>
    <w:rsid w:val="00254595"/>
    <w:rsid w:val="002547EA"/>
    <w:rsid w:val="00255F78"/>
    <w:rsid w:val="00257C4F"/>
    <w:rsid w:val="002626D3"/>
    <w:rsid w:val="002629F2"/>
    <w:rsid w:val="00262B90"/>
    <w:rsid w:val="002636AB"/>
    <w:rsid w:val="00263FA4"/>
    <w:rsid w:val="00264450"/>
    <w:rsid w:val="00264B07"/>
    <w:rsid w:val="00264CE6"/>
    <w:rsid w:val="002650AB"/>
    <w:rsid w:val="00265177"/>
    <w:rsid w:val="00266932"/>
    <w:rsid w:val="00266A32"/>
    <w:rsid w:val="00267CC5"/>
    <w:rsid w:val="00267CFD"/>
    <w:rsid w:val="00270B0B"/>
    <w:rsid w:val="0027326C"/>
    <w:rsid w:val="00273D1B"/>
    <w:rsid w:val="00274B50"/>
    <w:rsid w:val="00274F4A"/>
    <w:rsid w:val="002752F1"/>
    <w:rsid w:val="0027547C"/>
    <w:rsid w:val="0027653D"/>
    <w:rsid w:val="00276651"/>
    <w:rsid w:val="00277BC5"/>
    <w:rsid w:val="00280053"/>
    <w:rsid w:val="00280A65"/>
    <w:rsid w:val="00282773"/>
    <w:rsid w:val="00282A2B"/>
    <w:rsid w:val="00283756"/>
    <w:rsid w:val="002842CA"/>
    <w:rsid w:val="002848C9"/>
    <w:rsid w:val="00286644"/>
    <w:rsid w:val="0028776B"/>
    <w:rsid w:val="0029067D"/>
    <w:rsid w:val="002910D0"/>
    <w:rsid w:val="0029124A"/>
    <w:rsid w:val="002916FD"/>
    <w:rsid w:val="002919ED"/>
    <w:rsid w:val="00291D49"/>
    <w:rsid w:val="00292AE0"/>
    <w:rsid w:val="00293151"/>
    <w:rsid w:val="002934E4"/>
    <w:rsid w:val="00295C50"/>
    <w:rsid w:val="00295D2E"/>
    <w:rsid w:val="00296403"/>
    <w:rsid w:val="00296B48"/>
    <w:rsid w:val="00296CAD"/>
    <w:rsid w:val="00297B01"/>
    <w:rsid w:val="002A2252"/>
    <w:rsid w:val="002A2269"/>
    <w:rsid w:val="002A3047"/>
    <w:rsid w:val="002A305D"/>
    <w:rsid w:val="002A39EA"/>
    <w:rsid w:val="002A4D83"/>
    <w:rsid w:val="002A5070"/>
    <w:rsid w:val="002A545A"/>
    <w:rsid w:val="002A6170"/>
    <w:rsid w:val="002A61E1"/>
    <w:rsid w:val="002A6CAF"/>
    <w:rsid w:val="002B0908"/>
    <w:rsid w:val="002B09B3"/>
    <w:rsid w:val="002B0F0E"/>
    <w:rsid w:val="002B117C"/>
    <w:rsid w:val="002B1C21"/>
    <w:rsid w:val="002B2009"/>
    <w:rsid w:val="002B2038"/>
    <w:rsid w:val="002B234C"/>
    <w:rsid w:val="002B2730"/>
    <w:rsid w:val="002B2A4D"/>
    <w:rsid w:val="002B2E6D"/>
    <w:rsid w:val="002B3DBC"/>
    <w:rsid w:val="002B3E40"/>
    <w:rsid w:val="002B4F55"/>
    <w:rsid w:val="002B6624"/>
    <w:rsid w:val="002B7096"/>
    <w:rsid w:val="002C15F3"/>
    <w:rsid w:val="002C1A7A"/>
    <w:rsid w:val="002C1FDC"/>
    <w:rsid w:val="002C22A9"/>
    <w:rsid w:val="002C2763"/>
    <w:rsid w:val="002C38FD"/>
    <w:rsid w:val="002C445A"/>
    <w:rsid w:val="002C45A1"/>
    <w:rsid w:val="002C487B"/>
    <w:rsid w:val="002C4A6D"/>
    <w:rsid w:val="002C5A95"/>
    <w:rsid w:val="002C7D1A"/>
    <w:rsid w:val="002D056D"/>
    <w:rsid w:val="002D0D4E"/>
    <w:rsid w:val="002D0E73"/>
    <w:rsid w:val="002D1444"/>
    <w:rsid w:val="002D1724"/>
    <w:rsid w:val="002D2BC1"/>
    <w:rsid w:val="002D2C82"/>
    <w:rsid w:val="002D338D"/>
    <w:rsid w:val="002D4844"/>
    <w:rsid w:val="002D4B53"/>
    <w:rsid w:val="002D5E24"/>
    <w:rsid w:val="002D7483"/>
    <w:rsid w:val="002D7E55"/>
    <w:rsid w:val="002D7FF2"/>
    <w:rsid w:val="002E01BF"/>
    <w:rsid w:val="002E0A54"/>
    <w:rsid w:val="002E1E8D"/>
    <w:rsid w:val="002E2227"/>
    <w:rsid w:val="002E3534"/>
    <w:rsid w:val="002E392D"/>
    <w:rsid w:val="002E4CFC"/>
    <w:rsid w:val="002E5026"/>
    <w:rsid w:val="002E5CE8"/>
    <w:rsid w:val="002E71EB"/>
    <w:rsid w:val="002E7729"/>
    <w:rsid w:val="002E7AD8"/>
    <w:rsid w:val="002E7B00"/>
    <w:rsid w:val="002E7D48"/>
    <w:rsid w:val="002F016B"/>
    <w:rsid w:val="002F096E"/>
    <w:rsid w:val="002F0E94"/>
    <w:rsid w:val="002F1826"/>
    <w:rsid w:val="002F20BA"/>
    <w:rsid w:val="002F3163"/>
    <w:rsid w:val="002F5E59"/>
    <w:rsid w:val="002F6313"/>
    <w:rsid w:val="002F692E"/>
    <w:rsid w:val="002F753C"/>
    <w:rsid w:val="00301247"/>
    <w:rsid w:val="00302399"/>
    <w:rsid w:val="00302999"/>
    <w:rsid w:val="00303B1E"/>
    <w:rsid w:val="00303DF5"/>
    <w:rsid w:val="00304BBE"/>
    <w:rsid w:val="00304F60"/>
    <w:rsid w:val="00305AB1"/>
    <w:rsid w:val="00305F78"/>
    <w:rsid w:val="00307300"/>
    <w:rsid w:val="00307FBB"/>
    <w:rsid w:val="00311F59"/>
    <w:rsid w:val="0031243C"/>
    <w:rsid w:val="00312446"/>
    <w:rsid w:val="0031276F"/>
    <w:rsid w:val="003131CF"/>
    <w:rsid w:val="0031384F"/>
    <w:rsid w:val="00315ECF"/>
    <w:rsid w:val="00316005"/>
    <w:rsid w:val="00316084"/>
    <w:rsid w:val="00316F56"/>
    <w:rsid w:val="0032005A"/>
    <w:rsid w:val="0032040A"/>
    <w:rsid w:val="0033191B"/>
    <w:rsid w:val="00332016"/>
    <w:rsid w:val="00332296"/>
    <w:rsid w:val="00333AE6"/>
    <w:rsid w:val="003345FF"/>
    <w:rsid w:val="00334EE0"/>
    <w:rsid w:val="00335B35"/>
    <w:rsid w:val="003360D7"/>
    <w:rsid w:val="00336550"/>
    <w:rsid w:val="00341553"/>
    <w:rsid w:val="00341661"/>
    <w:rsid w:val="0034326D"/>
    <w:rsid w:val="00343304"/>
    <w:rsid w:val="003443F9"/>
    <w:rsid w:val="00345164"/>
    <w:rsid w:val="003453D7"/>
    <w:rsid w:val="00346351"/>
    <w:rsid w:val="0035072B"/>
    <w:rsid w:val="003507A1"/>
    <w:rsid w:val="003508D2"/>
    <w:rsid w:val="003511FA"/>
    <w:rsid w:val="00352E3F"/>
    <w:rsid w:val="00353570"/>
    <w:rsid w:val="003536F8"/>
    <w:rsid w:val="003550D6"/>
    <w:rsid w:val="00357F0C"/>
    <w:rsid w:val="00357F6D"/>
    <w:rsid w:val="0036318B"/>
    <w:rsid w:val="003631F8"/>
    <w:rsid w:val="003633EB"/>
    <w:rsid w:val="0036423D"/>
    <w:rsid w:val="00364B44"/>
    <w:rsid w:val="00364BF6"/>
    <w:rsid w:val="00365600"/>
    <w:rsid w:val="00366EB5"/>
    <w:rsid w:val="00367778"/>
    <w:rsid w:val="003700BC"/>
    <w:rsid w:val="00371435"/>
    <w:rsid w:val="003722F4"/>
    <w:rsid w:val="00373127"/>
    <w:rsid w:val="00373778"/>
    <w:rsid w:val="003744BF"/>
    <w:rsid w:val="00375488"/>
    <w:rsid w:val="003768AB"/>
    <w:rsid w:val="003768CB"/>
    <w:rsid w:val="003768D8"/>
    <w:rsid w:val="00376B9A"/>
    <w:rsid w:val="0037798D"/>
    <w:rsid w:val="00380EDD"/>
    <w:rsid w:val="00380FDA"/>
    <w:rsid w:val="00381848"/>
    <w:rsid w:val="003818F5"/>
    <w:rsid w:val="003826AF"/>
    <w:rsid w:val="003844AF"/>
    <w:rsid w:val="00384D6F"/>
    <w:rsid w:val="00384FC9"/>
    <w:rsid w:val="00385FA7"/>
    <w:rsid w:val="003862E1"/>
    <w:rsid w:val="00387836"/>
    <w:rsid w:val="0038792F"/>
    <w:rsid w:val="00387E12"/>
    <w:rsid w:val="00390733"/>
    <w:rsid w:val="00390BF8"/>
    <w:rsid w:val="00391453"/>
    <w:rsid w:val="00392CF9"/>
    <w:rsid w:val="003934A4"/>
    <w:rsid w:val="00394043"/>
    <w:rsid w:val="0039492F"/>
    <w:rsid w:val="0039501C"/>
    <w:rsid w:val="0039541D"/>
    <w:rsid w:val="003978C2"/>
    <w:rsid w:val="003A0BC8"/>
    <w:rsid w:val="003A0C4B"/>
    <w:rsid w:val="003A0D02"/>
    <w:rsid w:val="003A111B"/>
    <w:rsid w:val="003A1F21"/>
    <w:rsid w:val="003A24A5"/>
    <w:rsid w:val="003A2DEE"/>
    <w:rsid w:val="003A31E7"/>
    <w:rsid w:val="003A329C"/>
    <w:rsid w:val="003A5885"/>
    <w:rsid w:val="003A6413"/>
    <w:rsid w:val="003A67E8"/>
    <w:rsid w:val="003A6A53"/>
    <w:rsid w:val="003A79DF"/>
    <w:rsid w:val="003B03F8"/>
    <w:rsid w:val="003B124D"/>
    <w:rsid w:val="003B13C5"/>
    <w:rsid w:val="003B1FB7"/>
    <w:rsid w:val="003B230E"/>
    <w:rsid w:val="003B4D81"/>
    <w:rsid w:val="003B66C0"/>
    <w:rsid w:val="003B74B5"/>
    <w:rsid w:val="003C11FB"/>
    <w:rsid w:val="003C14D6"/>
    <w:rsid w:val="003C2445"/>
    <w:rsid w:val="003C30FD"/>
    <w:rsid w:val="003C3233"/>
    <w:rsid w:val="003C3925"/>
    <w:rsid w:val="003C44C1"/>
    <w:rsid w:val="003C4778"/>
    <w:rsid w:val="003C58CD"/>
    <w:rsid w:val="003C5B37"/>
    <w:rsid w:val="003C7B49"/>
    <w:rsid w:val="003D0C09"/>
    <w:rsid w:val="003D0C5C"/>
    <w:rsid w:val="003D0E9E"/>
    <w:rsid w:val="003D10A7"/>
    <w:rsid w:val="003D2376"/>
    <w:rsid w:val="003D2D9D"/>
    <w:rsid w:val="003D31BB"/>
    <w:rsid w:val="003D3CF4"/>
    <w:rsid w:val="003D3D44"/>
    <w:rsid w:val="003D3EDE"/>
    <w:rsid w:val="003D440A"/>
    <w:rsid w:val="003D6310"/>
    <w:rsid w:val="003D673B"/>
    <w:rsid w:val="003D68CD"/>
    <w:rsid w:val="003E0BB8"/>
    <w:rsid w:val="003E12C9"/>
    <w:rsid w:val="003E248A"/>
    <w:rsid w:val="003E2E4B"/>
    <w:rsid w:val="003E2FB9"/>
    <w:rsid w:val="003E34BA"/>
    <w:rsid w:val="003E4D9E"/>
    <w:rsid w:val="003E6363"/>
    <w:rsid w:val="003E769A"/>
    <w:rsid w:val="003F03DD"/>
    <w:rsid w:val="003F131B"/>
    <w:rsid w:val="003F2864"/>
    <w:rsid w:val="003F30E7"/>
    <w:rsid w:val="003F4249"/>
    <w:rsid w:val="003F4673"/>
    <w:rsid w:val="003F4ABC"/>
    <w:rsid w:val="003F53EA"/>
    <w:rsid w:val="003F6AAA"/>
    <w:rsid w:val="003F749D"/>
    <w:rsid w:val="003F7641"/>
    <w:rsid w:val="003F7E41"/>
    <w:rsid w:val="0040015E"/>
    <w:rsid w:val="00403695"/>
    <w:rsid w:val="004039C7"/>
    <w:rsid w:val="00403F5E"/>
    <w:rsid w:val="00404947"/>
    <w:rsid w:val="00405263"/>
    <w:rsid w:val="004071C8"/>
    <w:rsid w:val="00407BA2"/>
    <w:rsid w:val="00407D89"/>
    <w:rsid w:val="00411275"/>
    <w:rsid w:val="00411CA3"/>
    <w:rsid w:val="0041296A"/>
    <w:rsid w:val="00412F81"/>
    <w:rsid w:val="00412FED"/>
    <w:rsid w:val="00413311"/>
    <w:rsid w:val="00414674"/>
    <w:rsid w:val="00414BFB"/>
    <w:rsid w:val="00415067"/>
    <w:rsid w:val="00416B45"/>
    <w:rsid w:val="00416FEB"/>
    <w:rsid w:val="0041770E"/>
    <w:rsid w:val="0041799D"/>
    <w:rsid w:val="004211B9"/>
    <w:rsid w:val="0042192F"/>
    <w:rsid w:val="004237A9"/>
    <w:rsid w:val="00423CCE"/>
    <w:rsid w:val="004251A7"/>
    <w:rsid w:val="0042578E"/>
    <w:rsid w:val="004279C7"/>
    <w:rsid w:val="0043004F"/>
    <w:rsid w:val="004301DE"/>
    <w:rsid w:val="00432AB8"/>
    <w:rsid w:val="00433BC0"/>
    <w:rsid w:val="0043408B"/>
    <w:rsid w:val="00435E85"/>
    <w:rsid w:val="00437866"/>
    <w:rsid w:val="0044026A"/>
    <w:rsid w:val="004406F8"/>
    <w:rsid w:val="004415F9"/>
    <w:rsid w:val="00441BDC"/>
    <w:rsid w:val="0044265F"/>
    <w:rsid w:val="0044617E"/>
    <w:rsid w:val="004462FB"/>
    <w:rsid w:val="0044662E"/>
    <w:rsid w:val="00446EA6"/>
    <w:rsid w:val="00446FBD"/>
    <w:rsid w:val="0044725D"/>
    <w:rsid w:val="00447D98"/>
    <w:rsid w:val="004509EB"/>
    <w:rsid w:val="00451259"/>
    <w:rsid w:val="00451D5D"/>
    <w:rsid w:val="0045242F"/>
    <w:rsid w:val="00452FC5"/>
    <w:rsid w:val="00453F91"/>
    <w:rsid w:val="004545D6"/>
    <w:rsid w:val="00454621"/>
    <w:rsid w:val="004554B0"/>
    <w:rsid w:val="00456ADD"/>
    <w:rsid w:val="00456CD0"/>
    <w:rsid w:val="0046248B"/>
    <w:rsid w:val="00466706"/>
    <w:rsid w:val="00466DE7"/>
    <w:rsid w:val="00467791"/>
    <w:rsid w:val="00471C49"/>
    <w:rsid w:val="00471F0B"/>
    <w:rsid w:val="004720BD"/>
    <w:rsid w:val="00473DE2"/>
    <w:rsid w:val="00477B53"/>
    <w:rsid w:val="00477FA3"/>
    <w:rsid w:val="00480DE5"/>
    <w:rsid w:val="004823D2"/>
    <w:rsid w:val="00482F11"/>
    <w:rsid w:val="004845A4"/>
    <w:rsid w:val="00485AFA"/>
    <w:rsid w:val="0048603E"/>
    <w:rsid w:val="004907D8"/>
    <w:rsid w:val="00490961"/>
    <w:rsid w:val="00492335"/>
    <w:rsid w:val="00493428"/>
    <w:rsid w:val="00493535"/>
    <w:rsid w:val="004937CC"/>
    <w:rsid w:val="004941E7"/>
    <w:rsid w:val="004954F3"/>
    <w:rsid w:val="00495650"/>
    <w:rsid w:val="004960DF"/>
    <w:rsid w:val="0049621A"/>
    <w:rsid w:val="00496256"/>
    <w:rsid w:val="00496B98"/>
    <w:rsid w:val="00496E15"/>
    <w:rsid w:val="00497FEB"/>
    <w:rsid w:val="004A075E"/>
    <w:rsid w:val="004A1061"/>
    <w:rsid w:val="004A1246"/>
    <w:rsid w:val="004A147A"/>
    <w:rsid w:val="004A1D7D"/>
    <w:rsid w:val="004A3665"/>
    <w:rsid w:val="004A3D86"/>
    <w:rsid w:val="004A438B"/>
    <w:rsid w:val="004A44BB"/>
    <w:rsid w:val="004A45B0"/>
    <w:rsid w:val="004A4F50"/>
    <w:rsid w:val="004A5CA3"/>
    <w:rsid w:val="004A6965"/>
    <w:rsid w:val="004A7206"/>
    <w:rsid w:val="004A74F3"/>
    <w:rsid w:val="004A7BC6"/>
    <w:rsid w:val="004B2D83"/>
    <w:rsid w:val="004B3AB0"/>
    <w:rsid w:val="004B3DEE"/>
    <w:rsid w:val="004B45B9"/>
    <w:rsid w:val="004B4906"/>
    <w:rsid w:val="004B4DF5"/>
    <w:rsid w:val="004B5BEA"/>
    <w:rsid w:val="004B64E5"/>
    <w:rsid w:val="004B738F"/>
    <w:rsid w:val="004B7AA5"/>
    <w:rsid w:val="004C06DE"/>
    <w:rsid w:val="004C0809"/>
    <w:rsid w:val="004C08F2"/>
    <w:rsid w:val="004C135E"/>
    <w:rsid w:val="004C142D"/>
    <w:rsid w:val="004C15B8"/>
    <w:rsid w:val="004C207B"/>
    <w:rsid w:val="004C251C"/>
    <w:rsid w:val="004C38BF"/>
    <w:rsid w:val="004C39EA"/>
    <w:rsid w:val="004C4007"/>
    <w:rsid w:val="004C438E"/>
    <w:rsid w:val="004C5400"/>
    <w:rsid w:val="004C5F87"/>
    <w:rsid w:val="004D01A3"/>
    <w:rsid w:val="004D021A"/>
    <w:rsid w:val="004D063B"/>
    <w:rsid w:val="004D12F9"/>
    <w:rsid w:val="004D1888"/>
    <w:rsid w:val="004D19CD"/>
    <w:rsid w:val="004D1AA3"/>
    <w:rsid w:val="004D23D7"/>
    <w:rsid w:val="004D3423"/>
    <w:rsid w:val="004D3B1A"/>
    <w:rsid w:val="004D497B"/>
    <w:rsid w:val="004D4A81"/>
    <w:rsid w:val="004D5D02"/>
    <w:rsid w:val="004D6766"/>
    <w:rsid w:val="004E013E"/>
    <w:rsid w:val="004E1E4C"/>
    <w:rsid w:val="004E3B82"/>
    <w:rsid w:val="004E6D36"/>
    <w:rsid w:val="004E7DBB"/>
    <w:rsid w:val="004F1693"/>
    <w:rsid w:val="004F1812"/>
    <w:rsid w:val="004F22BA"/>
    <w:rsid w:val="004F2418"/>
    <w:rsid w:val="004F2DAB"/>
    <w:rsid w:val="004F3A38"/>
    <w:rsid w:val="004F4C8C"/>
    <w:rsid w:val="004F4ECD"/>
    <w:rsid w:val="004F5714"/>
    <w:rsid w:val="004F5E20"/>
    <w:rsid w:val="004F5F16"/>
    <w:rsid w:val="004F6212"/>
    <w:rsid w:val="004F73DF"/>
    <w:rsid w:val="00500603"/>
    <w:rsid w:val="00500737"/>
    <w:rsid w:val="005010B3"/>
    <w:rsid w:val="00501441"/>
    <w:rsid w:val="00502AD0"/>
    <w:rsid w:val="00503C89"/>
    <w:rsid w:val="00503D3C"/>
    <w:rsid w:val="005051A4"/>
    <w:rsid w:val="0050586D"/>
    <w:rsid w:val="0050630F"/>
    <w:rsid w:val="005102FC"/>
    <w:rsid w:val="00510833"/>
    <w:rsid w:val="005110A6"/>
    <w:rsid w:val="00512E1E"/>
    <w:rsid w:val="005138B6"/>
    <w:rsid w:val="00514240"/>
    <w:rsid w:val="0051464A"/>
    <w:rsid w:val="005150D5"/>
    <w:rsid w:val="0051551F"/>
    <w:rsid w:val="0051645D"/>
    <w:rsid w:val="0051794D"/>
    <w:rsid w:val="00517C6A"/>
    <w:rsid w:val="00520147"/>
    <w:rsid w:val="0052048D"/>
    <w:rsid w:val="00521336"/>
    <w:rsid w:val="00521E60"/>
    <w:rsid w:val="00521F14"/>
    <w:rsid w:val="0052292D"/>
    <w:rsid w:val="00523666"/>
    <w:rsid w:val="00523694"/>
    <w:rsid w:val="0052369B"/>
    <w:rsid w:val="00524B45"/>
    <w:rsid w:val="00525C16"/>
    <w:rsid w:val="00526BC5"/>
    <w:rsid w:val="00526D3A"/>
    <w:rsid w:val="00526E2A"/>
    <w:rsid w:val="0052723D"/>
    <w:rsid w:val="00527E6F"/>
    <w:rsid w:val="005311E8"/>
    <w:rsid w:val="005331B9"/>
    <w:rsid w:val="00533FE6"/>
    <w:rsid w:val="005348A9"/>
    <w:rsid w:val="00534F19"/>
    <w:rsid w:val="005352E7"/>
    <w:rsid w:val="00537745"/>
    <w:rsid w:val="00537EDF"/>
    <w:rsid w:val="00540451"/>
    <w:rsid w:val="005407ED"/>
    <w:rsid w:val="00540C23"/>
    <w:rsid w:val="00542B79"/>
    <w:rsid w:val="00542C3E"/>
    <w:rsid w:val="0054460C"/>
    <w:rsid w:val="00546183"/>
    <w:rsid w:val="00546A27"/>
    <w:rsid w:val="005471C8"/>
    <w:rsid w:val="0055060B"/>
    <w:rsid w:val="00550BAA"/>
    <w:rsid w:val="00551BCE"/>
    <w:rsid w:val="00552983"/>
    <w:rsid w:val="0055298E"/>
    <w:rsid w:val="005529B6"/>
    <w:rsid w:val="00553766"/>
    <w:rsid w:val="0055401F"/>
    <w:rsid w:val="005544D4"/>
    <w:rsid w:val="0055453F"/>
    <w:rsid w:val="00554C55"/>
    <w:rsid w:val="005551BD"/>
    <w:rsid w:val="00555366"/>
    <w:rsid w:val="00557817"/>
    <w:rsid w:val="00560CDB"/>
    <w:rsid w:val="00562685"/>
    <w:rsid w:val="0056369C"/>
    <w:rsid w:val="005663FF"/>
    <w:rsid w:val="00566E19"/>
    <w:rsid w:val="0056707E"/>
    <w:rsid w:val="00567536"/>
    <w:rsid w:val="0057034B"/>
    <w:rsid w:val="00570519"/>
    <w:rsid w:val="005710B0"/>
    <w:rsid w:val="00571488"/>
    <w:rsid w:val="005720F3"/>
    <w:rsid w:val="00573E1B"/>
    <w:rsid w:val="00573F41"/>
    <w:rsid w:val="00575563"/>
    <w:rsid w:val="00576274"/>
    <w:rsid w:val="00576794"/>
    <w:rsid w:val="00576C94"/>
    <w:rsid w:val="00576D35"/>
    <w:rsid w:val="00577A92"/>
    <w:rsid w:val="005804FF"/>
    <w:rsid w:val="00580760"/>
    <w:rsid w:val="0058128B"/>
    <w:rsid w:val="00581855"/>
    <w:rsid w:val="00581EC6"/>
    <w:rsid w:val="00582771"/>
    <w:rsid w:val="00583992"/>
    <w:rsid w:val="00583F50"/>
    <w:rsid w:val="00584883"/>
    <w:rsid w:val="0058494B"/>
    <w:rsid w:val="00584A5F"/>
    <w:rsid w:val="00584D01"/>
    <w:rsid w:val="0058524B"/>
    <w:rsid w:val="005855AF"/>
    <w:rsid w:val="00585AFD"/>
    <w:rsid w:val="00586B18"/>
    <w:rsid w:val="00586C4D"/>
    <w:rsid w:val="0058713A"/>
    <w:rsid w:val="005900CF"/>
    <w:rsid w:val="005901DA"/>
    <w:rsid w:val="005905BC"/>
    <w:rsid w:val="00590DC7"/>
    <w:rsid w:val="00591020"/>
    <w:rsid w:val="005922D0"/>
    <w:rsid w:val="005923FA"/>
    <w:rsid w:val="00593356"/>
    <w:rsid w:val="00593803"/>
    <w:rsid w:val="00595507"/>
    <w:rsid w:val="0059624C"/>
    <w:rsid w:val="0059632B"/>
    <w:rsid w:val="00596C08"/>
    <w:rsid w:val="00597111"/>
    <w:rsid w:val="00597119"/>
    <w:rsid w:val="005971B0"/>
    <w:rsid w:val="00597AA7"/>
    <w:rsid w:val="005A01DB"/>
    <w:rsid w:val="005A16EE"/>
    <w:rsid w:val="005A1FE3"/>
    <w:rsid w:val="005A298A"/>
    <w:rsid w:val="005A34A1"/>
    <w:rsid w:val="005A4282"/>
    <w:rsid w:val="005A50CD"/>
    <w:rsid w:val="005A595D"/>
    <w:rsid w:val="005A5DD3"/>
    <w:rsid w:val="005A68B7"/>
    <w:rsid w:val="005A7318"/>
    <w:rsid w:val="005A7B96"/>
    <w:rsid w:val="005B062A"/>
    <w:rsid w:val="005B1A5D"/>
    <w:rsid w:val="005B48AC"/>
    <w:rsid w:val="005B48F7"/>
    <w:rsid w:val="005B4F92"/>
    <w:rsid w:val="005B6E03"/>
    <w:rsid w:val="005B7A98"/>
    <w:rsid w:val="005C1032"/>
    <w:rsid w:val="005C245E"/>
    <w:rsid w:val="005C36E7"/>
    <w:rsid w:val="005C426F"/>
    <w:rsid w:val="005C4360"/>
    <w:rsid w:val="005D07A1"/>
    <w:rsid w:val="005D0B28"/>
    <w:rsid w:val="005D1C73"/>
    <w:rsid w:val="005D1D68"/>
    <w:rsid w:val="005D1DBD"/>
    <w:rsid w:val="005D257C"/>
    <w:rsid w:val="005D299B"/>
    <w:rsid w:val="005D2B90"/>
    <w:rsid w:val="005D331D"/>
    <w:rsid w:val="005D3750"/>
    <w:rsid w:val="005D3898"/>
    <w:rsid w:val="005D41DE"/>
    <w:rsid w:val="005D50D4"/>
    <w:rsid w:val="005D57A4"/>
    <w:rsid w:val="005D6524"/>
    <w:rsid w:val="005D74FD"/>
    <w:rsid w:val="005D7745"/>
    <w:rsid w:val="005E0C50"/>
    <w:rsid w:val="005E1316"/>
    <w:rsid w:val="005E14FE"/>
    <w:rsid w:val="005E1622"/>
    <w:rsid w:val="005E1B97"/>
    <w:rsid w:val="005E1C22"/>
    <w:rsid w:val="005E40A9"/>
    <w:rsid w:val="005E5173"/>
    <w:rsid w:val="005E5CF0"/>
    <w:rsid w:val="005E63F4"/>
    <w:rsid w:val="005E721B"/>
    <w:rsid w:val="005E7284"/>
    <w:rsid w:val="005E72D1"/>
    <w:rsid w:val="005F051E"/>
    <w:rsid w:val="005F0EF0"/>
    <w:rsid w:val="005F116C"/>
    <w:rsid w:val="005F187B"/>
    <w:rsid w:val="005F3B09"/>
    <w:rsid w:val="005F5132"/>
    <w:rsid w:val="005F54EF"/>
    <w:rsid w:val="005F5E21"/>
    <w:rsid w:val="005F743B"/>
    <w:rsid w:val="00601375"/>
    <w:rsid w:val="00603B2B"/>
    <w:rsid w:val="00603C96"/>
    <w:rsid w:val="00604869"/>
    <w:rsid w:val="00605AC3"/>
    <w:rsid w:val="00606830"/>
    <w:rsid w:val="006075EE"/>
    <w:rsid w:val="00607D9E"/>
    <w:rsid w:val="00610A83"/>
    <w:rsid w:val="00611613"/>
    <w:rsid w:val="006125F0"/>
    <w:rsid w:val="00612AEA"/>
    <w:rsid w:val="00614AFC"/>
    <w:rsid w:val="006157DB"/>
    <w:rsid w:val="006158DB"/>
    <w:rsid w:val="00615C20"/>
    <w:rsid w:val="00615F7D"/>
    <w:rsid w:val="006172E6"/>
    <w:rsid w:val="00620B48"/>
    <w:rsid w:val="00620E2D"/>
    <w:rsid w:val="00621015"/>
    <w:rsid w:val="00621353"/>
    <w:rsid w:val="00622FB3"/>
    <w:rsid w:val="00623253"/>
    <w:rsid w:val="00623854"/>
    <w:rsid w:val="00624616"/>
    <w:rsid w:val="006253E4"/>
    <w:rsid w:val="00625F38"/>
    <w:rsid w:val="00625F8E"/>
    <w:rsid w:val="0063121C"/>
    <w:rsid w:val="0063277D"/>
    <w:rsid w:val="00633254"/>
    <w:rsid w:val="00633683"/>
    <w:rsid w:val="00633738"/>
    <w:rsid w:val="006342C1"/>
    <w:rsid w:val="00634FD4"/>
    <w:rsid w:val="00636349"/>
    <w:rsid w:val="006374A9"/>
    <w:rsid w:val="00640058"/>
    <w:rsid w:val="0064051A"/>
    <w:rsid w:val="00642392"/>
    <w:rsid w:val="00642917"/>
    <w:rsid w:val="00642D44"/>
    <w:rsid w:val="006435A0"/>
    <w:rsid w:val="00643F05"/>
    <w:rsid w:val="00645207"/>
    <w:rsid w:val="006453DC"/>
    <w:rsid w:val="00645835"/>
    <w:rsid w:val="00645A0E"/>
    <w:rsid w:val="00645DC2"/>
    <w:rsid w:val="00646176"/>
    <w:rsid w:val="0064690A"/>
    <w:rsid w:val="006472BD"/>
    <w:rsid w:val="00647A20"/>
    <w:rsid w:val="00647DEE"/>
    <w:rsid w:val="0065018E"/>
    <w:rsid w:val="00650BE8"/>
    <w:rsid w:val="00650C10"/>
    <w:rsid w:val="00650CFB"/>
    <w:rsid w:val="00651161"/>
    <w:rsid w:val="00651B09"/>
    <w:rsid w:val="00652028"/>
    <w:rsid w:val="00653985"/>
    <w:rsid w:val="006564B8"/>
    <w:rsid w:val="0066010C"/>
    <w:rsid w:val="0066125E"/>
    <w:rsid w:val="00661521"/>
    <w:rsid w:val="006616A7"/>
    <w:rsid w:val="006620D9"/>
    <w:rsid w:val="00663F68"/>
    <w:rsid w:val="006661A7"/>
    <w:rsid w:val="00666482"/>
    <w:rsid w:val="006700ED"/>
    <w:rsid w:val="006704A7"/>
    <w:rsid w:val="006704D5"/>
    <w:rsid w:val="0067190B"/>
    <w:rsid w:val="00671D55"/>
    <w:rsid w:val="00671EDC"/>
    <w:rsid w:val="00680DD3"/>
    <w:rsid w:val="0068113A"/>
    <w:rsid w:val="006850DB"/>
    <w:rsid w:val="00685749"/>
    <w:rsid w:val="0068610F"/>
    <w:rsid w:val="006870F5"/>
    <w:rsid w:val="00687473"/>
    <w:rsid w:val="0068764D"/>
    <w:rsid w:val="00687B41"/>
    <w:rsid w:val="00690045"/>
    <w:rsid w:val="006900D5"/>
    <w:rsid w:val="00691041"/>
    <w:rsid w:val="00691F03"/>
    <w:rsid w:val="0069226D"/>
    <w:rsid w:val="006922D6"/>
    <w:rsid w:val="00692AD4"/>
    <w:rsid w:val="00692C44"/>
    <w:rsid w:val="00693629"/>
    <w:rsid w:val="00694282"/>
    <w:rsid w:val="00694650"/>
    <w:rsid w:val="00694F7F"/>
    <w:rsid w:val="00695938"/>
    <w:rsid w:val="006972A6"/>
    <w:rsid w:val="00697A72"/>
    <w:rsid w:val="006A2746"/>
    <w:rsid w:val="006A3B72"/>
    <w:rsid w:val="006A415B"/>
    <w:rsid w:val="006A5916"/>
    <w:rsid w:val="006A6036"/>
    <w:rsid w:val="006A702D"/>
    <w:rsid w:val="006A7396"/>
    <w:rsid w:val="006A7BE3"/>
    <w:rsid w:val="006B0918"/>
    <w:rsid w:val="006B0BE6"/>
    <w:rsid w:val="006B0C38"/>
    <w:rsid w:val="006B189E"/>
    <w:rsid w:val="006B1E5F"/>
    <w:rsid w:val="006B256D"/>
    <w:rsid w:val="006B2C60"/>
    <w:rsid w:val="006B2CA3"/>
    <w:rsid w:val="006B2FAE"/>
    <w:rsid w:val="006B51D0"/>
    <w:rsid w:val="006B5844"/>
    <w:rsid w:val="006B5DF4"/>
    <w:rsid w:val="006B6414"/>
    <w:rsid w:val="006B706A"/>
    <w:rsid w:val="006C0116"/>
    <w:rsid w:val="006C2728"/>
    <w:rsid w:val="006C3156"/>
    <w:rsid w:val="006C73A9"/>
    <w:rsid w:val="006C74F0"/>
    <w:rsid w:val="006D0AB3"/>
    <w:rsid w:val="006D0F2C"/>
    <w:rsid w:val="006D1284"/>
    <w:rsid w:val="006D18B5"/>
    <w:rsid w:val="006D2216"/>
    <w:rsid w:val="006D4892"/>
    <w:rsid w:val="006D4BE2"/>
    <w:rsid w:val="006D6899"/>
    <w:rsid w:val="006D7F1A"/>
    <w:rsid w:val="006D7FC2"/>
    <w:rsid w:val="006E1084"/>
    <w:rsid w:val="006E3D57"/>
    <w:rsid w:val="006E5D42"/>
    <w:rsid w:val="006E6CA5"/>
    <w:rsid w:val="006E7625"/>
    <w:rsid w:val="006F0D0B"/>
    <w:rsid w:val="006F18D3"/>
    <w:rsid w:val="006F1B26"/>
    <w:rsid w:val="006F399B"/>
    <w:rsid w:val="006F45DE"/>
    <w:rsid w:val="006F57C6"/>
    <w:rsid w:val="00700528"/>
    <w:rsid w:val="00701421"/>
    <w:rsid w:val="00701781"/>
    <w:rsid w:val="00701B1F"/>
    <w:rsid w:val="00702066"/>
    <w:rsid w:val="007029D4"/>
    <w:rsid w:val="007031DB"/>
    <w:rsid w:val="00704368"/>
    <w:rsid w:val="00705ABB"/>
    <w:rsid w:val="00706EB7"/>
    <w:rsid w:val="00706ED4"/>
    <w:rsid w:val="007110DC"/>
    <w:rsid w:val="007111EC"/>
    <w:rsid w:val="00711648"/>
    <w:rsid w:val="0071187C"/>
    <w:rsid w:val="0071231F"/>
    <w:rsid w:val="00713504"/>
    <w:rsid w:val="0071424E"/>
    <w:rsid w:val="00715E38"/>
    <w:rsid w:val="00716AA8"/>
    <w:rsid w:val="0072011B"/>
    <w:rsid w:val="007205E2"/>
    <w:rsid w:val="00720C78"/>
    <w:rsid w:val="00722066"/>
    <w:rsid w:val="0072226A"/>
    <w:rsid w:val="00722EB7"/>
    <w:rsid w:val="0072302E"/>
    <w:rsid w:val="0072321A"/>
    <w:rsid w:val="0072353F"/>
    <w:rsid w:val="00724025"/>
    <w:rsid w:val="00724351"/>
    <w:rsid w:val="00724452"/>
    <w:rsid w:val="00725D4F"/>
    <w:rsid w:val="0072792C"/>
    <w:rsid w:val="0073084D"/>
    <w:rsid w:val="00730D72"/>
    <w:rsid w:val="00731365"/>
    <w:rsid w:val="007328B8"/>
    <w:rsid w:val="0073301E"/>
    <w:rsid w:val="007336D4"/>
    <w:rsid w:val="007343B7"/>
    <w:rsid w:val="00741624"/>
    <w:rsid w:val="007420E7"/>
    <w:rsid w:val="00742C56"/>
    <w:rsid w:val="0074329C"/>
    <w:rsid w:val="00743B49"/>
    <w:rsid w:val="00743BA3"/>
    <w:rsid w:val="007441D8"/>
    <w:rsid w:val="007445FC"/>
    <w:rsid w:val="00744864"/>
    <w:rsid w:val="00746F29"/>
    <w:rsid w:val="00747277"/>
    <w:rsid w:val="00747346"/>
    <w:rsid w:val="00750F77"/>
    <w:rsid w:val="00751646"/>
    <w:rsid w:val="007521B2"/>
    <w:rsid w:val="007535D6"/>
    <w:rsid w:val="0075413E"/>
    <w:rsid w:val="0075475A"/>
    <w:rsid w:val="00754E89"/>
    <w:rsid w:val="00755121"/>
    <w:rsid w:val="00755CA9"/>
    <w:rsid w:val="00756D44"/>
    <w:rsid w:val="00760246"/>
    <w:rsid w:val="0076076E"/>
    <w:rsid w:val="00760D13"/>
    <w:rsid w:val="007610BA"/>
    <w:rsid w:val="00761407"/>
    <w:rsid w:val="007632DF"/>
    <w:rsid w:val="007635B7"/>
    <w:rsid w:val="007649FF"/>
    <w:rsid w:val="00764D24"/>
    <w:rsid w:val="00765998"/>
    <w:rsid w:val="00766B23"/>
    <w:rsid w:val="00767115"/>
    <w:rsid w:val="00770194"/>
    <w:rsid w:val="00771C15"/>
    <w:rsid w:val="007724F6"/>
    <w:rsid w:val="00772CCD"/>
    <w:rsid w:val="00773125"/>
    <w:rsid w:val="00773B22"/>
    <w:rsid w:val="00773CE1"/>
    <w:rsid w:val="0077477E"/>
    <w:rsid w:val="00781B74"/>
    <w:rsid w:val="00783A4D"/>
    <w:rsid w:val="00784DC8"/>
    <w:rsid w:val="00785CA1"/>
    <w:rsid w:val="007864DD"/>
    <w:rsid w:val="00786831"/>
    <w:rsid w:val="00786B8D"/>
    <w:rsid w:val="007905BF"/>
    <w:rsid w:val="00791E89"/>
    <w:rsid w:val="007924D0"/>
    <w:rsid w:val="007934C5"/>
    <w:rsid w:val="0079354A"/>
    <w:rsid w:val="007950FC"/>
    <w:rsid w:val="00795714"/>
    <w:rsid w:val="00795E82"/>
    <w:rsid w:val="00797A81"/>
    <w:rsid w:val="00797F9B"/>
    <w:rsid w:val="007A0F00"/>
    <w:rsid w:val="007A1138"/>
    <w:rsid w:val="007A25CE"/>
    <w:rsid w:val="007A3AB9"/>
    <w:rsid w:val="007A4A3C"/>
    <w:rsid w:val="007A504D"/>
    <w:rsid w:val="007A52B0"/>
    <w:rsid w:val="007A54C6"/>
    <w:rsid w:val="007A6F4C"/>
    <w:rsid w:val="007A7B73"/>
    <w:rsid w:val="007B18C3"/>
    <w:rsid w:val="007B1987"/>
    <w:rsid w:val="007B4C78"/>
    <w:rsid w:val="007B5771"/>
    <w:rsid w:val="007B61AE"/>
    <w:rsid w:val="007B6F7A"/>
    <w:rsid w:val="007B711A"/>
    <w:rsid w:val="007C0782"/>
    <w:rsid w:val="007C129F"/>
    <w:rsid w:val="007C3793"/>
    <w:rsid w:val="007C4697"/>
    <w:rsid w:val="007C4E6F"/>
    <w:rsid w:val="007C72C8"/>
    <w:rsid w:val="007D0D11"/>
    <w:rsid w:val="007D164E"/>
    <w:rsid w:val="007D3943"/>
    <w:rsid w:val="007D44E2"/>
    <w:rsid w:val="007D5000"/>
    <w:rsid w:val="007D5D5F"/>
    <w:rsid w:val="007D6A82"/>
    <w:rsid w:val="007D7218"/>
    <w:rsid w:val="007D76E3"/>
    <w:rsid w:val="007E11A9"/>
    <w:rsid w:val="007E1D88"/>
    <w:rsid w:val="007E212C"/>
    <w:rsid w:val="007E2272"/>
    <w:rsid w:val="007E27C9"/>
    <w:rsid w:val="007E3E7D"/>
    <w:rsid w:val="007E50D6"/>
    <w:rsid w:val="007E5AB0"/>
    <w:rsid w:val="007E64C8"/>
    <w:rsid w:val="007E6F89"/>
    <w:rsid w:val="007E788A"/>
    <w:rsid w:val="007F036E"/>
    <w:rsid w:val="007F18F2"/>
    <w:rsid w:val="007F290D"/>
    <w:rsid w:val="007F2E58"/>
    <w:rsid w:val="007F30C5"/>
    <w:rsid w:val="007F37D0"/>
    <w:rsid w:val="007F3891"/>
    <w:rsid w:val="007F3A06"/>
    <w:rsid w:val="007F3AEE"/>
    <w:rsid w:val="007F458F"/>
    <w:rsid w:val="007F525D"/>
    <w:rsid w:val="007F55BD"/>
    <w:rsid w:val="007F67D1"/>
    <w:rsid w:val="007F7712"/>
    <w:rsid w:val="00800AC4"/>
    <w:rsid w:val="00803140"/>
    <w:rsid w:val="00803F7D"/>
    <w:rsid w:val="008043AD"/>
    <w:rsid w:val="00806171"/>
    <w:rsid w:val="0080704C"/>
    <w:rsid w:val="008108B4"/>
    <w:rsid w:val="0081114B"/>
    <w:rsid w:val="00814507"/>
    <w:rsid w:val="008148A4"/>
    <w:rsid w:val="00815186"/>
    <w:rsid w:val="008155A5"/>
    <w:rsid w:val="00815B72"/>
    <w:rsid w:val="0082043A"/>
    <w:rsid w:val="00820E0F"/>
    <w:rsid w:val="0082220F"/>
    <w:rsid w:val="00822A08"/>
    <w:rsid w:val="00822A13"/>
    <w:rsid w:val="00822F9B"/>
    <w:rsid w:val="00823117"/>
    <w:rsid w:val="00823339"/>
    <w:rsid w:val="00825194"/>
    <w:rsid w:val="00825C42"/>
    <w:rsid w:val="00825DEC"/>
    <w:rsid w:val="00826972"/>
    <w:rsid w:val="008278C6"/>
    <w:rsid w:val="00827C7C"/>
    <w:rsid w:val="008312B2"/>
    <w:rsid w:val="00831D23"/>
    <w:rsid w:val="00831DB1"/>
    <w:rsid w:val="00833D7E"/>
    <w:rsid w:val="00833E7F"/>
    <w:rsid w:val="0083406F"/>
    <w:rsid w:val="00834534"/>
    <w:rsid w:val="00835BB5"/>
    <w:rsid w:val="008376EE"/>
    <w:rsid w:val="00841953"/>
    <w:rsid w:val="008422E2"/>
    <w:rsid w:val="0084232C"/>
    <w:rsid w:val="0084269A"/>
    <w:rsid w:val="00842759"/>
    <w:rsid w:val="008430BB"/>
    <w:rsid w:val="0084359E"/>
    <w:rsid w:val="00843EF5"/>
    <w:rsid w:val="00843FE9"/>
    <w:rsid w:val="0084580D"/>
    <w:rsid w:val="00846AE2"/>
    <w:rsid w:val="00851499"/>
    <w:rsid w:val="00851F97"/>
    <w:rsid w:val="00853451"/>
    <w:rsid w:val="00854A5A"/>
    <w:rsid w:val="00854CD9"/>
    <w:rsid w:val="008569A1"/>
    <w:rsid w:val="00861E00"/>
    <w:rsid w:val="00862C10"/>
    <w:rsid w:val="00862E1F"/>
    <w:rsid w:val="00863182"/>
    <w:rsid w:val="008650C7"/>
    <w:rsid w:val="00866706"/>
    <w:rsid w:val="00867E0E"/>
    <w:rsid w:val="008707FF"/>
    <w:rsid w:val="00871152"/>
    <w:rsid w:val="0087128E"/>
    <w:rsid w:val="008723B2"/>
    <w:rsid w:val="00872EFA"/>
    <w:rsid w:val="008731D7"/>
    <w:rsid w:val="00873E01"/>
    <w:rsid w:val="00873E69"/>
    <w:rsid w:val="00874916"/>
    <w:rsid w:val="008751C7"/>
    <w:rsid w:val="00876E04"/>
    <w:rsid w:val="00877E61"/>
    <w:rsid w:val="008806BD"/>
    <w:rsid w:val="00880874"/>
    <w:rsid w:val="0088111D"/>
    <w:rsid w:val="008815B3"/>
    <w:rsid w:val="0088184E"/>
    <w:rsid w:val="0088309B"/>
    <w:rsid w:val="00884FFA"/>
    <w:rsid w:val="0088510D"/>
    <w:rsid w:val="008871B5"/>
    <w:rsid w:val="008900D0"/>
    <w:rsid w:val="008916D5"/>
    <w:rsid w:val="00892236"/>
    <w:rsid w:val="008935C8"/>
    <w:rsid w:val="00893696"/>
    <w:rsid w:val="00893E32"/>
    <w:rsid w:val="0089407F"/>
    <w:rsid w:val="008963D2"/>
    <w:rsid w:val="008A0B91"/>
    <w:rsid w:val="008A0D4B"/>
    <w:rsid w:val="008A0DA3"/>
    <w:rsid w:val="008A201D"/>
    <w:rsid w:val="008A353D"/>
    <w:rsid w:val="008A3AEF"/>
    <w:rsid w:val="008A464C"/>
    <w:rsid w:val="008A467E"/>
    <w:rsid w:val="008A51A7"/>
    <w:rsid w:val="008B0A9F"/>
    <w:rsid w:val="008B3012"/>
    <w:rsid w:val="008B3355"/>
    <w:rsid w:val="008B3814"/>
    <w:rsid w:val="008B3915"/>
    <w:rsid w:val="008B4202"/>
    <w:rsid w:val="008B50D5"/>
    <w:rsid w:val="008B54AE"/>
    <w:rsid w:val="008B71BC"/>
    <w:rsid w:val="008B7D3B"/>
    <w:rsid w:val="008C06C3"/>
    <w:rsid w:val="008C16E9"/>
    <w:rsid w:val="008C1D6C"/>
    <w:rsid w:val="008C27AB"/>
    <w:rsid w:val="008C370E"/>
    <w:rsid w:val="008C378B"/>
    <w:rsid w:val="008C387E"/>
    <w:rsid w:val="008C3D5D"/>
    <w:rsid w:val="008C5261"/>
    <w:rsid w:val="008C5DBD"/>
    <w:rsid w:val="008C68EF"/>
    <w:rsid w:val="008C7149"/>
    <w:rsid w:val="008D0417"/>
    <w:rsid w:val="008D0F4A"/>
    <w:rsid w:val="008D1814"/>
    <w:rsid w:val="008D1D87"/>
    <w:rsid w:val="008D2CE3"/>
    <w:rsid w:val="008D4333"/>
    <w:rsid w:val="008D532E"/>
    <w:rsid w:val="008D54D2"/>
    <w:rsid w:val="008D5EB4"/>
    <w:rsid w:val="008D78E5"/>
    <w:rsid w:val="008D7B8C"/>
    <w:rsid w:val="008D7BE9"/>
    <w:rsid w:val="008E0444"/>
    <w:rsid w:val="008E0AB0"/>
    <w:rsid w:val="008E0C18"/>
    <w:rsid w:val="008E0FAF"/>
    <w:rsid w:val="008E1D3D"/>
    <w:rsid w:val="008E27B1"/>
    <w:rsid w:val="008E4869"/>
    <w:rsid w:val="008E5A07"/>
    <w:rsid w:val="008E5F00"/>
    <w:rsid w:val="008E6183"/>
    <w:rsid w:val="008E6784"/>
    <w:rsid w:val="008F13AF"/>
    <w:rsid w:val="008F1E1C"/>
    <w:rsid w:val="008F265F"/>
    <w:rsid w:val="008F5D9C"/>
    <w:rsid w:val="008F6742"/>
    <w:rsid w:val="008F67E8"/>
    <w:rsid w:val="008F6F5B"/>
    <w:rsid w:val="009021F6"/>
    <w:rsid w:val="00902FE3"/>
    <w:rsid w:val="009038F2"/>
    <w:rsid w:val="009043CF"/>
    <w:rsid w:val="00905255"/>
    <w:rsid w:val="00905B35"/>
    <w:rsid w:val="00906438"/>
    <w:rsid w:val="0090654F"/>
    <w:rsid w:val="00910241"/>
    <w:rsid w:val="00910993"/>
    <w:rsid w:val="00910A2C"/>
    <w:rsid w:val="00910D4E"/>
    <w:rsid w:val="00911F87"/>
    <w:rsid w:val="00912442"/>
    <w:rsid w:val="00913678"/>
    <w:rsid w:val="009141AE"/>
    <w:rsid w:val="0091491F"/>
    <w:rsid w:val="0091571E"/>
    <w:rsid w:val="009158C7"/>
    <w:rsid w:val="009160FA"/>
    <w:rsid w:val="009161E6"/>
    <w:rsid w:val="0091712A"/>
    <w:rsid w:val="00920340"/>
    <w:rsid w:val="0092114B"/>
    <w:rsid w:val="0092218C"/>
    <w:rsid w:val="0092358F"/>
    <w:rsid w:val="00923AE1"/>
    <w:rsid w:val="00925045"/>
    <w:rsid w:val="0092728F"/>
    <w:rsid w:val="00930D4A"/>
    <w:rsid w:val="00930FE6"/>
    <w:rsid w:val="009313DD"/>
    <w:rsid w:val="00931497"/>
    <w:rsid w:val="009314BB"/>
    <w:rsid w:val="00937C76"/>
    <w:rsid w:val="00937D43"/>
    <w:rsid w:val="009412E7"/>
    <w:rsid w:val="00941D4D"/>
    <w:rsid w:val="00943AF1"/>
    <w:rsid w:val="00945227"/>
    <w:rsid w:val="00946D2C"/>
    <w:rsid w:val="00946DE0"/>
    <w:rsid w:val="00950DA4"/>
    <w:rsid w:val="00951119"/>
    <w:rsid w:val="009530B2"/>
    <w:rsid w:val="00954D97"/>
    <w:rsid w:val="0095501E"/>
    <w:rsid w:val="0095576D"/>
    <w:rsid w:val="009564F1"/>
    <w:rsid w:val="00956641"/>
    <w:rsid w:val="00957834"/>
    <w:rsid w:val="00961935"/>
    <w:rsid w:val="00963346"/>
    <w:rsid w:val="0096366A"/>
    <w:rsid w:val="0096380C"/>
    <w:rsid w:val="00965E25"/>
    <w:rsid w:val="00966233"/>
    <w:rsid w:val="00966369"/>
    <w:rsid w:val="009665AD"/>
    <w:rsid w:val="00967437"/>
    <w:rsid w:val="009677AB"/>
    <w:rsid w:val="00967B33"/>
    <w:rsid w:val="009716C7"/>
    <w:rsid w:val="00971E10"/>
    <w:rsid w:val="00971E31"/>
    <w:rsid w:val="0097232D"/>
    <w:rsid w:val="00973E49"/>
    <w:rsid w:val="00975303"/>
    <w:rsid w:val="00975391"/>
    <w:rsid w:val="00975AC8"/>
    <w:rsid w:val="00976530"/>
    <w:rsid w:val="00976E9F"/>
    <w:rsid w:val="00976F6F"/>
    <w:rsid w:val="009772C5"/>
    <w:rsid w:val="009775A1"/>
    <w:rsid w:val="00981AE0"/>
    <w:rsid w:val="00982234"/>
    <w:rsid w:val="00982430"/>
    <w:rsid w:val="009826E2"/>
    <w:rsid w:val="00984545"/>
    <w:rsid w:val="00984AE2"/>
    <w:rsid w:val="00985CD7"/>
    <w:rsid w:val="00986174"/>
    <w:rsid w:val="009869F7"/>
    <w:rsid w:val="00987139"/>
    <w:rsid w:val="00987520"/>
    <w:rsid w:val="009906F2"/>
    <w:rsid w:val="0099183C"/>
    <w:rsid w:val="0099296F"/>
    <w:rsid w:val="00992FF9"/>
    <w:rsid w:val="0099673E"/>
    <w:rsid w:val="00996925"/>
    <w:rsid w:val="00997E06"/>
    <w:rsid w:val="00997E53"/>
    <w:rsid w:val="009A1677"/>
    <w:rsid w:val="009A1B5F"/>
    <w:rsid w:val="009A1E2F"/>
    <w:rsid w:val="009A1E70"/>
    <w:rsid w:val="009A43C2"/>
    <w:rsid w:val="009A55FE"/>
    <w:rsid w:val="009A6DB9"/>
    <w:rsid w:val="009A7C10"/>
    <w:rsid w:val="009B1018"/>
    <w:rsid w:val="009B1F02"/>
    <w:rsid w:val="009B28E0"/>
    <w:rsid w:val="009B3109"/>
    <w:rsid w:val="009B3484"/>
    <w:rsid w:val="009B41D5"/>
    <w:rsid w:val="009B49BA"/>
    <w:rsid w:val="009B568C"/>
    <w:rsid w:val="009B7AF1"/>
    <w:rsid w:val="009B7B44"/>
    <w:rsid w:val="009C0123"/>
    <w:rsid w:val="009C059A"/>
    <w:rsid w:val="009C0708"/>
    <w:rsid w:val="009C08CB"/>
    <w:rsid w:val="009C1610"/>
    <w:rsid w:val="009C1B47"/>
    <w:rsid w:val="009C2D55"/>
    <w:rsid w:val="009C2FAD"/>
    <w:rsid w:val="009C3678"/>
    <w:rsid w:val="009C3D2E"/>
    <w:rsid w:val="009C3EB2"/>
    <w:rsid w:val="009C5D44"/>
    <w:rsid w:val="009C5E35"/>
    <w:rsid w:val="009C7283"/>
    <w:rsid w:val="009C76DD"/>
    <w:rsid w:val="009D058C"/>
    <w:rsid w:val="009D090E"/>
    <w:rsid w:val="009D0E3A"/>
    <w:rsid w:val="009D0EA5"/>
    <w:rsid w:val="009D128B"/>
    <w:rsid w:val="009D2E23"/>
    <w:rsid w:val="009D5198"/>
    <w:rsid w:val="009D7291"/>
    <w:rsid w:val="009D73AC"/>
    <w:rsid w:val="009E0C06"/>
    <w:rsid w:val="009E0D57"/>
    <w:rsid w:val="009E2471"/>
    <w:rsid w:val="009E30C6"/>
    <w:rsid w:val="009E4057"/>
    <w:rsid w:val="009E4723"/>
    <w:rsid w:val="009E580A"/>
    <w:rsid w:val="009E6E9A"/>
    <w:rsid w:val="009E7887"/>
    <w:rsid w:val="009F0F17"/>
    <w:rsid w:val="009F1C13"/>
    <w:rsid w:val="009F3788"/>
    <w:rsid w:val="009F4EE9"/>
    <w:rsid w:val="009F5BA7"/>
    <w:rsid w:val="009F6C2A"/>
    <w:rsid w:val="009F7B6C"/>
    <w:rsid w:val="009F7FCF"/>
    <w:rsid w:val="00A00E0C"/>
    <w:rsid w:val="00A01487"/>
    <w:rsid w:val="00A023F4"/>
    <w:rsid w:val="00A02995"/>
    <w:rsid w:val="00A04148"/>
    <w:rsid w:val="00A042E0"/>
    <w:rsid w:val="00A04928"/>
    <w:rsid w:val="00A04AAA"/>
    <w:rsid w:val="00A05A01"/>
    <w:rsid w:val="00A05EEA"/>
    <w:rsid w:val="00A065B6"/>
    <w:rsid w:val="00A06DD4"/>
    <w:rsid w:val="00A103CB"/>
    <w:rsid w:val="00A11981"/>
    <w:rsid w:val="00A12265"/>
    <w:rsid w:val="00A12956"/>
    <w:rsid w:val="00A14070"/>
    <w:rsid w:val="00A141C9"/>
    <w:rsid w:val="00A143B4"/>
    <w:rsid w:val="00A14502"/>
    <w:rsid w:val="00A14AFB"/>
    <w:rsid w:val="00A15401"/>
    <w:rsid w:val="00A15DB4"/>
    <w:rsid w:val="00A15E89"/>
    <w:rsid w:val="00A16834"/>
    <w:rsid w:val="00A2024E"/>
    <w:rsid w:val="00A20358"/>
    <w:rsid w:val="00A21908"/>
    <w:rsid w:val="00A21A31"/>
    <w:rsid w:val="00A2268E"/>
    <w:rsid w:val="00A2455D"/>
    <w:rsid w:val="00A256FF"/>
    <w:rsid w:val="00A25F53"/>
    <w:rsid w:val="00A2604E"/>
    <w:rsid w:val="00A275D5"/>
    <w:rsid w:val="00A30B19"/>
    <w:rsid w:val="00A30B37"/>
    <w:rsid w:val="00A30BAD"/>
    <w:rsid w:val="00A321A4"/>
    <w:rsid w:val="00A32278"/>
    <w:rsid w:val="00A3304A"/>
    <w:rsid w:val="00A34B91"/>
    <w:rsid w:val="00A35AAB"/>
    <w:rsid w:val="00A372DE"/>
    <w:rsid w:val="00A377F1"/>
    <w:rsid w:val="00A37BEF"/>
    <w:rsid w:val="00A4000D"/>
    <w:rsid w:val="00A40936"/>
    <w:rsid w:val="00A41536"/>
    <w:rsid w:val="00A41E8C"/>
    <w:rsid w:val="00A420A7"/>
    <w:rsid w:val="00A44016"/>
    <w:rsid w:val="00A454D7"/>
    <w:rsid w:val="00A4586D"/>
    <w:rsid w:val="00A464CA"/>
    <w:rsid w:val="00A50DC3"/>
    <w:rsid w:val="00A50E20"/>
    <w:rsid w:val="00A51ADB"/>
    <w:rsid w:val="00A5220B"/>
    <w:rsid w:val="00A52A71"/>
    <w:rsid w:val="00A5309B"/>
    <w:rsid w:val="00A53C1A"/>
    <w:rsid w:val="00A53D07"/>
    <w:rsid w:val="00A541E1"/>
    <w:rsid w:val="00A54646"/>
    <w:rsid w:val="00A56C52"/>
    <w:rsid w:val="00A57341"/>
    <w:rsid w:val="00A57563"/>
    <w:rsid w:val="00A57B74"/>
    <w:rsid w:val="00A60E11"/>
    <w:rsid w:val="00A60F36"/>
    <w:rsid w:val="00A61118"/>
    <w:rsid w:val="00A6208A"/>
    <w:rsid w:val="00A625B1"/>
    <w:rsid w:val="00A63260"/>
    <w:rsid w:val="00A634C5"/>
    <w:rsid w:val="00A6367F"/>
    <w:rsid w:val="00A70443"/>
    <w:rsid w:val="00A713DF"/>
    <w:rsid w:val="00A71F2F"/>
    <w:rsid w:val="00A72A29"/>
    <w:rsid w:val="00A72AFB"/>
    <w:rsid w:val="00A7319A"/>
    <w:rsid w:val="00A732BF"/>
    <w:rsid w:val="00A743DC"/>
    <w:rsid w:val="00A74559"/>
    <w:rsid w:val="00A7460B"/>
    <w:rsid w:val="00A75BCC"/>
    <w:rsid w:val="00A76781"/>
    <w:rsid w:val="00A77E2B"/>
    <w:rsid w:val="00A80B4F"/>
    <w:rsid w:val="00A814B5"/>
    <w:rsid w:val="00A825B6"/>
    <w:rsid w:val="00A83D9F"/>
    <w:rsid w:val="00A84E94"/>
    <w:rsid w:val="00A8685D"/>
    <w:rsid w:val="00A86CB9"/>
    <w:rsid w:val="00A86ED4"/>
    <w:rsid w:val="00A90A03"/>
    <w:rsid w:val="00A91834"/>
    <w:rsid w:val="00A93BF8"/>
    <w:rsid w:val="00A96683"/>
    <w:rsid w:val="00AA1389"/>
    <w:rsid w:val="00AA1963"/>
    <w:rsid w:val="00AA2E3D"/>
    <w:rsid w:val="00AA3137"/>
    <w:rsid w:val="00AA4062"/>
    <w:rsid w:val="00AA4509"/>
    <w:rsid w:val="00AA47AD"/>
    <w:rsid w:val="00AA55FA"/>
    <w:rsid w:val="00AA55FD"/>
    <w:rsid w:val="00AA56B0"/>
    <w:rsid w:val="00AA65B5"/>
    <w:rsid w:val="00AA7BE6"/>
    <w:rsid w:val="00AB0CC5"/>
    <w:rsid w:val="00AB1AB5"/>
    <w:rsid w:val="00AB23BD"/>
    <w:rsid w:val="00AB38AB"/>
    <w:rsid w:val="00AB495B"/>
    <w:rsid w:val="00AB6337"/>
    <w:rsid w:val="00AB742C"/>
    <w:rsid w:val="00AC157F"/>
    <w:rsid w:val="00AC21BC"/>
    <w:rsid w:val="00AC221E"/>
    <w:rsid w:val="00AC6C6F"/>
    <w:rsid w:val="00AC77FE"/>
    <w:rsid w:val="00AD026E"/>
    <w:rsid w:val="00AD12BC"/>
    <w:rsid w:val="00AD1880"/>
    <w:rsid w:val="00AD1B36"/>
    <w:rsid w:val="00AD213D"/>
    <w:rsid w:val="00AD223F"/>
    <w:rsid w:val="00AD2B18"/>
    <w:rsid w:val="00AD3409"/>
    <w:rsid w:val="00AD34AB"/>
    <w:rsid w:val="00AD3B91"/>
    <w:rsid w:val="00AD3ED5"/>
    <w:rsid w:val="00AD431C"/>
    <w:rsid w:val="00AD5390"/>
    <w:rsid w:val="00AD692D"/>
    <w:rsid w:val="00AE0889"/>
    <w:rsid w:val="00AE08EC"/>
    <w:rsid w:val="00AE0DC2"/>
    <w:rsid w:val="00AE0F90"/>
    <w:rsid w:val="00AE25B5"/>
    <w:rsid w:val="00AE2FAA"/>
    <w:rsid w:val="00AE3BBE"/>
    <w:rsid w:val="00AE4A96"/>
    <w:rsid w:val="00AE4ECB"/>
    <w:rsid w:val="00AE72C5"/>
    <w:rsid w:val="00AE7482"/>
    <w:rsid w:val="00AE7A3F"/>
    <w:rsid w:val="00AF040C"/>
    <w:rsid w:val="00AF0D66"/>
    <w:rsid w:val="00AF0FBE"/>
    <w:rsid w:val="00AF176C"/>
    <w:rsid w:val="00AF1AC4"/>
    <w:rsid w:val="00AF215A"/>
    <w:rsid w:val="00AF26A2"/>
    <w:rsid w:val="00AF2AC8"/>
    <w:rsid w:val="00AF6FB3"/>
    <w:rsid w:val="00AF7343"/>
    <w:rsid w:val="00AF799B"/>
    <w:rsid w:val="00AF7BDE"/>
    <w:rsid w:val="00AF7DC8"/>
    <w:rsid w:val="00AF7F04"/>
    <w:rsid w:val="00B001AB"/>
    <w:rsid w:val="00B0046F"/>
    <w:rsid w:val="00B008CC"/>
    <w:rsid w:val="00B00D0F"/>
    <w:rsid w:val="00B012AC"/>
    <w:rsid w:val="00B013D5"/>
    <w:rsid w:val="00B0166C"/>
    <w:rsid w:val="00B02C2E"/>
    <w:rsid w:val="00B0583E"/>
    <w:rsid w:val="00B06A1D"/>
    <w:rsid w:val="00B06E18"/>
    <w:rsid w:val="00B06F91"/>
    <w:rsid w:val="00B101B6"/>
    <w:rsid w:val="00B1253F"/>
    <w:rsid w:val="00B126F0"/>
    <w:rsid w:val="00B1285C"/>
    <w:rsid w:val="00B12B12"/>
    <w:rsid w:val="00B12C37"/>
    <w:rsid w:val="00B13CF3"/>
    <w:rsid w:val="00B13ED2"/>
    <w:rsid w:val="00B1477C"/>
    <w:rsid w:val="00B14B7A"/>
    <w:rsid w:val="00B14C6C"/>
    <w:rsid w:val="00B15DE6"/>
    <w:rsid w:val="00B16D92"/>
    <w:rsid w:val="00B170A1"/>
    <w:rsid w:val="00B1748B"/>
    <w:rsid w:val="00B20D7B"/>
    <w:rsid w:val="00B218DD"/>
    <w:rsid w:val="00B21A5B"/>
    <w:rsid w:val="00B21E55"/>
    <w:rsid w:val="00B22A42"/>
    <w:rsid w:val="00B23900"/>
    <w:rsid w:val="00B241E7"/>
    <w:rsid w:val="00B24230"/>
    <w:rsid w:val="00B268A6"/>
    <w:rsid w:val="00B26F56"/>
    <w:rsid w:val="00B26FE8"/>
    <w:rsid w:val="00B27B1A"/>
    <w:rsid w:val="00B32A27"/>
    <w:rsid w:val="00B33102"/>
    <w:rsid w:val="00B34AF7"/>
    <w:rsid w:val="00B3572B"/>
    <w:rsid w:val="00B36007"/>
    <w:rsid w:val="00B375CE"/>
    <w:rsid w:val="00B4001D"/>
    <w:rsid w:val="00B41882"/>
    <w:rsid w:val="00B421DC"/>
    <w:rsid w:val="00B423C0"/>
    <w:rsid w:val="00B42B94"/>
    <w:rsid w:val="00B446F9"/>
    <w:rsid w:val="00B44C22"/>
    <w:rsid w:val="00B45345"/>
    <w:rsid w:val="00B46F04"/>
    <w:rsid w:val="00B5030C"/>
    <w:rsid w:val="00B51BA8"/>
    <w:rsid w:val="00B524A5"/>
    <w:rsid w:val="00B5256F"/>
    <w:rsid w:val="00B535E9"/>
    <w:rsid w:val="00B53C5C"/>
    <w:rsid w:val="00B54008"/>
    <w:rsid w:val="00B54222"/>
    <w:rsid w:val="00B54CF1"/>
    <w:rsid w:val="00B5527F"/>
    <w:rsid w:val="00B55414"/>
    <w:rsid w:val="00B57F92"/>
    <w:rsid w:val="00B6025D"/>
    <w:rsid w:val="00B60C62"/>
    <w:rsid w:val="00B612B3"/>
    <w:rsid w:val="00B62748"/>
    <w:rsid w:val="00B636D0"/>
    <w:rsid w:val="00B660F7"/>
    <w:rsid w:val="00B66FC2"/>
    <w:rsid w:val="00B67E75"/>
    <w:rsid w:val="00B70BA0"/>
    <w:rsid w:val="00B71946"/>
    <w:rsid w:val="00B71E2A"/>
    <w:rsid w:val="00B72875"/>
    <w:rsid w:val="00B7367F"/>
    <w:rsid w:val="00B74095"/>
    <w:rsid w:val="00B74B41"/>
    <w:rsid w:val="00B74C0F"/>
    <w:rsid w:val="00B755D8"/>
    <w:rsid w:val="00B80A54"/>
    <w:rsid w:val="00B80DF5"/>
    <w:rsid w:val="00B843DA"/>
    <w:rsid w:val="00B856EC"/>
    <w:rsid w:val="00B857EC"/>
    <w:rsid w:val="00B863E2"/>
    <w:rsid w:val="00B90B74"/>
    <w:rsid w:val="00B91C2A"/>
    <w:rsid w:val="00B93994"/>
    <w:rsid w:val="00B93E56"/>
    <w:rsid w:val="00B94242"/>
    <w:rsid w:val="00B94D45"/>
    <w:rsid w:val="00B96836"/>
    <w:rsid w:val="00BA018E"/>
    <w:rsid w:val="00BA0B90"/>
    <w:rsid w:val="00BA1241"/>
    <w:rsid w:val="00BA1FB9"/>
    <w:rsid w:val="00BA24BD"/>
    <w:rsid w:val="00BA3858"/>
    <w:rsid w:val="00BA42A9"/>
    <w:rsid w:val="00BA46D4"/>
    <w:rsid w:val="00BA5309"/>
    <w:rsid w:val="00BA535F"/>
    <w:rsid w:val="00BA5742"/>
    <w:rsid w:val="00BB0137"/>
    <w:rsid w:val="00BB0D24"/>
    <w:rsid w:val="00BB2A84"/>
    <w:rsid w:val="00BB4AAD"/>
    <w:rsid w:val="00BB58C7"/>
    <w:rsid w:val="00BB5B28"/>
    <w:rsid w:val="00BB5E56"/>
    <w:rsid w:val="00BB7D74"/>
    <w:rsid w:val="00BC04AA"/>
    <w:rsid w:val="00BC06A3"/>
    <w:rsid w:val="00BC088A"/>
    <w:rsid w:val="00BC2DFE"/>
    <w:rsid w:val="00BC33C1"/>
    <w:rsid w:val="00BC3E94"/>
    <w:rsid w:val="00BC3F25"/>
    <w:rsid w:val="00BC67CC"/>
    <w:rsid w:val="00BD008B"/>
    <w:rsid w:val="00BD0C39"/>
    <w:rsid w:val="00BD0F8E"/>
    <w:rsid w:val="00BD3656"/>
    <w:rsid w:val="00BD41D1"/>
    <w:rsid w:val="00BD71DA"/>
    <w:rsid w:val="00BD7538"/>
    <w:rsid w:val="00BD7799"/>
    <w:rsid w:val="00BD7EFB"/>
    <w:rsid w:val="00BE0B78"/>
    <w:rsid w:val="00BE0D4A"/>
    <w:rsid w:val="00BE1021"/>
    <w:rsid w:val="00BE1941"/>
    <w:rsid w:val="00BE233F"/>
    <w:rsid w:val="00BE243F"/>
    <w:rsid w:val="00BE26C8"/>
    <w:rsid w:val="00BE37D7"/>
    <w:rsid w:val="00BE37EF"/>
    <w:rsid w:val="00BE4458"/>
    <w:rsid w:val="00BE5BD6"/>
    <w:rsid w:val="00BE61BA"/>
    <w:rsid w:val="00BE7F4C"/>
    <w:rsid w:val="00BF0761"/>
    <w:rsid w:val="00BF18F1"/>
    <w:rsid w:val="00BF1D5A"/>
    <w:rsid w:val="00BF347D"/>
    <w:rsid w:val="00BF4973"/>
    <w:rsid w:val="00BF669F"/>
    <w:rsid w:val="00BF78F9"/>
    <w:rsid w:val="00BF7CA9"/>
    <w:rsid w:val="00BF7CD8"/>
    <w:rsid w:val="00C00510"/>
    <w:rsid w:val="00C0080B"/>
    <w:rsid w:val="00C01426"/>
    <w:rsid w:val="00C017FB"/>
    <w:rsid w:val="00C02C89"/>
    <w:rsid w:val="00C03137"/>
    <w:rsid w:val="00C03729"/>
    <w:rsid w:val="00C03917"/>
    <w:rsid w:val="00C03B5E"/>
    <w:rsid w:val="00C04309"/>
    <w:rsid w:val="00C048D3"/>
    <w:rsid w:val="00C04BCB"/>
    <w:rsid w:val="00C05010"/>
    <w:rsid w:val="00C0646B"/>
    <w:rsid w:val="00C064E6"/>
    <w:rsid w:val="00C068BC"/>
    <w:rsid w:val="00C0773C"/>
    <w:rsid w:val="00C122D0"/>
    <w:rsid w:val="00C13566"/>
    <w:rsid w:val="00C13569"/>
    <w:rsid w:val="00C1469C"/>
    <w:rsid w:val="00C146D6"/>
    <w:rsid w:val="00C155D7"/>
    <w:rsid w:val="00C15621"/>
    <w:rsid w:val="00C15BCF"/>
    <w:rsid w:val="00C15C22"/>
    <w:rsid w:val="00C1628A"/>
    <w:rsid w:val="00C16323"/>
    <w:rsid w:val="00C16BDC"/>
    <w:rsid w:val="00C16FCA"/>
    <w:rsid w:val="00C1707B"/>
    <w:rsid w:val="00C17F5D"/>
    <w:rsid w:val="00C201FC"/>
    <w:rsid w:val="00C20571"/>
    <w:rsid w:val="00C2216E"/>
    <w:rsid w:val="00C225C1"/>
    <w:rsid w:val="00C23D3F"/>
    <w:rsid w:val="00C23EC5"/>
    <w:rsid w:val="00C24768"/>
    <w:rsid w:val="00C24C87"/>
    <w:rsid w:val="00C25861"/>
    <w:rsid w:val="00C2592B"/>
    <w:rsid w:val="00C25BC5"/>
    <w:rsid w:val="00C25D70"/>
    <w:rsid w:val="00C27432"/>
    <w:rsid w:val="00C30D47"/>
    <w:rsid w:val="00C31CEC"/>
    <w:rsid w:val="00C33F6D"/>
    <w:rsid w:val="00C342D3"/>
    <w:rsid w:val="00C3442D"/>
    <w:rsid w:val="00C3524A"/>
    <w:rsid w:val="00C35971"/>
    <w:rsid w:val="00C35E6B"/>
    <w:rsid w:val="00C36431"/>
    <w:rsid w:val="00C36979"/>
    <w:rsid w:val="00C36C7B"/>
    <w:rsid w:val="00C36DE3"/>
    <w:rsid w:val="00C36E0D"/>
    <w:rsid w:val="00C40AB6"/>
    <w:rsid w:val="00C40C43"/>
    <w:rsid w:val="00C40C58"/>
    <w:rsid w:val="00C42FD3"/>
    <w:rsid w:val="00C43724"/>
    <w:rsid w:val="00C44404"/>
    <w:rsid w:val="00C44E1E"/>
    <w:rsid w:val="00C460F1"/>
    <w:rsid w:val="00C46295"/>
    <w:rsid w:val="00C46823"/>
    <w:rsid w:val="00C470B8"/>
    <w:rsid w:val="00C47B3A"/>
    <w:rsid w:val="00C50586"/>
    <w:rsid w:val="00C506AD"/>
    <w:rsid w:val="00C50734"/>
    <w:rsid w:val="00C519CA"/>
    <w:rsid w:val="00C51ECE"/>
    <w:rsid w:val="00C52627"/>
    <w:rsid w:val="00C52B42"/>
    <w:rsid w:val="00C52F04"/>
    <w:rsid w:val="00C532F6"/>
    <w:rsid w:val="00C54266"/>
    <w:rsid w:val="00C54433"/>
    <w:rsid w:val="00C5490A"/>
    <w:rsid w:val="00C5500C"/>
    <w:rsid w:val="00C55233"/>
    <w:rsid w:val="00C55399"/>
    <w:rsid w:val="00C55AF2"/>
    <w:rsid w:val="00C56BC3"/>
    <w:rsid w:val="00C5786B"/>
    <w:rsid w:val="00C605F8"/>
    <w:rsid w:val="00C611EE"/>
    <w:rsid w:val="00C615F3"/>
    <w:rsid w:val="00C61BF8"/>
    <w:rsid w:val="00C627B2"/>
    <w:rsid w:val="00C63086"/>
    <w:rsid w:val="00C632A3"/>
    <w:rsid w:val="00C63D55"/>
    <w:rsid w:val="00C63E3E"/>
    <w:rsid w:val="00C64083"/>
    <w:rsid w:val="00C64458"/>
    <w:rsid w:val="00C65B6D"/>
    <w:rsid w:val="00C65D79"/>
    <w:rsid w:val="00C67056"/>
    <w:rsid w:val="00C67208"/>
    <w:rsid w:val="00C67DB0"/>
    <w:rsid w:val="00C70CBF"/>
    <w:rsid w:val="00C72679"/>
    <w:rsid w:val="00C730A6"/>
    <w:rsid w:val="00C732F0"/>
    <w:rsid w:val="00C736C1"/>
    <w:rsid w:val="00C74D03"/>
    <w:rsid w:val="00C74FB6"/>
    <w:rsid w:val="00C764C7"/>
    <w:rsid w:val="00C8240A"/>
    <w:rsid w:val="00C82AB3"/>
    <w:rsid w:val="00C82B91"/>
    <w:rsid w:val="00C833A5"/>
    <w:rsid w:val="00C83AAF"/>
    <w:rsid w:val="00C85D3E"/>
    <w:rsid w:val="00C90392"/>
    <w:rsid w:val="00C90DDC"/>
    <w:rsid w:val="00C934C4"/>
    <w:rsid w:val="00C93E34"/>
    <w:rsid w:val="00C94A20"/>
    <w:rsid w:val="00C94B58"/>
    <w:rsid w:val="00C9560E"/>
    <w:rsid w:val="00C96E60"/>
    <w:rsid w:val="00C979CB"/>
    <w:rsid w:val="00CA0C2F"/>
    <w:rsid w:val="00CA1380"/>
    <w:rsid w:val="00CA1A90"/>
    <w:rsid w:val="00CA3997"/>
    <w:rsid w:val="00CA3EA8"/>
    <w:rsid w:val="00CA3ED1"/>
    <w:rsid w:val="00CA54D9"/>
    <w:rsid w:val="00CA597B"/>
    <w:rsid w:val="00CA6DAA"/>
    <w:rsid w:val="00CA7BAE"/>
    <w:rsid w:val="00CA7CA2"/>
    <w:rsid w:val="00CB01C0"/>
    <w:rsid w:val="00CB04ED"/>
    <w:rsid w:val="00CB0688"/>
    <w:rsid w:val="00CB0786"/>
    <w:rsid w:val="00CB0A1F"/>
    <w:rsid w:val="00CB10FE"/>
    <w:rsid w:val="00CB168D"/>
    <w:rsid w:val="00CB325A"/>
    <w:rsid w:val="00CB38D1"/>
    <w:rsid w:val="00CB5669"/>
    <w:rsid w:val="00CB5BCC"/>
    <w:rsid w:val="00CB5CEE"/>
    <w:rsid w:val="00CB7AAA"/>
    <w:rsid w:val="00CC034A"/>
    <w:rsid w:val="00CC0780"/>
    <w:rsid w:val="00CC0AC5"/>
    <w:rsid w:val="00CC0B66"/>
    <w:rsid w:val="00CC1B10"/>
    <w:rsid w:val="00CC1BEA"/>
    <w:rsid w:val="00CC3A8B"/>
    <w:rsid w:val="00CC4100"/>
    <w:rsid w:val="00CC55D1"/>
    <w:rsid w:val="00CC5E28"/>
    <w:rsid w:val="00CC6B2B"/>
    <w:rsid w:val="00CC7B21"/>
    <w:rsid w:val="00CC7DDF"/>
    <w:rsid w:val="00CD0A13"/>
    <w:rsid w:val="00CD0E63"/>
    <w:rsid w:val="00CD11AD"/>
    <w:rsid w:val="00CD315E"/>
    <w:rsid w:val="00CD41F4"/>
    <w:rsid w:val="00CD47FB"/>
    <w:rsid w:val="00CD4A8B"/>
    <w:rsid w:val="00CD5043"/>
    <w:rsid w:val="00CD54E1"/>
    <w:rsid w:val="00CD579F"/>
    <w:rsid w:val="00CD76C2"/>
    <w:rsid w:val="00CD7DBF"/>
    <w:rsid w:val="00CE16EF"/>
    <w:rsid w:val="00CE2C39"/>
    <w:rsid w:val="00CE348F"/>
    <w:rsid w:val="00CE3F6C"/>
    <w:rsid w:val="00CE42CD"/>
    <w:rsid w:val="00CE4477"/>
    <w:rsid w:val="00CE4490"/>
    <w:rsid w:val="00CE53FE"/>
    <w:rsid w:val="00CE67A8"/>
    <w:rsid w:val="00CE7103"/>
    <w:rsid w:val="00CF1487"/>
    <w:rsid w:val="00CF1847"/>
    <w:rsid w:val="00CF3288"/>
    <w:rsid w:val="00CF35CB"/>
    <w:rsid w:val="00CF629A"/>
    <w:rsid w:val="00CF688C"/>
    <w:rsid w:val="00D00A87"/>
    <w:rsid w:val="00D010B8"/>
    <w:rsid w:val="00D01982"/>
    <w:rsid w:val="00D04EBE"/>
    <w:rsid w:val="00D063D7"/>
    <w:rsid w:val="00D0676D"/>
    <w:rsid w:val="00D07CCE"/>
    <w:rsid w:val="00D1294D"/>
    <w:rsid w:val="00D12BFC"/>
    <w:rsid w:val="00D12E23"/>
    <w:rsid w:val="00D12F70"/>
    <w:rsid w:val="00D135AF"/>
    <w:rsid w:val="00D13760"/>
    <w:rsid w:val="00D15494"/>
    <w:rsid w:val="00D157B5"/>
    <w:rsid w:val="00D201E0"/>
    <w:rsid w:val="00D20C04"/>
    <w:rsid w:val="00D20F45"/>
    <w:rsid w:val="00D216F0"/>
    <w:rsid w:val="00D22C3C"/>
    <w:rsid w:val="00D22CE3"/>
    <w:rsid w:val="00D23FEE"/>
    <w:rsid w:val="00D25B59"/>
    <w:rsid w:val="00D26136"/>
    <w:rsid w:val="00D2662A"/>
    <w:rsid w:val="00D26730"/>
    <w:rsid w:val="00D26B8D"/>
    <w:rsid w:val="00D271CF"/>
    <w:rsid w:val="00D275CE"/>
    <w:rsid w:val="00D30D2E"/>
    <w:rsid w:val="00D32145"/>
    <w:rsid w:val="00D32B87"/>
    <w:rsid w:val="00D32BDF"/>
    <w:rsid w:val="00D339E5"/>
    <w:rsid w:val="00D34164"/>
    <w:rsid w:val="00D34761"/>
    <w:rsid w:val="00D34CA7"/>
    <w:rsid w:val="00D358CE"/>
    <w:rsid w:val="00D373FE"/>
    <w:rsid w:val="00D37BAD"/>
    <w:rsid w:val="00D4063F"/>
    <w:rsid w:val="00D41304"/>
    <w:rsid w:val="00D42155"/>
    <w:rsid w:val="00D42969"/>
    <w:rsid w:val="00D42DE2"/>
    <w:rsid w:val="00D43032"/>
    <w:rsid w:val="00D43925"/>
    <w:rsid w:val="00D4452F"/>
    <w:rsid w:val="00D45441"/>
    <w:rsid w:val="00D464F5"/>
    <w:rsid w:val="00D4676A"/>
    <w:rsid w:val="00D467D5"/>
    <w:rsid w:val="00D47F18"/>
    <w:rsid w:val="00D50869"/>
    <w:rsid w:val="00D50AFA"/>
    <w:rsid w:val="00D50B50"/>
    <w:rsid w:val="00D51727"/>
    <w:rsid w:val="00D517F7"/>
    <w:rsid w:val="00D51809"/>
    <w:rsid w:val="00D51A31"/>
    <w:rsid w:val="00D537A8"/>
    <w:rsid w:val="00D5418F"/>
    <w:rsid w:val="00D56B3F"/>
    <w:rsid w:val="00D574AD"/>
    <w:rsid w:val="00D57833"/>
    <w:rsid w:val="00D5796F"/>
    <w:rsid w:val="00D57BF2"/>
    <w:rsid w:val="00D60F28"/>
    <w:rsid w:val="00D612DA"/>
    <w:rsid w:val="00D627EA"/>
    <w:rsid w:val="00D62DB4"/>
    <w:rsid w:val="00D631B0"/>
    <w:rsid w:val="00D632DC"/>
    <w:rsid w:val="00D634C1"/>
    <w:rsid w:val="00D65B5A"/>
    <w:rsid w:val="00D663AC"/>
    <w:rsid w:val="00D70379"/>
    <w:rsid w:val="00D71304"/>
    <w:rsid w:val="00D7159F"/>
    <w:rsid w:val="00D71FD7"/>
    <w:rsid w:val="00D73BA7"/>
    <w:rsid w:val="00D74198"/>
    <w:rsid w:val="00D7490A"/>
    <w:rsid w:val="00D74C8D"/>
    <w:rsid w:val="00D754F8"/>
    <w:rsid w:val="00D75979"/>
    <w:rsid w:val="00D7600E"/>
    <w:rsid w:val="00D76919"/>
    <w:rsid w:val="00D77291"/>
    <w:rsid w:val="00D77B85"/>
    <w:rsid w:val="00D817D9"/>
    <w:rsid w:val="00D81CBD"/>
    <w:rsid w:val="00D838EC"/>
    <w:rsid w:val="00D83BBC"/>
    <w:rsid w:val="00D83FCE"/>
    <w:rsid w:val="00D843F1"/>
    <w:rsid w:val="00D849FD"/>
    <w:rsid w:val="00D84EE9"/>
    <w:rsid w:val="00D86422"/>
    <w:rsid w:val="00D86A07"/>
    <w:rsid w:val="00D86D7C"/>
    <w:rsid w:val="00D872F0"/>
    <w:rsid w:val="00D91A4B"/>
    <w:rsid w:val="00D91BFA"/>
    <w:rsid w:val="00D92106"/>
    <w:rsid w:val="00D92ED4"/>
    <w:rsid w:val="00D93D35"/>
    <w:rsid w:val="00D94096"/>
    <w:rsid w:val="00D94E0E"/>
    <w:rsid w:val="00D96FBA"/>
    <w:rsid w:val="00D97DD2"/>
    <w:rsid w:val="00D97EE1"/>
    <w:rsid w:val="00DA1A36"/>
    <w:rsid w:val="00DA1CE9"/>
    <w:rsid w:val="00DA2D37"/>
    <w:rsid w:val="00DA30D0"/>
    <w:rsid w:val="00DA4482"/>
    <w:rsid w:val="00DA768C"/>
    <w:rsid w:val="00DA7D93"/>
    <w:rsid w:val="00DB01C3"/>
    <w:rsid w:val="00DB03F7"/>
    <w:rsid w:val="00DB0D4B"/>
    <w:rsid w:val="00DB116A"/>
    <w:rsid w:val="00DB372C"/>
    <w:rsid w:val="00DB3DB3"/>
    <w:rsid w:val="00DB494B"/>
    <w:rsid w:val="00DB5218"/>
    <w:rsid w:val="00DB5D55"/>
    <w:rsid w:val="00DB5EEC"/>
    <w:rsid w:val="00DB5EFC"/>
    <w:rsid w:val="00DB79A4"/>
    <w:rsid w:val="00DC0C36"/>
    <w:rsid w:val="00DC1449"/>
    <w:rsid w:val="00DC1A7E"/>
    <w:rsid w:val="00DC1E42"/>
    <w:rsid w:val="00DC429A"/>
    <w:rsid w:val="00DC504E"/>
    <w:rsid w:val="00DC51DA"/>
    <w:rsid w:val="00DC59DD"/>
    <w:rsid w:val="00DC6722"/>
    <w:rsid w:val="00DC77E4"/>
    <w:rsid w:val="00DC7CC8"/>
    <w:rsid w:val="00DC7EEA"/>
    <w:rsid w:val="00DC7F8C"/>
    <w:rsid w:val="00DD0401"/>
    <w:rsid w:val="00DD0C09"/>
    <w:rsid w:val="00DD0F58"/>
    <w:rsid w:val="00DD17AD"/>
    <w:rsid w:val="00DD1850"/>
    <w:rsid w:val="00DD2240"/>
    <w:rsid w:val="00DD2EFD"/>
    <w:rsid w:val="00DD322E"/>
    <w:rsid w:val="00DD3CF8"/>
    <w:rsid w:val="00DD5A9A"/>
    <w:rsid w:val="00DD617E"/>
    <w:rsid w:val="00DE14B7"/>
    <w:rsid w:val="00DE1CBE"/>
    <w:rsid w:val="00DE3566"/>
    <w:rsid w:val="00DE38C2"/>
    <w:rsid w:val="00DE47EE"/>
    <w:rsid w:val="00DE5970"/>
    <w:rsid w:val="00DE5B0C"/>
    <w:rsid w:val="00DE7E84"/>
    <w:rsid w:val="00DF0415"/>
    <w:rsid w:val="00DF12FB"/>
    <w:rsid w:val="00DF1564"/>
    <w:rsid w:val="00DF2CCB"/>
    <w:rsid w:val="00DF3816"/>
    <w:rsid w:val="00DF3986"/>
    <w:rsid w:val="00DF3AD2"/>
    <w:rsid w:val="00DF42B7"/>
    <w:rsid w:val="00DF478E"/>
    <w:rsid w:val="00DF56EA"/>
    <w:rsid w:val="00DF60FF"/>
    <w:rsid w:val="00DF61F5"/>
    <w:rsid w:val="00DF7497"/>
    <w:rsid w:val="00E002A5"/>
    <w:rsid w:val="00E0312A"/>
    <w:rsid w:val="00E04BC5"/>
    <w:rsid w:val="00E04C2A"/>
    <w:rsid w:val="00E069CE"/>
    <w:rsid w:val="00E079DC"/>
    <w:rsid w:val="00E07FB6"/>
    <w:rsid w:val="00E10420"/>
    <w:rsid w:val="00E134D3"/>
    <w:rsid w:val="00E136FD"/>
    <w:rsid w:val="00E15BC5"/>
    <w:rsid w:val="00E15CDB"/>
    <w:rsid w:val="00E16439"/>
    <w:rsid w:val="00E16589"/>
    <w:rsid w:val="00E17FE1"/>
    <w:rsid w:val="00E201E3"/>
    <w:rsid w:val="00E20E0F"/>
    <w:rsid w:val="00E23622"/>
    <w:rsid w:val="00E238AC"/>
    <w:rsid w:val="00E23F0D"/>
    <w:rsid w:val="00E25CA4"/>
    <w:rsid w:val="00E2713F"/>
    <w:rsid w:val="00E276D5"/>
    <w:rsid w:val="00E278C2"/>
    <w:rsid w:val="00E31B33"/>
    <w:rsid w:val="00E31FBB"/>
    <w:rsid w:val="00E32EEE"/>
    <w:rsid w:val="00E333AF"/>
    <w:rsid w:val="00E33B5B"/>
    <w:rsid w:val="00E3434F"/>
    <w:rsid w:val="00E35244"/>
    <w:rsid w:val="00E35314"/>
    <w:rsid w:val="00E35E0E"/>
    <w:rsid w:val="00E3603B"/>
    <w:rsid w:val="00E37C4C"/>
    <w:rsid w:val="00E37FEF"/>
    <w:rsid w:val="00E434E4"/>
    <w:rsid w:val="00E43741"/>
    <w:rsid w:val="00E45BED"/>
    <w:rsid w:val="00E46037"/>
    <w:rsid w:val="00E463F9"/>
    <w:rsid w:val="00E46748"/>
    <w:rsid w:val="00E47F27"/>
    <w:rsid w:val="00E51039"/>
    <w:rsid w:val="00E53C13"/>
    <w:rsid w:val="00E5457F"/>
    <w:rsid w:val="00E55A69"/>
    <w:rsid w:val="00E560B1"/>
    <w:rsid w:val="00E5731A"/>
    <w:rsid w:val="00E57A8A"/>
    <w:rsid w:val="00E57A9E"/>
    <w:rsid w:val="00E60287"/>
    <w:rsid w:val="00E629C8"/>
    <w:rsid w:val="00E63DBF"/>
    <w:rsid w:val="00E66BD7"/>
    <w:rsid w:val="00E66DD5"/>
    <w:rsid w:val="00E679A3"/>
    <w:rsid w:val="00E7105F"/>
    <w:rsid w:val="00E710EB"/>
    <w:rsid w:val="00E719EB"/>
    <w:rsid w:val="00E72481"/>
    <w:rsid w:val="00E7258E"/>
    <w:rsid w:val="00E72923"/>
    <w:rsid w:val="00E732DB"/>
    <w:rsid w:val="00E73E6C"/>
    <w:rsid w:val="00E74B34"/>
    <w:rsid w:val="00E74F4D"/>
    <w:rsid w:val="00E762F8"/>
    <w:rsid w:val="00E76692"/>
    <w:rsid w:val="00E81C62"/>
    <w:rsid w:val="00E83EC0"/>
    <w:rsid w:val="00E84781"/>
    <w:rsid w:val="00E84B02"/>
    <w:rsid w:val="00E85A6E"/>
    <w:rsid w:val="00E901FE"/>
    <w:rsid w:val="00E9188F"/>
    <w:rsid w:val="00E91AB9"/>
    <w:rsid w:val="00E936DC"/>
    <w:rsid w:val="00EA0BAE"/>
    <w:rsid w:val="00EA2B1E"/>
    <w:rsid w:val="00EA2DE3"/>
    <w:rsid w:val="00EA4027"/>
    <w:rsid w:val="00EA654E"/>
    <w:rsid w:val="00EA6E7C"/>
    <w:rsid w:val="00EA746B"/>
    <w:rsid w:val="00EA76F0"/>
    <w:rsid w:val="00EB176E"/>
    <w:rsid w:val="00EB2517"/>
    <w:rsid w:val="00EB27CA"/>
    <w:rsid w:val="00EB2829"/>
    <w:rsid w:val="00EB2942"/>
    <w:rsid w:val="00EB2CBE"/>
    <w:rsid w:val="00EB39B6"/>
    <w:rsid w:val="00EB39DF"/>
    <w:rsid w:val="00EB48BB"/>
    <w:rsid w:val="00EB7A6A"/>
    <w:rsid w:val="00EC015C"/>
    <w:rsid w:val="00EC08AA"/>
    <w:rsid w:val="00EC0B87"/>
    <w:rsid w:val="00EC2508"/>
    <w:rsid w:val="00EC2606"/>
    <w:rsid w:val="00EC2AD6"/>
    <w:rsid w:val="00EC2E6D"/>
    <w:rsid w:val="00EC31C8"/>
    <w:rsid w:val="00EC43CA"/>
    <w:rsid w:val="00EC4B58"/>
    <w:rsid w:val="00EC5556"/>
    <w:rsid w:val="00ED0833"/>
    <w:rsid w:val="00ED1877"/>
    <w:rsid w:val="00ED3261"/>
    <w:rsid w:val="00ED3CC7"/>
    <w:rsid w:val="00ED3EA8"/>
    <w:rsid w:val="00ED4C18"/>
    <w:rsid w:val="00ED52E2"/>
    <w:rsid w:val="00ED5371"/>
    <w:rsid w:val="00ED5DB5"/>
    <w:rsid w:val="00ED67C8"/>
    <w:rsid w:val="00ED6CB5"/>
    <w:rsid w:val="00ED7FC6"/>
    <w:rsid w:val="00EE09FB"/>
    <w:rsid w:val="00EE12B3"/>
    <w:rsid w:val="00EE15CD"/>
    <w:rsid w:val="00EE1EC1"/>
    <w:rsid w:val="00EE2344"/>
    <w:rsid w:val="00EE2D33"/>
    <w:rsid w:val="00EE3919"/>
    <w:rsid w:val="00EE3D55"/>
    <w:rsid w:val="00EE4262"/>
    <w:rsid w:val="00EE4762"/>
    <w:rsid w:val="00EE49AE"/>
    <w:rsid w:val="00EE5264"/>
    <w:rsid w:val="00EE558E"/>
    <w:rsid w:val="00EE590A"/>
    <w:rsid w:val="00EE63AC"/>
    <w:rsid w:val="00EE7A3E"/>
    <w:rsid w:val="00EF1F51"/>
    <w:rsid w:val="00EF213E"/>
    <w:rsid w:val="00EF2220"/>
    <w:rsid w:val="00EF3113"/>
    <w:rsid w:val="00EF3846"/>
    <w:rsid w:val="00EF4FFF"/>
    <w:rsid w:val="00EF60A8"/>
    <w:rsid w:val="00EF60C5"/>
    <w:rsid w:val="00EF6291"/>
    <w:rsid w:val="00EF6394"/>
    <w:rsid w:val="00EF792B"/>
    <w:rsid w:val="00F00E89"/>
    <w:rsid w:val="00F01866"/>
    <w:rsid w:val="00F02C58"/>
    <w:rsid w:val="00F056C9"/>
    <w:rsid w:val="00F056E9"/>
    <w:rsid w:val="00F076AB"/>
    <w:rsid w:val="00F107B6"/>
    <w:rsid w:val="00F11D58"/>
    <w:rsid w:val="00F13F26"/>
    <w:rsid w:val="00F144B5"/>
    <w:rsid w:val="00F14869"/>
    <w:rsid w:val="00F14B6D"/>
    <w:rsid w:val="00F15FC4"/>
    <w:rsid w:val="00F20B0A"/>
    <w:rsid w:val="00F21517"/>
    <w:rsid w:val="00F219A9"/>
    <w:rsid w:val="00F22008"/>
    <w:rsid w:val="00F221E8"/>
    <w:rsid w:val="00F23297"/>
    <w:rsid w:val="00F2678C"/>
    <w:rsid w:val="00F271F0"/>
    <w:rsid w:val="00F3026C"/>
    <w:rsid w:val="00F3028E"/>
    <w:rsid w:val="00F303E9"/>
    <w:rsid w:val="00F3046D"/>
    <w:rsid w:val="00F30946"/>
    <w:rsid w:val="00F33E5A"/>
    <w:rsid w:val="00F35150"/>
    <w:rsid w:val="00F35D09"/>
    <w:rsid w:val="00F365E8"/>
    <w:rsid w:val="00F36A3E"/>
    <w:rsid w:val="00F40974"/>
    <w:rsid w:val="00F4129B"/>
    <w:rsid w:val="00F42DD6"/>
    <w:rsid w:val="00F4333E"/>
    <w:rsid w:val="00F445A7"/>
    <w:rsid w:val="00F445BB"/>
    <w:rsid w:val="00F4641A"/>
    <w:rsid w:val="00F530CD"/>
    <w:rsid w:val="00F53197"/>
    <w:rsid w:val="00F53528"/>
    <w:rsid w:val="00F53F4F"/>
    <w:rsid w:val="00F542B2"/>
    <w:rsid w:val="00F54A0F"/>
    <w:rsid w:val="00F557EC"/>
    <w:rsid w:val="00F61D9C"/>
    <w:rsid w:val="00F623FB"/>
    <w:rsid w:val="00F63649"/>
    <w:rsid w:val="00F638B4"/>
    <w:rsid w:val="00F6429B"/>
    <w:rsid w:val="00F6454B"/>
    <w:rsid w:val="00F65803"/>
    <w:rsid w:val="00F65A44"/>
    <w:rsid w:val="00F65C5C"/>
    <w:rsid w:val="00F6659F"/>
    <w:rsid w:val="00F679AA"/>
    <w:rsid w:val="00F71C42"/>
    <w:rsid w:val="00F727F3"/>
    <w:rsid w:val="00F74256"/>
    <w:rsid w:val="00F74EDF"/>
    <w:rsid w:val="00F75065"/>
    <w:rsid w:val="00F7647A"/>
    <w:rsid w:val="00F76D8F"/>
    <w:rsid w:val="00F76E75"/>
    <w:rsid w:val="00F77435"/>
    <w:rsid w:val="00F80349"/>
    <w:rsid w:val="00F81C3C"/>
    <w:rsid w:val="00F81F98"/>
    <w:rsid w:val="00F85B5C"/>
    <w:rsid w:val="00F866A9"/>
    <w:rsid w:val="00F9016E"/>
    <w:rsid w:val="00F903CC"/>
    <w:rsid w:val="00F907EA"/>
    <w:rsid w:val="00F90CDA"/>
    <w:rsid w:val="00F90E66"/>
    <w:rsid w:val="00F91719"/>
    <w:rsid w:val="00F92C34"/>
    <w:rsid w:val="00F93D60"/>
    <w:rsid w:val="00F93D91"/>
    <w:rsid w:val="00F93FDA"/>
    <w:rsid w:val="00F95267"/>
    <w:rsid w:val="00F953F7"/>
    <w:rsid w:val="00FA095B"/>
    <w:rsid w:val="00FA0BA0"/>
    <w:rsid w:val="00FA2B58"/>
    <w:rsid w:val="00FA2D07"/>
    <w:rsid w:val="00FA2DB5"/>
    <w:rsid w:val="00FA352E"/>
    <w:rsid w:val="00FA3D1F"/>
    <w:rsid w:val="00FA5CE5"/>
    <w:rsid w:val="00FA7930"/>
    <w:rsid w:val="00FB0EF8"/>
    <w:rsid w:val="00FB1340"/>
    <w:rsid w:val="00FB14CE"/>
    <w:rsid w:val="00FB33EE"/>
    <w:rsid w:val="00FB48A8"/>
    <w:rsid w:val="00FB55F8"/>
    <w:rsid w:val="00FB5739"/>
    <w:rsid w:val="00FC0A6D"/>
    <w:rsid w:val="00FC0D24"/>
    <w:rsid w:val="00FC15BB"/>
    <w:rsid w:val="00FC1ADF"/>
    <w:rsid w:val="00FC2CA0"/>
    <w:rsid w:val="00FC33E5"/>
    <w:rsid w:val="00FC3A86"/>
    <w:rsid w:val="00FC3B1D"/>
    <w:rsid w:val="00FC558B"/>
    <w:rsid w:val="00FC6163"/>
    <w:rsid w:val="00FC64AD"/>
    <w:rsid w:val="00FC6682"/>
    <w:rsid w:val="00FC6ECD"/>
    <w:rsid w:val="00FC6FFC"/>
    <w:rsid w:val="00FC7165"/>
    <w:rsid w:val="00FC7A06"/>
    <w:rsid w:val="00FD0F1B"/>
    <w:rsid w:val="00FD0FDC"/>
    <w:rsid w:val="00FD1CEB"/>
    <w:rsid w:val="00FD1E13"/>
    <w:rsid w:val="00FD2417"/>
    <w:rsid w:val="00FD27E9"/>
    <w:rsid w:val="00FD36DA"/>
    <w:rsid w:val="00FD374F"/>
    <w:rsid w:val="00FD40CE"/>
    <w:rsid w:val="00FD41AF"/>
    <w:rsid w:val="00FD4DB4"/>
    <w:rsid w:val="00FD53E7"/>
    <w:rsid w:val="00FD58F7"/>
    <w:rsid w:val="00FD5FF6"/>
    <w:rsid w:val="00FD67C9"/>
    <w:rsid w:val="00FD7F86"/>
    <w:rsid w:val="00FE22B6"/>
    <w:rsid w:val="00FE27A0"/>
    <w:rsid w:val="00FE3696"/>
    <w:rsid w:val="00FE36C0"/>
    <w:rsid w:val="00FE5291"/>
    <w:rsid w:val="00FE52C4"/>
    <w:rsid w:val="00FE5AD9"/>
    <w:rsid w:val="00FE6052"/>
    <w:rsid w:val="00FE6F54"/>
    <w:rsid w:val="00FF0696"/>
    <w:rsid w:val="00FF070A"/>
    <w:rsid w:val="00FF080F"/>
    <w:rsid w:val="00FF15E1"/>
    <w:rsid w:val="00FF33FD"/>
    <w:rsid w:val="00FF3644"/>
    <w:rsid w:val="00FF3CBD"/>
    <w:rsid w:val="00FF48BB"/>
    <w:rsid w:val="00FF505B"/>
    <w:rsid w:val="00FF5226"/>
    <w:rsid w:val="00FF59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F791C12-6A68-406B-86A0-A7D22C06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6A2"/>
    <w:pPr>
      <w:spacing w:after="0" w:line="240" w:lineRule="auto"/>
    </w:pPr>
    <w:rPr>
      <w:rFonts w:asciiTheme="majorBidi" w:hAnsiTheme="majorBidi"/>
      <w:sz w:val="24"/>
      <w:szCs w:val="24"/>
    </w:rPr>
  </w:style>
  <w:style w:type="paragraph" w:styleId="Heading1">
    <w:name w:val="heading 1"/>
    <w:aliases w:val=" תו"/>
    <w:basedOn w:val="Normal"/>
    <w:link w:val="Heading1Char"/>
    <w:qFormat/>
    <w:rsid w:val="006A415B"/>
    <w:pPr>
      <w:numPr>
        <w:numId w:val="1"/>
      </w:numPr>
      <w:bidi/>
      <w:spacing w:line="360" w:lineRule="auto"/>
      <w:ind w:right="340"/>
      <w:jc w:val="both"/>
      <w:outlineLvl w:val="0"/>
    </w:pPr>
    <w:rPr>
      <w:rFonts w:ascii="Times New Roman" w:eastAsia="Times New Roman" w:hAnsi="Times New Roman" w:cs="David"/>
      <w:kern w:val="28"/>
      <w:lang w:eastAsia="he-IL"/>
    </w:rPr>
  </w:style>
  <w:style w:type="paragraph" w:styleId="Heading2">
    <w:name w:val="heading 2"/>
    <w:basedOn w:val="Heading1"/>
    <w:link w:val="Heading2Char"/>
    <w:qFormat/>
    <w:rsid w:val="006A415B"/>
    <w:pPr>
      <w:numPr>
        <w:ilvl w:val="1"/>
      </w:numPr>
      <w:tabs>
        <w:tab w:val="num" w:pos="360"/>
      </w:tabs>
      <w:ind w:right="680"/>
      <w:outlineLvl w:val="1"/>
    </w:pPr>
  </w:style>
  <w:style w:type="paragraph" w:styleId="Heading3">
    <w:name w:val="heading 3"/>
    <w:basedOn w:val="Heading2"/>
    <w:link w:val="Heading3Char"/>
    <w:qFormat/>
    <w:rsid w:val="006A415B"/>
    <w:pPr>
      <w:keepNext/>
      <w:numPr>
        <w:ilvl w:val="2"/>
      </w:numPr>
      <w:tabs>
        <w:tab w:val="num" w:pos="360"/>
      </w:tabs>
      <w:ind w:right="1020"/>
      <w:outlineLvl w:val="2"/>
    </w:pPr>
  </w:style>
  <w:style w:type="paragraph" w:styleId="Heading4">
    <w:name w:val="heading 4"/>
    <w:basedOn w:val="Heading3"/>
    <w:link w:val="Heading4Char"/>
    <w:qFormat/>
    <w:rsid w:val="006A415B"/>
    <w:pPr>
      <w:keepNext w:val="0"/>
      <w:numPr>
        <w:ilvl w:val="3"/>
      </w:numPr>
      <w:tabs>
        <w:tab w:val="num" w:pos="360"/>
      </w:tabs>
      <w:ind w:right="1360"/>
      <w:outlineLvl w:val="3"/>
    </w:pPr>
  </w:style>
  <w:style w:type="paragraph" w:styleId="Heading5">
    <w:name w:val="heading 5"/>
    <w:basedOn w:val="Heading4"/>
    <w:link w:val="Heading5Char"/>
    <w:qFormat/>
    <w:rsid w:val="006A415B"/>
    <w:pPr>
      <w:numPr>
        <w:ilvl w:val="4"/>
      </w:numPr>
      <w:tabs>
        <w:tab w:val="num" w:pos="360"/>
      </w:tabs>
      <w:ind w:right="2068"/>
      <w:outlineLvl w:val="4"/>
    </w:pPr>
  </w:style>
  <w:style w:type="paragraph" w:styleId="Heading6">
    <w:name w:val="heading 6"/>
    <w:basedOn w:val="Normal"/>
    <w:next w:val="Normal"/>
    <w:link w:val="Heading6Char"/>
    <w:qFormat/>
    <w:rsid w:val="006A415B"/>
    <w:pPr>
      <w:numPr>
        <w:ilvl w:val="5"/>
        <w:numId w:val="1"/>
      </w:numPr>
      <w:bidi/>
      <w:spacing w:before="240" w:after="60" w:line="360" w:lineRule="auto"/>
      <w:ind w:right="2776"/>
      <w:jc w:val="both"/>
      <w:outlineLvl w:val="5"/>
    </w:pPr>
    <w:rPr>
      <w:rFonts w:ascii="Arial" w:eastAsia="Times New Roman" w:hAnsi="Arial" w:cs="Arial"/>
      <w:i/>
      <w:iCs/>
      <w:szCs w:val="22"/>
      <w:lang w:eastAsia="he-IL"/>
    </w:rPr>
  </w:style>
  <w:style w:type="paragraph" w:styleId="Heading7">
    <w:name w:val="heading 7"/>
    <w:basedOn w:val="Normal"/>
    <w:next w:val="Normal"/>
    <w:link w:val="Heading7Char"/>
    <w:qFormat/>
    <w:rsid w:val="006A415B"/>
    <w:pPr>
      <w:numPr>
        <w:ilvl w:val="6"/>
        <w:numId w:val="1"/>
      </w:numPr>
      <w:bidi/>
      <w:spacing w:before="240" w:after="60" w:line="360" w:lineRule="auto"/>
      <w:ind w:right="3484"/>
      <w:jc w:val="both"/>
      <w:outlineLvl w:val="6"/>
    </w:pPr>
    <w:rPr>
      <w:rFonts w:ascii="Arial" w:eastAsia="Times New Roman" w:hAnsi="Arial" w:cs="Arial"/>
      <w:sz w:val="20"/>
      <w:szCs w:val="20"/>
      <w:lang w:eastAsia="he-IL"/>
    </w:rPr>
  </w:style>
  <w:style w:type="paragraph" w:styleId="Heading8">
    <w:name w:val="heading 8"/>
    <w:basedOn w:val="Normal"/>
    <w:next w:val="Normal"/>
    <w:link w:val="Heading8Char"/>
    <w:qFormat/>
    <w:rsid w:val="006A415B"/>
    <w:pPr>
      <w:numPr>
        <w:ilvl w:val="7"/>
        <w:numId w:val="1"/>
      </w:numPr>
      <w:bidi/>
      <w:spacing w:before="240" w:after="60" w:line="360" w:lineRule="auto"/>
      <w:ind w:right="4192"/>
      <w:jc w:val="both"/>
      <w:outlineLvl w:val="7"/>
    </w:pPr>
    <w:rPr>
      <w:rFonts w:ascii="Arial" w:eastAsia="Times New Roman" w:hAnsi="Arial" w:cs="Arial"/>
      <w:i/>
      <w:iCs/>
      <w:sz w:val="20"/>
      <w:szCs w:val="20"/>
      <w:lang w:eastAsia="he-IL"/>
    </w:rPr>
  </w:style>
  <w:style w:type="paragraph" w:styleId="Heading9">
    <w:name w:val="heading 9"/>
    <w:basedOn w:val="Normal"/>
    <w:next w:val="Normal"/>
    <w:link w:val="Heading9Char"/>
    <w:qFormat/>
    <w:rsid w:val="006A415B"/>
    <w:pPr>
      <w:numPr>
        <w:ilvl w:val="8"/>
        <w:numId w:val="1"/>
      </w:numPr>
      <w:bidi/>
      <w:spacing w:before="240" w:after="60" w:line="360" w:lineRule="auto"/>
      <w:ind w:right="4900"/>
      <w:jc w:val="both"/>
      <w:outlineLvl w:val="8"/>
    </w:pPr>
    <w:rPr>
      <w:rFonts w:ascii="Arial" w:eastAsia="Times New Roman" w:hAnsi="Arial" w:cs="Arial"/>
      <w:i/>
      <w:iCs/>
      <w:sz w:val="18"/>
      <w:szCs w:val="1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DEE"/>
    <w:rPr>
      <w:rFonts w:ascii="Tahoma" w:hAnsi="Tahoma" w:cs="Tahoma"/>
      <w:sz w:val="16"/>
      <w:szCs w:val="16"/>
    </w:rPr>
  </w:style>
  <w:style w:type="character" w:customStyle="1" w:styleId="BalloonTextChar">
    <w:name w:val="Balloon Text Char"/>
    <w:basedOn w:val="DefaultParagraphFont"/>
    <w:link w:val="BalloonText"/>
    <w:uiPriority w:val="99"/>
    <w:semiHidden/>
    <w:rsid w:val="003A2DEE"/>
    <w:rPr>
      <w:rFonts w:ascii="Tahoma" w:hAnsi="Tahoma" w:cs="Tahoma"/>
      <w:sz w:val="16"/>
      <w:szCs w:val="16"/>
    </w:rPr>
  </w:style>
  <w:style w:type="character" w:styleId="CommentReference">
    <w:name w:val="annotation reference"/>
    <w:basedOn w:val="DefaultParagraphFont"/>
    <w:uiPriority w:val="99"/>
    <w:semiHidden/>
    <w:unhideWhenUsed/>
    <w:rsid w:val="009021F6"/>
    <w:rPr>
      <w:sz w:val="16"/>
      <w:szCs w:val="16"/>
    </w:rPr>
  </w:style>
  <w:style w:type="paragraph" w:styleId="CommentText">
    <w:name w:val="annotation text"/>
    <w:basedOn w:val="Normal"/>
    <w:link w:val="CommentTextChar"/>
    <w:uiPriority w:val="99"/>
    <w:semiHidden/>
    <w:unhideWhenUsed/>
    <w:rsid w:val="009021F6"/>
    <w:rPr>
      <w:sz w:val="20"/>
      <w:szCs w:val="20"/>
    </w:rPr>
  </w:style>
  <w:style w:type="character" w:customStyle="1" w:styleId="CommentTextChar">
    <w:name w:val="Comment Text Char"/>
    <w:basedOn w:val="DefaultParagraphFont"/>
    <w:link w:val="CommentText"/>
    <w:uiPriority w:val="99"/>
    <w:semiHidden/>
    <w:rsid w:val="009021F6"/>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9021F6"/>
    <w:rPr>
      <w:b/>
      <w:bCs/>
    </w:rPr>
  </w:style>
  <w:style w:type="character" w:customStyle="1" w:styleId="CommentSubjectChar">
    <w:name w:val="Comment Subject Char"/>
    <w:basedOn w:val="CommentTextChar"/>
    <w:link w:val="CommentSubject"/>
    <w:uiPriority w:val="99"/>
    <w:semiHidden/>
    <w:rsid w:val="009021F6"/>
    <w:rPr>
      <w:rFonts w:asciiTheme="majorBidi" w:hAnsiTheme="majorBidi"/>
      <w:b/>
      <w:bCs/>
      <w:sz w:val="20"/>
      <w:szCs w:val="20"/>
    </w:rPr>
  </w:style>
  <w:style w:type="character" w:customStyle="1" w:styleId="Heading1Char">
    <w:name w:val="Heading 1 Char"/>
    <w:aliases w:val=" תו Char"/>
    <w:basedOn w:val="DefaultParagraphFont"/>
    <w:link w:val="Heading1"/>
    <w:rsid w:val="006A415B"/>
    <w:rPr>
      <w:rFonts w:ascii="Times New Roman" w:eastAsia="Times New Roman" w:hAnsi="Times New Roman" w:cs="David"/>
      <w:kern w:val="28"/>
      <w:sz w:val="24"/>
      <w:szCs w:val="24"/>
      <w:lang w:eastAsia="he-IL"/>
    </w:rPr>
  </w:style>
  <w:style w:type="character" w:customStyle="1" w:styleId="Heading2Char">
    <w:name w:val="Heading 2 Char"/>
    <w:basedOn w:val="DefaultParagraphFont"/>
    <w:link w:val="Heading2"/>
    <w:rsid w:val="006A415B"/>
    <w:rPr>
      <w:rFonts w:ascii="Times New Roman" w:eastAsia="Times New Roman" w:hAnsi="Times New Roman" w:cs="David"/>
      <w:kern w:val="28"/>
      <w:sz w:val="24"/>
      <w:szCs w:val="24"/>
      <w:lang w:eastAsia="he-IL"/>
    </w:rPr>
  </w:style>
  <w:style w:type="character" w:customStyle="1" w:styleId="Heading3Char">
    <w:name w:val="Heading 3 Char"/>
    <w:basedOn w:val="DefaultParagraphFont"/>
    <w:link w:val="Heading3"/>
    <w:rsid w:val="006A415B"/>
    <w:rPr>
      <w:rFonts w:ascii="Times New Roman" w:eastAsia="Times New Roman" w:hAnsi="Times New Roman" w:cs="David"/>
      <w:kern w:val="28"/>
      <w:sz w:val="24"/>
      <w:szCs w:val="24"/>
      <w:lang w:eastAsia="he-IL"/>
    </w:rPr>
  </w:style>
  <w:style w:type="character" w:customStyle="1" w:styleId="Heading4Char">
    <w:name w:val="Heading 4 Char"/>
    <w:basedOn w:val="DefaultParagraphFont"/>
    <w:link w:val="Heading4"/>
    <w:rsid w:val="006A415B"/>
    <w:rPr>
      <w:rFonts w:ascii="Times New Roman" w:eastAsia="Times New Roman" w:hAnsi="Times New Roman" w:cs="David"/>
      <w:kern w:val="28"/>
      <w:sz w:val="24"/>
      <w:szCs w:val="24"/>
      <w:lang w:eastAsia="he-IL"/>
    </w:rPr>
  </w:style>
  <w:style w:type="character" w:customStyle="1" w:styleId="Heading5Char">
    <w:name w:val="Heading 5 Char"/>
    <w:basedOn w:val="DefaultParagraphFont"/>
    <w:link w:val="Heading5"/>
    <w:rsid w:val="006A415B"/>
    <w:rPr>
      <w:rFonts w:ascii="Times New Roman" w:eastAsia="Times New Roman" w:hAnsi="Times New Roman" w:cs="David"/>
      <w:kern w:val="28"/>
      <w:sz w:val="24"/>
      <w:szCs w:val="24"/>
      <w:lang w:eastAsia="he-IL"/>
    </w:rPr>
  </w:style>
  <w:style w:type="character" w:customStyle="1" w:styleId="Heading6Char">
    <w:name w:val="Heading 6 Char"/>
    <w:basedOn w:val="DefaultParagraphFont"/>
    <w:link w:val="Heading6"/>
    <w:rsid w:val="006A415B"/>
    <w:rPr>
      <w:rFonts w:ascii="Arial" w:eastAsia="Times New Roman" w:hAnsi="Arial" w:cs="Arial"/>
      <w:i/>
      <w:iCs/>
      <w:sz w:val="24"/>
      <w:lang w:eastAsia="he-IL"/>
    </w:rPr>
  </w:style>
  <w:style w:type="character" w:customStyle="1" w:styleId="Heading7Char">
    <w:name w:val="Heading 7 Char"/>
    <w:basedOn w:val="DefaultParagraphFont"/>
    <w:link w:val="Heading7"/>
    <w:rsid w:val="006A415B"/>
    <w:rPr>
      <w:rFonts w:ascii="Arial" w:eastAsia="Times New Roman" w:hAnsi="Arial" w:cs="Arial"/>
      <w:sz w:val="20"/>
      <w:szCs w:val="20"/>
      <w:lang w:eastAsia="he-IL"/>
    </w:rPr>
  </w:style>
  <w:style w:type="character" w:customStyle="1" w:styleId="Heading8Char">
    <w:name w:val="Heading 8 Char"/>
    <w:basedOn w:val="DefaultParagraphFont"/>
    <w:link w:val="Heading8"/>
    <w:rsid w:val="006A415B"/>
    <w:rPr>
      <w:rFonts w:ascii="Arial" w:eastAsia="Times New Roman" w:hAnsi="Arial" w:cs="Arial"/>
      <w:i/>
      <w:iCs/>
      <w:sz w:val="20"/>
      <w:szCs w:val="20"/>
      <w:lang w:eastAsia="he-IL"/>
    </w:rPr>
  </w:style>
  <w:style w:type="character" w:customStyle="1" w:styleId="Heading9Char">
    <w:name w:val="Heading 9 Char"/>
    <w:basedOn w:val="DefaultParagraphFont"/>
    <w:link w:val="Heading9"/>
    <w:rsid w:val="006A415B"/>
    <w:rPr>
      <w:rFonts w:ascii="Arial" w:eastAsia="Times New Roman" w:hAnsi="Arial" w:cs="Arial"/>
      <w:i/>
      <w:iCs/>
      <w:sz w:val="18"/>
      <w:szCs w:val="18"/>
      <w:lang w:eastAsia="he-IL"/>
    </w:rPr>
  </w:style>
  <w:style w:type="paragraph" w:styleId="Header">
    <w:name w:val="header"/>
    <w:basedOn w:val="Normal"/>
    <w:link w:val="HeaderChar"/>
    <w:rsid w:val="006A415B"/>
    <w:pPr>
      <w:tabs>
        <w:tab w:val="center" w:pos="4153"/>
        <w:tab w:val="right" w:pos="8306"/>
      </w:tabs>
      <w:bidi/>
      <w:spacing w:line="360" w:lineRule="auto"/>
      <w:jc w:val="both"/>
    </w:pPr>
    <w:rPr>
      <w:rFonts w:ascii="Times New Roman" w:eastAsia="Times New Roman" w:hAnsi="Times New Roman" w:cs="David"/>
      <w:lang w:eastAsia="he-IL"/>
    </w:rPr>
  </w:style>
  <w:style w:type="character" w:customStyle="1" w:styleId="HeaderChar">
    <w:name w:val="Header Char"/>
    <w:basedOn w:val="DefaultParagraphFont"/>
    <w:link w:val="Header"/>
    <w:rsid w:val="006A415B"/>
    <w:rPr>
      <w:rFonts w:ascii="Times New Roman" w:eastAsia="Times New Roman" w:hAnsi="Times New Roman" w:cs="David"/>
      <w:sz w:val="24"/>
      <w:szCs w:val="24"/>
      <w:lang w:eastAsia="he-IL"/>
    </w:rPr>
  </w:style>
  <w:style w:type="paragraph" w:styleId="ListParagraph">
    <w:name w:val="List Paragraph"/>
    <w:basedOn w:val="Normal"/>
    <w:uiPriority w:val="34"/>
    <w:qFormat/>
    <w:rsid w:val="006A415B"/>
    <w:pPr>
      <w:bidi/>
      <w:spacing w:line="360" w:lineRule="auto"/>
      <w:ind w:left="720"/>
      <w:contextualSpacing/>
      <w:jc w:val="both"/>
    </w:pPr>
    <w:rPr>
      <w:rFonts w:ascii="Times New Roman" w:eastAsia="Times New Roman" w:hAnsi="Times New Roman" w:cs="David"/>
      <w:lang w:eastAsia="he-IL"/>
    </w:rPr>
  </w:style>
  <w:style w:type="paragraph" w:styleId="Footer">
    <w:name w:val="footer"/>
    <w:basedOn w:val="Normal"/>
    <w:link w:val="FooterChar"/>
    <w:uiPriority w:val="99"/>
    <w:unhideWhenUsed/>
    <w:rsid w:val="006A415B"/>
    <w:pPr>
      <w:tabs>
        <w:tab w:val="center" w:pos="4320"/>
        <w:tab w:val="right" w:pos="8640"/>
      </w:tabs>
    </w:pPr>
  </w:style>
  <w:style w:type="character" w:customStyle="1" w:styleId="FooterChar">
    <w:name w:val="Footer Char"/>
    <w:basedOn w:val="DefaultParagraphFont"/>
    <w:link w:val="Footer"/>
    <w:uiPriority w:val="99"/>
    <w:rsid w:val="006A415B"/>
    <w:rPr>
      <w:rFonts w:asciiTheme="majorBidi" w:hAnsiTheme="majorBidi"/>
      <w:sz w:val="24"/>
      <w:szCs w:val="24"/>
    </w:rPr>
  </w:style>
  <w:style w:type="paragraph" w:customStyle="1" w:styleId="regpar">
    <w:name w:val="regpar"/>
    <w:basedOn w:val="Normal"/>
    <w:rsid w:val="006A415B"/>
    <w:pPr>
      <w:spacing w:line="300" w:lineRule="exact"/>
      <w:ind w:firstLine="240"/>
      <w:jc w:val="both"/>
    </w:pPr>
    <w:rPr>
      <w:rFonts w:ascii="Times" w:eastAsia="Times New Roman" w:hAnsi="Times" w:cs="Times"/>
    </w:rPr>
  </w:style>
  <w:style w:type="paragraph" w:styleId="Revision">
    <w:name w:val="Revision"/>
    <w:hidden/>
    <w:uiPriority w:val="99"/>
    <w:semiHidden/>
    <w:rsid w:val="002530C3"/>
    <w:pPr>
      <w:spacing w:after="0" w:line="240" w:lineRule="auto"/>
    </w:pPr>
    <w:rPr>
      <w:rFonts w:asciiTheme="majorBidi" w:hAnsiTheme="majorBidi"/>
      <w:sz w:val="24"/>
      <w:szCs w:val="24"/>
    </w:rPr>
  </w:style>
  <w:style w:type="paragraph" w:styleId="FootnoteText">
    <w:name w:val="footnote text"/>
    <w:basedOn w:val="Normal"/>
    <w:link w:val="FootnoteTextChar"/>
    <w:uiPriority w:val="99"/>
    <w:semiHidden/>
    <w:unhideWhenUsed/>
    <w:rsid w:val="00701421"/>
    <w:rPr>
      <w:sz w:val="20"/>
      <w:szCs w:val="20"/>
    </w:rPr>
  </w:style>
  <w:style w:type="character" w:customStyle="1" w:styleId="FootnoteTextChar">
    <w:name w:val="Footnote Text Char"/>
    <w:basedOn w:val="DefaultParagraphFont"/>
    <w:link w:val="FootnoteText"/>
    <w:uiPriority w:val="99"/>
    <w:semiHidden/>
    <w:rsid w:val="00701421"/>
    <w:rPr>
      <w:rFonts w:asciiTheme="majorBidi" w:hAnsiTheme="majorBidi"/>
      <w:sz w:val="20"/>
      <w:szCs w:val="20"/>
    </w:rPr>
  </w:style>
  <w:style w:type="character" w:styleId="FootnoteReference">
    <w:name w:val="footnote reference"/>
    <w:basedOn w:val="DefaultParagraphFont"/>
    <w:uiPriority w:val="99"/>
    <w:semiHidden/>
    <w:unhideWhenUsed/>
    <w:rsid w:val="00701421"/>
    <w:rPr>
      <w:vertAlign w:val="superscript"/>
    </w:rPr>
  </w:style>
  <w:style w:type="character" w:styleId="Hyperlink">
    <w:name w:val="Hyperlink"/>
    <w:basedOn w:val="DefaultParagraphFont"/>
    <w:uiPriority w:val="99"/>
    <w:unhideWhenUsed/>
    <w:rsid w:val="00B21E55"/>
    <w:rPr>
      <w:color w:val="0563C1"/>
      <w:u w:val="single"/>
    </w:rPr>
  </w:style>
  <w:style w:type="character" w:styleId="FollowedHyperlink">
    <w:name w:val="FollowedHyperlink"/>
    <w:basedOn w:val="DefaultParagraphFont"/>
    <w:uiPriority w:val="99"/>
    <w:semiHidden/>
    <w:unhideWhenUsed/>
    <w:rsid w:val="00606830"/>
    <w:rPr>
      <w:color w:val="800080" w:themeColor="followedHyperlink"/>
      <w:u w:val="single"/>
    </w:rPr>
  </w:style>
  <w:style w:type="paragraph" w:styleId="NormalWeb">
    <w:name w:val="Normal (Web)"/>
    <w:basedOn w:val="Normal"/>
    <w:uiPriority w:val="99"/>
    <w:unhideWhenUsed/>
    <w:rsid w:val="00D32BD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10710">
      <w:bodyDiv w:val="1"/>
      <w:marLeft w:val="0"/>
      <w:marRight w:val="0"/>
      <w:marTop w:val="0"/>
      <w:marBottom w:val="0"/>
      <w:divBdr>
        <w:top w:val="none" w:sz="0" w:space="0" w:color="auto"/>
        <w:left w:val="none" w:sz="0" w:space="0" w:color="auto"/>
        <w:bottom w:val="none" w:sz="0" w:space="0" w:color="auto"/>
        <w:right w:val="none" w:sz="0" w:space="0" w:color="auto"/>
      </w:divBdr>
    </w:div>
    <w:div w:id="378628959">
      <w:bodyDiv w:val="1"/>
      <w:marLeft w:val="0"/>
      <w:marRight w:val="0"/>
      <w:marTop w:val="0"/>
      <w:marBottom w:val="0"/>
      <w:divBdr>
        <w:top w:val="none" w:sz="0" w:space="0" w:color="auto"/>
        <w:left w:val="none" w:sz="0" w:space="0" w:color="auto"/>
        <w:bottom w:val="none" w:sz="0" w:space="0" w:color="auto"/>
        <w:right w:val="none" w:sz="0" w:space="0" w:color="auto"/>
      </w:divBdr>
    </w:div>
    <w:div w:id="182781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36F9D5A-744E-44A9-BFAA-8782388B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1992</Words>
  <Characters>10221</Characters>
  <Application>Microsoft Office Word</Application>
  <DocSecurity>4</DocSecurity>
  <Lines>638</Lines>
  <Paragraphs>132</Paragraphs>
  <ScaleCrop>false</ScaleCrop>
  <HeadingPairs>
    <vt:vector size="2" baseType="variant">
      <vt:variant>
        <vt:lpstr>Title</vt:lpstr>
      </vt:variant>
      <vt:variant>
        <vt:i4>1</vt:i4>
      </vt:variant>
    </vt:vector>
  </HeadingPairs>
  <TitlesOfParts>
    <vt:vector size="1" baseType="lpstr">
      <vt:lpstr/>
    </vt:vector>
  </TitlesOfParts>
  <Company>BOI</Company>
  <LinksUpToDate>false</LinksUpToDate>
  <CharactersWithSpaces>12081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יהודה פאש</dc:creator>
  <cp:lastModifiedBy>רוסול דכוור</cp:lastModifiedBy>
  <cp:revision>2</cp:revision>
  <cp:lastPrinted>2025-02-24T11:13:00Z</cp:lastPrinted>
  <dcterms:created xsi:type="dcterms:W3CDTF">2025-04-09T08:24:00Z</dcterms:created>
  <dcterms:modified xsi:type="dcterms:W3CDTF">2025-04-09T08:24:00Z</dcterms:modified>
</cp:coreProperties>
</file>