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201"/>
        <w:bidiVisual/>
        <w:tblW w:w="8520" w:type="dxa"/>
        <w:tblLayout w:type="fixed"/>
        <w:tblLook w:val="0000" w:firstRow="0" w:lastRow="0" w:firstColumn="0" w:lastColumn="0" w:noHBand="0" w:noVBand="0"/>
        <w:tblCaption w:val="כותרת"/>
        <w:tblDescription w:val="כותרת"/>
      </w:tblPr>
      <w:tblGrid>
        <w:gridCol w:w="2840"/>
        <w:gridCol w:w="2596"/>
        <w:gridCol w:w="3084"/>
      </w:tblGrid>
      <w:tr w:rsidR="00BF620A" w:rsidRPr="003E74CE" w:rsidTr="007B63B3">
        <w:tc>
          <w:tcPr>
            <w:tcW w:w="2840" w:type="dxa"/>
            <w:tcBorders>
              <w:top w:val="nil"/>
              <w:left w:val="nil"/>
              <w:bottom w:val="nil"/>
              <w:right w:val="nil"/>
            </w:tcBorders>
            <w:vAlign w:val="center"/>
          </w:tcPr>
          <w:p w:rsidR="00BF620A" w:rsidRPr="003E74CE" w:rsidRDefault="00BF620A" w:rsidP="007B63B3">
            <w:pPr>
              <w:tabs>
                <w:tab w:val="clear" w:pos="567"/>
                <w:tab w:val="clear" w:pos="1134"/>
                <w:tab w:val="clear" w:pos="1814"/>
                <w:tab w:val="clear" w:pos="2665"/>
              </w:tabs>
              <w:spacing w:after="160" w:line="259" w:lineRule="auto"/>
              <w:jc w:val="center"/>
              <w:rPr>
                <w:rFonts w:ascii="David" w:eastAsiaTheme="minorHAnsi" w:hAnsi="David"/>
                <w:b/>
                <w:bCs/>
              </w:rPr>
            </w:pPr>
            <w:r w:rsidRPr="003E74CE">
              <w:rPr>
                <w:rFonts w:ascii="David" w:eastAsiaTheme="minorHAnsi" w:hAnsi="David"/>
                <w:b/>
                <w:bCs/>
                <w:rtl/>
              </w:rPr>
              <w:t>בנק ישראל</w:t>
            </w:r>
          </w:p>
          <w:p w:rsidR="00BF620A" w:rsidRPr="003E74CE" w:rsidRDefault="00BF620A" w:rsidP="007B63B3">
            <w:pPr>
              <w:tabs>
                <w:tab w:val="clear" w:pos="567"/>
                <w:tab w:val="clear" w:pos="1134"/>
                <w:tab w:val="clear" w:pos="1814"/>
                <w:tab w:val="clear" w:pos="2665"/>
              </w:tabs>
              <w:spacing w:after="160" w:line="240" w:lineRule="auto"/>
              <w:ind w:right="-101"/>
              <w:jc w:val="center"/>
              <w:rPr>
                <w:rFonts w:ascii="David" w:eastAsiaTheme="minorHAnsi" w:hAnsi="David"/>
              </w:rPr>
            </w:pPr>
            <w:r w:rsidRPr="003E74CE">
              <w:rPr>
                <w:rFonts w:ascii="David" w:eastAsiaTheme="minorHAnsi" w:hAnsi="David"/>
                <w:rtl/>
              </w:rPr>
              <w:t>דוברות והסברה כלכלית</w:t>
            </w:r>
          </w:p>
        </w:tc>
        <w:tc>
          <w:tcPr>
            <w:tcW w:w="2596" w:type="dxa"/>
            <w:tcBorders>
              <w:top w:val="nil"/>
              <w:left w:val="nil"/>
              <w:bottom w:val="nil"/>
              <w:right w:val="nil"/>
            </w:tcBorders>
          </w:tcPr>
          <w:p w:rsidR="00BF620A" w:rsidRPr="003E74CE" w:rsidRDefault="00BF620A" w:rsidP="007B63B3">
            <w:pPr>
              <w:tabs>
                <w:tab w:val="clear" w:pos="567"/>
                <w:tab w:val="clear" w:pos="1134"/>
                <w:tab w:val="clear" w:pos="1814"/>
                <w:tab w:val="clear" w:pos="2665"/>
              </w:tabs>
              <w:spacing w:after="160" w:line="259" w:lineRule="auto"/>
              <w:jc w:val="center"/>
              <w:rPr>
                <w:rFonts w:ascii="David" w:eastAsiaTheme="minorHAnsi" w:hAnsi="David"/>
              </w:rPr>
            </w:pPr>
            <w:r w:rsidRPr="003E74CE">
              <w:rPr>
                <w:rFonts w:ascii="David" w:eastAsiaTheme="minorHAnsi" w:hAnsi="David"/>
                <w:noProof/>
              </w:rPr>
              <w:drawing>
                <wp:inline distT="0" distB="0" distL="0" distR="0" wp14:anchorId="3AFBAC3C" wp14:editId="640B5C40">
                  <wp:extent cx="772668" cy="768350"/>
                  <wp:effectExtent l="0" t="0" r="8890" b="0"/>
                  <wp:docPr id="1" name="תמונה 1"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לוגו בנק ישראל" title="לוגו בנק ישראל"/>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2160" cy="76835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BF620A" w:rsidRPr="003E74CE" w:rsidRDefault="00BF620A" w:rsidP="00BF620A">
            <w:pPr>
              <w:tabs>
                <w:tab w:val="clear" w:pos="567"/>
                <w:tab w:val="clear" w:pos="1134"/>
                <w:tab w:val="clear" w:pos="1814"/>
                <w:tab w:val="clear" w:pos="2665"/>
              </w:tabs>
              <w:spacing w:after="160" w:line="259" w:lineRule="auto"/>
              <w:jc w:val="right"/>
              <w:rPr>
                <w:rFonts w:ascii="David" w:eastAsiaTheme="minorHAnsi" w:hAnsi="David"/>
              </w:rPr>
            </w:pPr>
            <w:r w:rsidRPr="003E74CE">
              <w:rPr>
                <w:rFonts w:ascii="David" w:eastAsiaTheme="minorHAnsi" w:hAnsi="David"/>
                <w:rtl/>
              </w:rPr>
              <w:t xml:space="preserve">‏ירושלים, </w:t>
            </w:r>
            <w:r>
              <w:rPr>
                <w:rFonts w:ascii="David" w:eastAsiaTheme="minorHAnsi" w:hAnsi="David" w:hint="cs"/>
                <w:rtl/>
              </w:rPr>
              <w:t>ד</w:t>
            </w:r>
            <w:r w:rsidRPr="003E74CE">
              <w:rPr>
                <w:rFonts w:ascii="David" w:eastAsiaTheme="minorHAnsi" w:hAnsi="David"/>
                <w:rtl/>
              </w:rPr>
              <w:t xml:space="preserve"> </w:t>
            </w:r>
            <w:r>
              <w:rPr>
                <w:rFonts w:ascii="David" w:eastAsiaTheme="minorHAnsi" w:hAnsi="David" w:hint="cs"/>
                <w:rtl/>
              </w:rPr>
              <w:t>בסיוון</w:t>
            </w:r>
            <w:r w:rsidRPr="003E74CE">
              <w:rPr>
                <w:rFonts w:ascii="David" w:eastAsiaTheme="minorHAnsi" w:hAnsi="David"/>
                <w:rtl/>
              </w:rPr>
              <w:t>, תשפ"ג</w:t>
            </w:r>
          </w:p>
          <w:p w:rsidR="00BF620A" w:rsidRPr="003E74CE" w:rsidRDefault="00BF620A" w:rsidP="00BF620A">
            <w:pPr>
              <w:tabs>
                <w:tab w:val="clear" w:pos="567"/>
                <w:tab w:val="clear" w:pos="1134"/>
                <w:tab w:val="clear" w:pos="1814"/>
                <w:tab w:val="clear" w:pos="2665"/>
              </w:tabs>
              <w:spacing w:after="160" w:line="240" w:lineRule="auto"/>
              <w:jc w:val="right"/>
              <w:rPr>
                <w:rFonts w:ascii="David" w:eastAsiaTheme="minorHAnsi" w:hAnsi="David"/>
              </w:rPr>
            </w:pPr>
            <w:r>
              <w:rPr>
                <w:rFonts w:ascii="David" w:eastAsiaTheme="minorHAnsi" w:hAnsi="David" w:hint="cs"/>
                <w:rtl/>
              </w:rPr>
              <w:t>24</w:t>
            </w:r>
            <w:r w:rsidRPr="003E74CE">
              <w:rPr>
                <w:rFonts w:ascii="David" w:eastAsiaTheme="minorHAnsi" w:hAnsi="David"/>
                <w:rtl/>
              </w:rPr>
              <w:t xml:space="preserve"> במאי 2023</w:t>
            </w:r>
          </w:p>
        </w:tc>
      </w:tr>
    </w:tbl>
    <w:p w:rsidR="00686DF2" w:rsidRDefault="00686DF2">
      <w:pPr>
        <w:rPr>
          <w:rtl/>
        </w:rPr>
      </w:pPr>
    </w:p>
    <w:p w:rsidR="00BF620A" w:rsidRDefault="00BF620A" w:rsidP="00372A21">
      <w:pPr>
        <w:jc w:val="left"/>
        <w:rPr>
          <w:rFonts w:ascii="David" w:hAnsi="David"/>
          <w:rtl/>
        </w:rPr>
      </w:pPr>
      <w:r w:rsidRPr="00372A21">
        <w:rPr>
          <w:rFonts w:ascii="David" w:hAnsi="David"/>
          <w:rtl/>
        </w:rPr>
        <w:t>הודעה לעיתונות:</w:t>
      </w:r>
    </w:p>
    <w:p w:rsidR="00372A21" w:rsidRPr="00372A21" w:rsidRDefault="00372A21" w:rsidP="00372A21">
      <w:pPr>
        <w:jc w:val="left"/>
        <w:rPr>
          <w:rFonts w:ascii="David" w:hAnsi="David"/>
          <w:rtl/>
        </w:rPr>
      </w:pPr>
    </w:p>
    <w:p w:rsidR="00372A21" w:rsidRPr="00372A21" w:rsidRDefault="00372A21" w:rsidP="00372A21">
      <w:pPr>
        <w:jc w:val="left"/>
      </w:pPr>
      <w:r>
        <w:rPr>
          <w:rFonts w:ascii="David" w:hAnsi="David" w:hint="cs"/>
          <w:b/>
          <w:bCs/>
          <w:sz w:val="28"/>
          <w:szCs w:val="28"/>
          <w:rtl/>
        </w:rPr>
        <w:t xml:space="preserve">                              </w:t>
      </w:r>
      <w:bookmarkStart w:id="0" w:name="_GoBack"/>
      <w:bookmarkEnd w:id="0"/>
      <w:r w:rsidRPr="00372A21">
        <w:rPr>
          <w:rFonts w:ascii="David" w:hAnsi="David"/>
          <w:b/>
          <w:bCs/>
          <w:sz w:val="28"/>
          <w:szCs w:val="28"/>
          <w:rtl/>
        </w:rPr>
        <w:t>כנס לציון 50 שנים לסקירת הפיקוח על הבנקים</w:t>
      </w:r>
      <w:r w:rsidRPr="00372A21">
        <w:rPr>
          <w:rFonts w:ascii="David" w:hAnsi="David"/>
        </w:rPr>
        <w:br/>
      </w:r>
      <w:r w:rsidRPr="00372A21">
        <w:rPr>
          <w:rFonts w:ascii="David" w:hAnsi="David"/>
        </w:rPr>
        <w:br/>
      </w:r>
      <w:r w:rsidRPr="00372A21">
        <w:rPr>
          <w:rFonts w:ascii="David" w:hAnsi="David"/>
          <w:rtl/>
        </w:rPr>
        <w:t>לאחר פרסום סקירת הפיקוח על הבנקים לשנת 2022, שהינה הסקירה ה-50 במספר מאז החל הפיקוח על הבנקים בפרסומה לציבור בשנת 1972, ערך הפיקוח על הבנקים כנס לציון הנושא וסקירה של פעילות הפיקוח על הבנקים לדורותיו</w:t>
      </w:r>
      <w:r w:rsidRPr="00372A21">
        <w:rPr>
          <w:rFonts w:ascii="David" w:hAnsi="David"/>
        </w:rPr>
        <w:t>.</w:t>
      </w:r>
      <w:r w:rsidRPr="00372A21">
        <w:rPr>
          <w:rFonts w:ascii="David" w:hAnsi="David"/>
        </w:rPr>
        <w:br/>
      </w:r>
      <w:r w:rsidRPr="00372A21">
        <w:rPr>
          <w:rFonts w:ascii="David" w:hAnsi="David"/>
        </w:rPr>
        <w:br/>
      </w:r>
      <w:r w:rsidRPr="00372A21">
        <w:rPr>
          <w:rFonts w:ascii="David" w:hAnsi="David"/>
          <w:rtl/>
        </w:rPr>
        <w:t>את הכנס פתח נגיד בנק ישראל, פרופ' אמיר ירון ולאחריו נשא דברים המפקח על הבנקים יאיר אבידן. דבריהם מצורפים להודעה זו</w:t>
      </w:r>
      <w:r w:rsidRPr="00372A21">
        <w:rPr>
          <w:rFonts w:ascii="David" w:hAnsi="David"/>
        </w:rPr>
        <w:t>.</w:t>
      </w:r>
      <w:r w:rsidRPr="00372A21">
        <w:rPr>
          <w:rFonts w:ascii="David" w:hAnsi="David"/>
        </w:rPr>
        <w:br/>
      </w:r>
      <w:r w:rsidRPr="00372A21">
        <w:rPr>
          <w:rFonts w:ascii="David" w:hAnsi="David"/>
        </w:rPr>
        <w:br/>
      </w:r>
      <w:r w:rsidRPr="00372A21">
        <w:rPr>
          <w:rFonts w:ascii="David" w:hAnsi="David"/>
          <w:rtl/>
        </w:rPr>
        <w:t>בהמשך התקיים פאנל ובו השתתפו חלק מהמפקחים והמפקחות על הבנקים לדורותיהם ובו העלו תובנות שונות על תקופתם בראש הפיקוח על הבנקים וההתפתחויות והאתגרים הכלכליים השונים שליוו את תפקידם. (מצורפת תמונה של המשתתפים לשימושכם. קרדיט: דוברות בנק ישראל)</w:t>
      </w:r>
      <w:r w:rsidRPr="00372A21">
        <w:rPr>
          <w:rFonts w:ascii="David" w:hAnsi="David"/>
        </w:rPr>
        <w:br/>
      </w:r>
      <w:r w:rsidRPr="00372A21">
        <w:rPr>
          <w:rFonts w:ascii="David" w:hAnsi="David"/>
        </w:rPr>
        <w:br/>
      </w:r>
      <w:r w:rsidRPr="00372A21">
        <w:rPr>
          <w:rFonts w:ascii="David" w:hAnsi="David"/>
          <w:rtl/>
        </w:rPr>
        <w:t>את הכנס חתמה ד</w:t>
      </w:r>
      <w:r w:rsidRPr="00372A21">
        <w:rPr>
          <w:rFonts w:ascii="David" w:hAnsi="David"/>
        </w:rPr>
        <w:t>"</w:t>
      </w:r>
      <w:r w:rsidRPr="00372A21">
        <w:rPr>
          <w:rFonts w:ascii="David" w:hAnsi="David"/>
          <w:rtl/>
        </w:rPr>
        <w:t>ר זיו נאור, מנהלת היחידה הכלכלית בפיקוח על הבנקים, שאמונה על כתיבת סקירת הפיקוח. בהרצאתה סקרה את המאפיינים השונים במערכת הבנקאות לאורך 50 שנות סקירה</w:t>
      </w:r>
      <w:r w:rsidRPr="00372A21">
        <w:rPr>
          <w:rFonts w:ascii="David" w:hAnsi="David"/>
        </w:rPr>
        <w:t>.</w:t>
      </w:r>
      <w:r w:rsidRPr="00372A21">
        <w:br/>
      </w:r>
      <w:r w:rsidRPr="00372A21">
        <w:br/>
      </w:r>
    </w:p>
    <w:p w:rsidR="00BF620A" w:rsidRPr="00372A21" w:rsidRDefault="00BF620A" w:rsidP="00372A21">
      <w:pPr>
        <w:jc w:val="left"/>
      </w:pPr>
    </w:p>
    <w:sectPr w:rsidR="00BF620A" w:rsidRPr="00372A21" w:rsidSect="00D2060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E9"/>
    <w:rsid w:val="00075637"/>
    <w:rsid w:val="00080A35"/>
    <w:rsid w:val="00093493"/>
    <w:rsid w:val="0009525D"/>
    <w:rsid w:val="000D1FC5"/>
    <w:rsid w:val="0013562C"/>
    <w:rsid w:val="001356AD"/>
    <w:rsid w:val="00155A79"/>
    <w:rsid w:val="0019486A"/>
    <w:rsid w:val="001B09DE"/>
    <w:rsid w:val="002261AE"/>
    <w:rsid w:val="00297B3F"/>
    <w:rsid w:val="00346E90"/>
    <w:rsid w:val="00365ABA"/>
    <w:rsid w:val="00372A21"/>
    <w:rsid w:val="00384630"/>
    <w:rsid w:val="003A4FAE"/>
    <w:rsid w:val="003D26B3"/>
    <w:rsid w:val="00441BE2"/>
    <w:rsid w:val="00443628"/>
    <w:rsid w:val="00461E7D"/>
    <w:rsid w:val="00464408"/>
    <w:rsid w:val="00494ED6"/>
    <w:rsid w:val="0049535E"/>
    <w:rsid w:val="004A41C3"/>
    <w:rsid w:val="004D011B"/>
    <w:rsid w:val="004F1F46"/>
    <w:rsid w:val="0055562F"/>
    <w:rsid w:val="00571C54"/>
    <w:rsid w:val="005D6BCC"/>
    <w:rsid w:val="00614EF5"/>
    <w:rsid w:val="00630933"/>
    <w:rsid w:val="00686DF2"/>
    <w:rsid w:val="006A3DA9"/>
    <w:rsid w:val="006B3254"/>
    <w:rsid w:val="007E67FB"/>
    <w:rsid w:val="00812712"/>
    <w:rsid w:val="008474E9"/>
    <w:rsid w:val="00956E9D"/>
    <w:rsid w:val="009971FC"/>
    <w:rsid w:val="00A15917"/>
    <w:rsid w:val="00A37F3F"/>
    <w:rsid w:val="00A93942"/>
    <w:rsid w:val="00A963A8"/>
    <w:rsid w:val="00AA34E5"/>
    <w:rsid w:val="00AC04C2"/>
    <w:rsid w:val="00AE723B"/>
    <w:rsid w:val="00B52B84"/>
    <w:rsid w:val="00B76236"/>
    <w:rsid w:val="00BE0DFC"/>
    <w:rsid w:val="00BF620A"/>
    <w:rsid w:val="00C17F7B"/>
    <w:rsid w:val="00C451F2"/>
    <w:rsid w:val="00CB167D"/>
    <w:rsid w:val="00D2060C"/>
    <w:rsid w:val="00D2206B"/>
    <w:rsid w:val="00D976A8"/>
    <w:rsid w:val="00E448E8"/>
    <w:rsid w:val="00E50684"/>
    <w:rsid w:val="00EE2461"/>
    <w:rsid w:val="00F431A9"/>
    <w:rsid w:val="00FB7785"/>
    <w:rsid w:val="00FD1F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EF704"/>
  <w15:chartTrackingRefBased/>
  <w15:docId w15:val="{3418FC69-9788-4B5B-8678-9B1F400C5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20A"/>
    <w:pPr>
      <w:tabs>
        <w:tab w:val="left" w:pos="567"/>
        <w:tab w:val="left" w:pos="1134"/>
        <w:tab w:val="left" w:pos="1814"/>
        <w:tab w:val="left" w:pos="2665"/>
      </w:tabs>
      <w:bidi/>
      <w:spacing w:after="0" w:line="360" w:lineRule="auto"/>
      <w:jc w:val="both"/>
    </w:pPr>
    <w:rPr>
      <w:rFonts w:ascii="Times New Roman" w:eastAsia="Times New Roman" w:hAnsi="Times New Roman" w:cs="David"/>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62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148</Words>
  <Characters>744</Characters>
  <Application>Microsoft Office Word</Application>
  <DocSecurity>0</DocSecurity>
  <Lines>6</Lines>
  <Paragraphs>1</Paragraphs>
  <ScaleCrop>false</ScaleCrop>
  <Company>BOI</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לירון בן עמוס</dc:creator>
  <cp:keywords/>
  <dc:description/>
  <cp:lastModifiedBy>לירון בן עמוס</cp:lastModifiedBy>
  <cp:revision>4</cp:revision>
  <dcterms:created xsi:type="dcterms:W3CDTF">2023-05-25T09:49:00Z</dcterms:created>
  <dcterms:modified xsi:type="dcterms:W3CDTF">2023-05-25T09:52:00Z</dcterms:modified>
</cp:coreProperties>
</file>