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B251E6" w:rsidRPr="0047193D" w:rsidTr="00C57314">
        <w:tc>
          <w:tcPr>
            <w:tcW w:w="3343" w:type="dxa"/>
            <w:tcBorders>
              <w:top w:val="nil"/>
              <w:left w:val="nil"/>
              <w:bottom w:val="nil"/>
              <w:right w:val="nil"/>
            </w:tcBorders>
            <w:vAlign w:val="center"/>
          </w:tcPr>
          <w:p w:rsidR="00B251E6" w:rsidRPr="0047193D" w:rsidRDefault="00B251E6" w:rsidP="00C57314">
            <w:pPr>
              <w:spacing w:line="480" w:lineRule="auto"/>
              <w:ind w:left="97"/>
              <w:jc w:val="center"/>
              <w:rPr>
                <w:rFonts w:cstheme="minorHAnsi"/>
                <w:b/>
                <w:bCs/>
                <w:sz w:val="24"/>
                <w:szCs w:val="24"/>
              </w:rPr>
            </w:pPr>
            <w:r w:rsidRPr="0047193D">
              <w:rPr>
                <w:rFonts w:cstheme="minorHAnsi"/>
                <w:b/>
                <w:bCs/>
                <w:sz w:val="24"/>
                <w:szCs w:val="24"/>
                <w:rtl/>
              </w:rPr>
              <w:t>בנק ישראל</w:t>
            </w:r>
          </w:p>
          <w:p w:rsidR="00B251E6" w:rsidRPr="0047193D" w:rsidRDefault="00B251E6" w:rsidP="00C57314">
            <w:pPr>
              <w:spacing w:line="480" w:lineRule="auto"/>
              <w:ind w:left="97" w:right="-101"/>
              <w:jc w:val="center"/>
              <w:rPr>
                <w:rFonts w:cstheme="minorHAnsi"/>
                <w:sz w:val="24"/>
                <w:szCs w:val="24"/>
              </w:rPr>
            </w:pPr>
            <w:r w:rsidRPr="0047193D">
              <w:rPr>
                <w:rFonts w:cstheme="minorHAnsi"/>
                <w:sz w:val="24"/>
                <w:szCs w:val="24"/>
                <w:rtl/>
              </w:rPr>
              <w:t>דוברות והסברה כלכלית</w:t>
            </w:r>
          </w:p>
        </w:tc>
        <w:tc>
          <w:tcPr>
            <w:tcW w:w="2596" w:type="dxa"/>
            <w:tcBorders>
              <w:top w:val="nil"/>
              <w:left w:val="nil"/>
              <w:bottom w:val="nil"/>
              <w:right w:val="nil"/>
            </w:tcBorders>
            <w:shd w:val="clear" w:color="auto" w:fill="FFFFFF" w:themeFill="background1"/>
          </w:tcPr>
          <w:p w:rsidR="00B251E6" w:rsidRPr="0047193D" w:rsidRDefault="00B251E6" w:rsidP="00C57314">
            <w:pPr>
              <w:jc w:val="center"/>
              <w:rPr>
                <w:rFonts w:cstheme="minorHAnsi"/>
                <w:sz w:val="24"/>
                <w:szCs w:val="24"/>
              </w:rPr>
            </w:pPr>
            <w:r w:rsidRPr="0047193D">
              <w:rPr>
                <w:rFonts w:cstheme="minorHAnsi"/>
                <w:noProof/>
                <w:sz w:val="24"/>
                <w:szCs w:val="24"/>
              </w:rPr>
              <w:drawing>
                <wp:inline distT="0" distB="0" distL="0" distR="0" wp14:anchorId="17CA7416" wp14:editId="4CD43DC4">
                  <wp:extent cx="945515" cy="945515"/>
                  <wp:effectExtent l="0" t="0" r="6985" b="6985"/>
                  <wp:docPr id="2" name="תמונה 2"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8A256F" w:rsidRPr="00741C80" w:rsidRDefault="00B251E6" w:rsidP="008A256F">
            <w:pPr>
              <w:spacing w:line="480" w:lineRule="auto"/>
              <w:jc w:val="right"/>
              <w:rPr>
                <w:rFonts w:cstheme="minorHAnsi"/>
                <w:sz w:val="24"/>
                <w:szCs w:val="24"/>
                <w:rtl/>
              </w:rPr>
            </w:pPr>
            <w:r w:rsidRPr="0047193D">
              <w:rPr>
                <w:rFonts w:cstheme="minorHAnsi"/>
                <w:sz w:val="24"/>
                <w:szCs w:val="24"/>
                <w:rtl/>
              </w:rPr>
              <w:t>‏</w:t>
            </w:r>
            <w:r w:rsidR="008A256F" w:rsidRPr="00741C80">
              <w:rPr>
                <w:rFonts w:cstheme="minorHAnsi"/>
                <w:sz w:val="24"/>
                <w:szCs w:val="24"/>
                <w:rtl/>
              </w:rPr>
              <w:t xml:space="preserve"> </w:t>
            </w:r>
            <w:r w:rsidR="008A256F" w:rsidRPr="00741C80">
              <w:rPr>
                <w:rFonts w:cstheme="minorHAnsi"/>
                <w:sz w:val="24"/>
                <w:szCs w:val="24"/>
                <w:rtl/>
              </w:rPr>
              <w:t xml:space="preserve">ירושלים, </w:t>
            </w:r>
            <w:r w:rsidR="008A256F" w:rsidRPr="00741C80">
              <w:rPr>
                <w:rFonts w:cstheme="minorHAnsi"/>
                <w:sz w:val="24"/>
                <w:szCs w:val="24"/>
                <w:rtl/>
              </w:rPr>
              <w:fldChar w:fldCharType="begin"/>
            </w:r>
            <w:r w:rsidR="008A256F" w:rsidRPr="00741C80">
              <w:rPr>
                <w:rFonts w:cstheme="minorHAnsi"/>
                <w:sz w:val="24"/>
                <w:szCs w:val="24"/>
                <w:rtl/>
              </w:rPr>
              <w:instrText xml:space="preserve"> </w:instrText>
            </w:r>
            <w:r w:rsidR="008A256F" w:rsidRPr="00741C80">
              <w:rPr>
                <w:rFonts w:cstheme="minorHAnsi"/>
                <w:sz w:val="24"/>
                <w:szCs w:val="24"/>
              </w:rPr>
              <w:instrText>DATE</w:instrText>
            </w:r>
            <w:r w:rsidR="008A256F" w:rsidRPr="00741C80">
              <w:rPr>
                <w:rFonts w:cstheme="minorHAnsi"/>
                <w:sz w:val="24"/>
                <w:szCs w:val="24"/>
                <w:rtl/>
              </w:rPr>
              <w:instrText xml:space="preserve"> \@ "</w:instrText>
            </w:r>
            <w:r w:rsidR="008A256F" w:rsidRPr="00741C80">
              <w:rPr>
                <w:rFonts w:cstheme="minorHAnsi"/>
                <w:sz w:val="24"/>
                <w:szCs w:val="24"/>
              </w:rPr>
              <w:instrText>d MMMM, yyyy" \h</w:instrText>
            </w:r>
            <w:r w:rsidR="008A256F" w:rsidRPr="00741C80">
              <w:rPr>
                <w:rFonts w:cstheme="minorHAnsi"/>
                <w:sz w:val="24"/>
                <w:szCs w:val="24"/>
                <w:rtl/>
              </w:rPr>
              <w:instrText xml:space="preserve"> </w:instrText>
            </w:r>
            <w:r w:rsidR="008A256F" w:rsidRPr="00741C80">
              <w:rPr>
                <w:rFonts w:cstheme="minorHAnsi"/>
                <w:sz w:val="24"/>
                <w:szCs w:val="24"/>
                <w:rtl/>
              </w:rPr>
              <w:fldChar w:fldCharType="separate"/>
            </w:r>
            <w:r w:rsidR="008A256F">
              <w:rPr>
                <w:rFonts w:cstheme="minorHAnsi"/>
                <w:noProof/>
                <w:sz w:val="24"/>
                <w:szCs w:val="24"/>
                <w:rtl/>
              </w:rPr>
              <w:t>‏כ"ה תשרי, תשפ"ה</w:t>
            </w:r>
            <w:r w:rsidR="008A256F" w:rsidRPr="00741C80">
              <w:rPr>
                <w:rFonts w:cstheme="minorHAnsi"/>
                <w:sz w:val="24"/>
                <w:szCs w:val="24"/>
                <w:rtl/>
              </w:rPr>
              <w:fldChar w:fldCharType="end"/>
            </w:r>
          </w:p>
          <w:p w:rsidR="00B251E6" w:rsidRPr="0047193D" w:rsidRDefault="008A256F" w:rsidP="008A256F">
            <w:pPr>
              <w:spacing w:line="480" w:lineRule="auto"/>
              <w:jc w:val="right"/>
              <w:rPr>
                <w:rFonts w:cstheme="minorHAnsi"/>
                <w:sz w:val="24"/>
                <w:szCs w:val="24"/>
              </w:rPr>
            </w:pPr>
            <w:r w:rsidRPr="00741C80">
              <w:rPr>
                <w:rFonts w:cstheme="minorHAnsi"/>
                <w:sz w:val="24"/>
                <w:szCs w:val="24"/>
                <w:rtl/>
              </w:rPr>
              <w:fldChar w:fldCharType="begin"/>
            </w:r>
            <w:r w:rsidRPr="00741C80">
              <w:rPr>
                <w:rFonts w:cstheme="minorHAnsi"/>
                <w:sz w:val="24"/>
                <w:szCs w:val="24"/>
                <w:rtl/>
              </w:rPr>
              <w:instrText xml:space="preserve"> </w:instrText>
            </w:r>
            <w:r w:rsidRPr="00741C80">
              <w:rPr>
                <w:rFonts w:cstheme="minorHAnsi"/>
                <w:sz w:val="24"/>
                <w:szCs w:val="24"/>
              </w:rPr>
              <w:instrText>DATE</w:instrText>
            </w:r>
            <w:r w:rsidRPr="00741C80">
              <w:rPr>
                <w:rFonts w:cstheme="minorHAnsi"/>
                <w:sz w:val="24"/>
                <w:szCs w:val="24"/>
                <w:rtl/>
              </w:rPr>
              <w:instrText xml:space="preserve"> \@ "</w:instrText>
            </w:r>
            <w:r w:rsidRPr="00741C80">
              <w:rPr>
                <w:rFonts w:cstheme="minorHAnsi"/>
                <w:sz w:val="24"/>
                <w:szCs w:val="24"/>
              </w:rPr>
              <w:instrText>d MMMM, yyyy</w:instrText>
            </w:r>
            <w:r w:rsidRPr="00741C80">
              <w:rPr>
                <w:rFonts w:cstheme="minorHAnsi"/>
                <w:sz w:val="24"/>
                <w:szCs w:val="24"/>
                <w:rtl/>
              </w:rPr>
              <w:instrText xml:space="preserve">" </w:instrText>
            </w:r>
            <w:r w:rsidRPr="00741C80">
              <w:rPr>
                <w:rFonts w:cstheme="minorHAnsi"/>
                <w:sz w:val="24"/>
                <w:szCs w:val="24"/>
                <w:rtl/>
              </w:rPr>
              <w:fldChar w:fldCharType="separate"/>
            </w:r>
            <w:r>
              <w:rPr>
                <w:rFonts w:cstheme="minorHAnsi"/>
                <w:noProof/>
                <w:sz w:val="24"/>
                <w:szCs w:val="24"/>
                <w:rtl/>
              </w:rPr>
              <w:t>‏27 אוקטובר, 2024</w:t>
            </w:r>
            <w:r w:rsidRPr="00741C80">
              <w:rPr>
                <w:rFonts w:cstheme="minorHAnsi"/>
                <w:sz w:val="24"/>
                <w:szCs w:val="24"/>
                <w:rtl/>
              </w:rPr>
              <w:fldChar w:fldCharType="end"/>
            </w:r>
            <w:bookmarkStart w:id="0" w:name="_GoBack"/>
            <w:bookmarkEnd w:id="0"/>
          </w:p>
        </w:tc>
      </w:tr>
    </w:tbl>
    <w:p w:rsidR="00B251E6" w:rsidRPr="0047193D" w:rsidRDefault="00B251E6" w:rsidP="00B251E6">
      <w:pPr>
        <w:ind w:left="113"/>
        <w:rPr>
          <w:rFonts w:cstheme="minorHAnsi"/>
          <w:sz w:val="24"/>
          <w:szCs w:val="24"/>
          <w:highlight w:val="yellow"/>
          <w:rtl/>
        </w:rPr>
      </w:pPr>
    </w:p>
    <w:p w:rsidR="00B251E6" w:rsidRPr="0047193D" w:rsidRDefault="00B251E6" w:rsidP="00B251E6">
      <w:pPr>
        <w:spacing w:line="360" w:lineRule="auto"/>
        <w:jc w:val="both"/>
        <w:rPr>
          <w:rFonts w:cstheme="minorHAnsi"/>
          <w:color w:val="000000" w:themeColor="text1"/>
          <w:sz w:val="24"/>
          <w:szCs w:val="24"/>
          <w:rtl/>
        </w:rPr>
      </w:pPr>
      <w:r w:rsidRPr="0047193D">
        <w:rPr>
          <w:rFonts w:cstheme="minorHAnsi"/>
          <w:color w:val="000000" w:themeColor="text1"/>
          <w:sz w:val="24"/>
          <w:szCs w:val="24"/>
          <w:rtl/>
        </w:rPr>
        <w:t xml:space="preserve">הודעה לעיתונות: </w:t>
      </w:r>
    </w:p>
    <w:p w:rsidR="00B251E6" w:rsidRPr="0047193D" w:rsidRDefault="00B251E6" w:rsidP="00B251E6">
      <w:pPr>
        <w:jc w:val="center"/>
        <w:rPr>
          <w:rFonts w:cstheme="minorHAnsi"/>
          <w:b/>
          <w:bCs/>
          <w:sz w:val="24"/>
          <w:szCs w:val="24"/>
          <w:rtl/>
        </w:rPr>
      </w:pPr>
      <w:r w:rsidRPr="0047193D">
        <w:rPr>
          <w:rFonts w:cstheme="minorHAnsi"/>
          <w:b/>
          <w:bCs/>
          <w:sz w:val="24"/>
          <w:szCs w:val="24"/>
          <w:rtl/>
        </w:rPr>
        <w:t xml:space="preserve">מחקר חדש בבנק ישראל: </w:t>
      </w:r>
    </w:p>
    <w:p w:rsidR="00B251E6" w:rsidRPr="0047193D" w:rsidRDefault="002435FA" w:rsidP="00B251E6">
      <w:pPr>
        <w:jc w:val="center"/>
        <w:rPr>
          <w:rFonts w:cstheme="minorHAnsi"/>
          <w:b/>
          <w:bCs/>
          <w:sz w:val="24"/>
          <w:szCs w:val="24"/>
          <w:rtl/>
        </w:rPr>
      </w:pPr>
      <w:r>
        <w:rPr>
          <w:rFonts w:cstheme="minorHAnsi" w:hint="cs"/>
          <w:b/>
          <w:bCs/>
          <w:sz w:val="24"/>
          <w:szCs w:val="24"/>
          <w:rtl/>
        </w:rPr>
        <w:t xml:space="preserve">מדיניות מוניטרית ושוק קרנות הנאמנות </w:t>
      </w:r>
      <w:r>
        <w:rPr>
          <w:rFonts w:cstheme="minorHAnsi"/>
          <w:b/>
          <w:bCs/>
          <w:sz w:val="24"/>
          <w:szCs w:val="24"/>
          <w:rtl/>
        </w:rPr>
        <w:t>–</w:t>
      </w:r>
      <w:r>
        <w:rPr>
          <w:rFonts w:cstheme="minorHAnsi" w:hint="cs"/>
          <w:b/>
          <w:bCs/>
          <w:sz w:val="24"/>
          <w:szCs w:val="24"/>
          <w:rtl/>
        </w:rPr>
        <w:t xml:space="preserve"> מימון ונזילות.</w:t>
      </w:r>
    </w:p>
    <w:p w:rsidR="00622F1B" w:rsidRPr="00995F30" w:rsidRDefault="00622F1B" w:rsidP="003E0093">
      <w:pPr>
        <w:pStyle w:val="ListParagraph"/>
        <w:numPr>
          <w:ilvl w:val="0"/>
          <w:numId w:val="1"/>
        </w:numPr>
        <w:spacing w:line="240" w:lineRule="auto"/>
        <w:ind w:left="714" w:hanging="357"/>
        <w:contextualSpacing w:val="0"/>
        <w:jc w:val="both"/>
        <w:rPr>
          <w:rFonts w:cstheme="minorHAnsi"/>
          <w:b/>
          <w:bCs/>
          <w:sz w:val="24"/>
          <w:szCs w:val="24"/>
        </w:rPr>
      </w:pPr>
      <w:r w:rsidRPr="00D54DE9">
        <w:rPr>
          <w:rFonts w:cstheme="minorHAnsi" w:hint="cs"/>
          <w:b/>
          <w:bCs/>
          <w:sz w:val="24"/>
          <w:szCs w:val="24"/>
          <w:rtl/>
        </w:rPr>
        <w:t>עלייה בריבית בנק ישראל מתבטאת בשינוי הרכב תיק הנכסים של הציבור תוך הקטנת חלקם של הנכסים המסוכנים</w:t>
      </w:r>
      <w:r w:rsidR="00D54DE9" w:rsidRPr="00D54DE9">
        <w:rPr>
          <w:rFonts w:cstheme="minorHAnsi" w:hint="cs"/>
          <w:b/>
          <w:bCs/>
          <w:sz w:val="24"/>
          <w:szCs w:val="24"/>
          <w:rtl/>
        </w:rPr>
        <w:t xml:space="preserve">. משקיעים פודים </w:t>
      </w:r>
      <w:r w:rsidR="00AB610A">
        <w:rPr>
          <w:rFonts w:cstheme="minorHAnsi" w:hint="cs"/>
          <w:b/>
          <w:bCs/>
          <w:sz w:val="24"/>
          <w:szCs w:val="24"/>
          <w:rtl/>
        </w:rPr>
        <w:t xml:space="preserve">השקעות </w:t>
      </w:r>
      <w:r w:rsidR="00D54DE9" w:rsidRPr="00D54DE9">
        <w:rPr>
          <w:rFonts w:cstheme="minorHAnsi" w:hint="cs"/>
          <w:b/>
          <w:bCs/>
          <w:sz w:val="24"/>
          <w:szCs w:val="24"/>
          <w:rtl/>
        </w:rPr>
        <w:t xml:space="preserve">מקרנות המתמחות במניות ואג"ח, ומשקיעים </w:t>
      </w:r>
      <w:r w:rsidR="00AB610A">
        <w:rPr>
          <w:rFonts w:cstheme="minorHAnsi" w:hint="cs"/>
          <w:b/>
          <w:bCs/>
          <w:sz w:val="24"/>
          <w:szCs w:val="24"/>
          <w:rtl/>
        </w:rPr>
        <w:t>יותר</w:t>
      </w:r>
      <w:r w:rsidR="00AB610A" w:rsidRPr="00D54DE9">
        <w:rPr>
          <w:rFonts w:cstheme="minorHAnsi" w:hint="cs"/>
          <w:b/>
          <w:bCs/>
          <w:sz w:val="24"/>
          <w:szCs w:val="24"/>
          <w:rtl/>
        </w:rPr>
        <w:t xml:space="preserve"> </w:t>
      </w:r>
      <w:r w:rsidR="00D54DE9" w:rsidRPr="00D54DE9">
        <w:rPr>
          <w:rFonts w:cstheme="minorHAnsi" w:hint="cs"/>
          <w:b/>
          <w:bCs/>
          <w:sz w:val="24"/>
          <w:szCs w:val="24"/>
          <w:rtl/>
        </w:rPr>
        <w:t xml:space="preserve">בקרנות כספיות.  </w:t>
      </w:r>
    </w:p>
    <w:p w:rsidR="000416B1" w:rsidRDefault="003E0093" w:rsidP="003E0093">
      <w:pPr>
        <w:pStyle w:val="ListParagraph"/>
        <w:numPr>
          <w:ilvl w:val="0"/>
          <w:numId w:val="2"/>
        </w:numPr>
        <w:spacing w:line="240" w:lineRule="auto"/>
        <w:ind w:left="714" w:hanging="357"/>
        <w:contextualSpacing w:val="0"/>
        <w:jc w:val="both"/>
        <w:rPr>
          <w:rFonts w:cstheme="minorHAnsi"/>
          <w:b/>
          <w:bCs/>
          <w:sz w:val="24"/>
          <w:szCs w:val="24"/>
        </w:rPr>
      </w:pPr>
      <w:r w:rsidRPr="00D54DE9">
        <w:rPr>
          <w:rFonts w:cstheme="minorHAnsi" w:hint="cs"/>
          <w:b/>
          <w:bCs/>
          <w:sz w:val="24"/>
          <w:szCs w:val="24"/>
          <w:rtl/>
        </w:rPr>
        <w:t xml:space="preserve">עלייה בריבית </w:t>
      </w:r>
      <w:r>
        <w:rPr>
          <w:rFonts w:cstheme="minorHAnsi" w:hint="cs"/>
          <w:b/>
          <w:bCs/>
          <w:sz w:val="24"/>
          <w:szCs w:val="24"/>
          <w:rtl/>
        </w:rPr>
        <w:t xml:space="preserve">גורמת גם </w:t>
      </w:r>
      <w:r w:rsidR="00040F01">
        <w:rPr>
          <w:rFonts w:cstheme="minorHAnsi" w:hint="cs"/>
          <w:b/>
          <w:bCs/>
          <w:sz w:val="24"/>
          <w:szCs w:val="24"/>
          <w:rtl/>
        </w:rPr>
        <w:t>לירידה בנזילות</w:t>
      </w:r>
      <w:r w:rsidR="00187046">
        <w:rPr>
          <w:rFonts w:cstheme="minorHAnsi" w:hint="cs"/>
          <w:b/>
          <w:bCs/>
          <w:sz w:val="24"/>
          <w:szCs w:val="24"/>
          <w:rtl/>
        </w:rPr>
        <w:t xml:space="preserve"> בשוקי המניות </w:t>
      </w:r>
      <w:proofErr w:type="spellStart"/>
      <w:r w:rsidR="00187046">
        <w:rPr>
          <w:rFonts w:cstheme="minorHAnsi" w:hint="cs"/>
          <w:b/>
          <w:bCs/>
          <w:sz w:val="24"/>
          <w:szCs w:val="24"/>
          <w:rtl/>
        </w:rPr>
        <w:t>והאג"ח</w:t>
      </w:r>
      <w:proofErr w:type="spellEnd"/>
      <w:r>
        <w:rPr>
          <w:rFonts w:cstheme="minorHAnsi" w:hint="cs"/>
          <w:b/>
          <w:bCs/>
          <w:sz w:val="24"/>
          <w:szCs w:val="24"/>
          <w:rtl/>
        </w:rPr>
        <w:t>,</w:t>
      </w:r>
      <w:r w:rsidR="00187046">
        <w:rPr>
          <w:rFonts w:cstheme="minorHAnsi" w:hint="cs"/>
          <w:b/>
          <w:bCs/>
          <w:sz w:val="24"/>
          <w:szCs w:val="24"/>
          <w:rtl/>
        </w:rPr>
        <w:t xml:space="preserve"> </w:t>
      </w:r>
      <w:r w:rsidR="00040F01">
        <w:rPr>
          <w:rFonts w:cstheme="minorHAnsi" w:hint="cs"/>
          <w:b/>
          <w:bCs/>
          <w:sz w:val="24"/>
          <w:szCs w:val="24"/>
          <w:rtl/>
        </w:rPr>
        <w:t xml:space="preserve">אך </w:t>
      </w:r>
      <w:r>
        <w:rPr>
          <w:rFonts w:cstheme="minorHAnsi" w:hint="cs"/>
          <w:b/>
          <w:bCs/>
          <w:sz w:val="24"/>
          <w:szCs w:val="24"/>
          <w:rtl/>
        </w:rPr>
        <w:t xml:space="preserve">שינוי הרכב ההשקעה </w:t>
      </w:r>
      <w:r w:rsidR="00040F01">
        <w:rPr>
          <w:rFonts w:cstheme="minorHAnsi" w:hint="cs"/>
          <w:b/>
          <w:bCs/>
          <w:sz w:val="24"/>
          <w:szCs w:val="24"/>
          <w:rtl/>
        </w:rPr>
        <w:t xml:space="preserve">בקרנות אלו מסביר </w:t>
      </w:r>
      <w:r>
        <w:rPr>
          <w:rFonts w:cstheme="minorHAnsi" w:hint="cs"/>
          <w:b/>
          <w:bCs/>
          <w:sz w:val="24"/>
          <w:szCs w:val="24"/>
          <w:rtl/>
        </w:rPr>
        <w:t xml:space="preserve">רק חלק קטן מהירידה בנזילות. </w:t>
      </w:r>
      <w:r w:rsidR="00187046">
        <w:rPr>
          <w:rFonts w:cstheme="minorHAnsi" w:hint="cs"/>
          <w:b/>
          <w:bCs/>
          <w:sz w:val="24"/>
          <w:szCs w:val="24"/>
          <w:rtl/>
        </w:rPr>
        <w:t xml:space="preserve"> </w:t>
      </w:r>
    </w:p>
    <w:p w:rsidR="0067108C" w:rsidRDefault="0067108C" w:rsidP="000416B1">
      <w:pPr>
        <w:pStyle w:val="ListParagraph"/>
        <w:numPr>
          <w:ilvl w:val="0"/>
          <w:numId w:val="2"/>
        </w:numPr>
        <w:spacing w:line="240" w:lineRule="auto"/>
        <w:ind w:left="714" w:hanging="357"/>
        <w:contextualSpacing w:val="0"/>
        <w:jc w:val="both"/>
        <w:rPr>
          <w:rFonts w:cstheme="minorHAnsi"/>
          <w:b/>
          <w:bCs/>
          <w:sz w:val="24"/>
          <w:szCs w:val="24"/>
        </w:rPr>
      </w:pPr>
      <w:r>
        <w:rPr>
          <w:rFonts w:cstheme="minorHAnsi" w:hint="cs"/>
          <w:b/>
          <w:bCs/>
          <w:sz w:val="24"/>
          <w:szCs w:val="24"/>
          <w:rtl/>
        </w:rPr>
        <w:t xml:space="preserve">בעוד קרנות הנאמנות מוכרות אגח ממשלתי, אגח </w:t>
      </w:r>
      <w:proofErr w:type="spellStart"/>
      <w:r>
        <w:rPr>
          <w:rFonts w:cstheme="minorHAnsi" w:hint="cs"/>
          <w:b/>
          <w:bCs/>
          <w:sz w:val="24"/>
          <w:szCs w:val="24"/>
          <w:rtl/>
        </w:rPr>
        <w:t>קונצרני</w:t>
      </w:r>
      <w:proofErr w:type="spellEnd"/>
      <w:r>
        <w:rPr>
          <w:rFonts w:cstheme="minorHAnsi" w:hint="cs"/>
          <w:b/>
          <w:bCs/>
          <w:sz w:val="24"/>
          <w:szCs w:val="24"/>
          <w:rtl/>
        </w:rPr>
        <w:t xml:space="preserve"> ומניות בתגובה לעליית ריבית, בשל הפדיונות של מחזיקי הקרנות, המשקיעים המוסדיים פועלים בכיוון ההפוך וקונים נכסים אלו בתגובה לעליית ריבית.</w:t>
      </w:r>
    </w:p>
    <w:p w:rsidR="00622F1B" w:rsidRDefault="00622F1B" w:rsidP="00D54DE9">
      <w:pPr>
        <w:pStyle w:val="ListParagraph"/>
        <w:ind w:left="1440"/>
        <w:jc w:val="both"/>
        <w:rPr>
          <w:rFonts w:cstheme="minorHAnsi"/>
          <w:sz w:val="24"/>
          <w:szCs w:val="24"/>
        </w:rPr>
      </w:pPr>
    </w:p>
    <w:p w:rsidR="00D54DE9" w:rsidRDefault="00D54DE9" w:rsidP="00D54DE9">
      <w:pPr>
        <w:pStyle w:val="ListParagraph"/>
        <w:ind w:left="1440"/>
        <w:jc w:val="both"/>
        <w:rPr>
          <w:rFonts w:cstheme="minorHAnsi"/>
          <w:sz w:val="24"/>
          <w:szCs w:val="24"/>
          <w:rtl/>
        </w:rPr>
      </w:pPr>
    </w:p>
    <w:p w:rsidR="007F30F5" w:rsidRPr="0047193D" w:rsidRDefault="00622F1B" w:rsidP="00F72AC1">
      <w:pPr>
        <w:pStyle w:val="ListParagraph"/>
        <w:spacing w:line="360" w:lineRule="auto"/>
        <w:jc w:val="both"/>
        <w:rPr>
          <w:rFonts w:cstheme="minorHAnsi"/>
          <w:sz w:val="24"/>
          <w:szCs w:val="24"/>
          <w:rtl/>
        </w:rPr>
      </w:pPr>
      <w:r>
        <w:rPr>
          <w:rFonts w:cstheme="minorHAnsi" w:hint="cs"/>
          <w:sz w:val="24"/>
          <w:szCs w:val="24"/>
          <w:rtl/>
        </w:rPr>
        <w:t xml:space="preserve">במחקר שערכו נעם בן זאב, ד"ר סיגל ריבון וד"ר רועי שטיין מחטיבת המחקר של בנק ישראל </w:t>
      </w:r>
      <w:r w:rsidR="00AB610A">
        <w:rPr>
          <w:rFonts w:cstheme="minorHAnsi" w:hint="cs"/>
          <w:sz w:val="24"/>
          <w:szCs w:val="24"/>
          <w:rtl/>
        </w:rPr>
        <w:t xml:space="preserve">הם בחנו את </w:t>
      </w:r>
      <w:r w:rsidR="002435FA">
        <w:rPr>
          <w:rFonts w:cstheme="minorHAnsi" w:hint="cs"/>
          <w:sz w:val="24"/>
          <w:szCs w:val="24"/>
          <w:rtl/>
        </w:rPr>
        <w:t xml:space="preserve">תגובת משקיעי קרנות הנאמנות לשינויים בריבית בנק ישראל, </w:t>
      </w:r>
      <w:r w:rsidR="0036709A">
        <w:rPr>
          <w:rFonts w:cstheme="minorHAnsi" w:hint="cs"/>
          <w:sz w:val="24"/>
          <w:szCs w:val="24"/>
          <w:rtl/>
        </w:rPr>
        <w:t>ו</w:t>
      </w:r>
      <w:r w:rsidR="00AB610A">
        <w:rPr>
          <w:rFonts w:cstheme="minorHAnsi" w:hint="cs"/>
          <w:sz w:val="24"/>
          <w:szCs w:val="24"/>
          <w:rtl/>
        </w:rPr>
        <w:t xml:space="preserve">את </w:t>
      </w:r>
      <w:r w:rsidR="002435FA">
        <w:rPr>
          <w:rFonts w:cstheme="minorHAnsi" w:hint="cs"/>
          <w:sz w:val="24"/>
          <w:szCs w:val="24"/>
          <w:rtl/>
        </w:rPr>
        <w:t>ההשפעות של תגובה זו על הנזילות בשוקי הנכסים הפיננסים. קרנות נאמנות מתוארות בספרות הכלכלית כמתווך פיננסי שעלול להעצים מגמות שליליות</w:t>
      </w:r>
      <w:r>
        <w:rPr>
          <w:rFonts w:cstheme="minorHAnsi" w:hint="cs"/>
          <w:sz w:val="24"/>
          <w:szCs w:val="24"/>
          <w:rtl/>
        </w:rPr>
        <w:t>. זאת כיון ש</w:t>
      </w:r>
      <w:r w:rsidR="002435FA">
        <w:rPr>
          <w:rFonts w:cstheme="minorHAnsi" w:hint="cs"/>
          <w:sz w:val="24"/>
          <w:szCs w:val="24"/>
          <w:rtl/>
        </w:rPr>
        <w:t xml:space="preserve">במקרים בהם </w:t>
      </w:r>
      <w:r>
        <w:rPr>
          <w:rFonts w:cstheme="minorHAnsi" w:hint="cs"/>
          <w:sz w:val="24"/>
          <w:szCs w:val="24"/>
          <w:rtl/>
        </w:rPr>
        <w:t xml:space="preserve">המשקיעים בקרנות הנאמנות פודים </w:t>
      </w:r>
      <w:r w:rsidR="00AB610A">
        <w:rPr>
          <w:rFonts w:cstheme="minorHAnsi" w:hint="cs"/>
          <w:sz w:val="24"/>
          <w:szCs w:val="24"/>
          <w:rtl/>
        </w:rPr>
        <w:t xml:space="preserve">את השקעותיהם </w:t>
      </w:r>
      <w:r>
        <w:rPr>
          <w:rFonts w:cstheme="minorHAnsi" w:hint="cs"/>
          <w:sz w:val="24"/>
          <w:szCs w:val="24"/>
          <w:rtl/>
        </w:rPr>
        <w:t>בהיקפים גדולים ומהירים,</w:t>
      </w:r>
      <w:r w:rsidR="002435FA">
        <w:rPr>
          <w:rFonts w:cstheme="minorHAnsi" w:hint="cs"/>
          <w:sz w:val="24"/>
          <w:szCs w:val="24"/>
          <w:rtl/>
        </w:rPr>
        <w:t xml:space="preserve"> עלול ל</w:t>
      </w:r>
      <w:r w:rsidR="00AB610A">
        <w:rPr>
          <w:rFonts w:cstheme="minorHAnsi" w:hint="cs"/>
          <w:sz w:val="24"/>
          <w:szCs w:val="24"/>
          <w:rtl/>
        </w:rPr>
        <w:t>היווצר</w:t>
      </w:r>
      <w:r w:rsidR="002435FA">
        <w:rPr>
          <w:rFonts w:cstheme="minorHAnsi" w:hint="cs"/>
          <w:sz w:val="24"/>
          <w:szCs w:val="24"/>
          <w:rtl/>
        </w:rPr>
        <w:t xml:space="preserve"> מחסור בנזילות בשוקי הנכסים (למשל, מניות ואג"ח). </w:t>
      </w:r>
      <w:r>
        <w:rPr>
          <w:rFonts w:cstheme="minorHAnsi" w:hint="cs"/>
          <w:sz w:val="24"/>
          <w:szCs w:val="24"/>
          <w:rtl/>
        </w:rPr>
        <w:t xml:space="preserve">תופעה כזו, נצפתה למשל בתחילת מגפת הקורונה. </w:t>
      </w:r>
      <w:r w:rsidR="002435FA">
        <w:rPr>
          <w:rFonts w:cstheme="minorHAnsi" w:hint="cs"/>
          <w:sz w:val="24"/>
          <w:szCs w:val="24"/>
          <w:rtl/>
        </w:rPr>
        <w:t xml:space="preserve">במסגרת המחקר נבדק האם שינויי ריבית עשויים לגרום לפדיונות </w:t>
      </w:r>
      <w:r>
        <w:rPr>
          <w:rFonts w:cstheme="minorHAnsi" w:hint="cs"/>
          <w:sz w:val="24"/>
          <w:szCs w:val="24"/>
          <w:rtl/>
        </w:rPr>
        <w:t>בהיקף שעשוי להשפיע</w:t>
      </w:r>
      <w:r w:rsidR="002435FA">
        <w:rPr>
          <w:rFonts w:cstheme="minorHAnsi" w:hint="cs"/>
          <w:sz w:val="24"/>
          <w:szCs w:val="24"/>
          <w:rtl/>
        </w:rPr>
        <w:t xml:space="preserve"> באופן מהותי על הנזילות בשווקים. </w:t>
      </w:r>
      <w:r w:rsidR="00AB610A">
        <w:rPr>
          <w:rFonts w:cstheme="minorHAnsi" w:hint="cs"/>
          <w:sz w:val="24"/>
          <w:szCs w:val="24"/>
          <w:rtl/>
        </w:rPr>
        <w:t>החוקרים מוצאים</w:t>
      </w:r>
      <w:r w:rsidR="00D54DE9">
        <w:rPr>
          <w:rFonts w:cstheme="minorHAnsi" w:hint="cs"/>
          <w:sz w:val="24"/>
          <w:szCs w:val="24"/>
          <w:rtl/>
        </w:rPr>
        <w:t xml:space="preserve">, באמצעות שימוש בנתונים יומיים של גיוסים ופדיונות מקרנות הנאמנות, כי העלאת ריבית פועלת למעבר של המשקיעים בקרנות הנאמנות, </w:t>
      </w:r>
      <w:r w:rsidR="00F72AC1">
        <w:rPr>
          <w:rFonts w:cstheme="minorHAnsi" w:hint="cs"/>
          <w:sz w:val="24"/>
          <w:szCs w:val="24"/>
          <w:rtl/>
        </w:rPr>
        <w:t xml:space="preserve">שהם בעיקר משקי בית, </w:t>
      </w:r>
      <w:r w:rsidR="00D54DE9">
        <w:rPr>
          <w:rFonts w:cstheme="minorHAnsi" w:hint="cs"/>
          <w:sz w:val="24"/>
          <w:szCs w:val="24"/>
          <w:rtl/>
        </w:rPr>
        <w:t xml:space="preserve">מקרנות נאמנות המתמחות באג"ח ממשלתי </w:t>
      </w:r>
      <w:proofErr w:type="spellStart"/>
      <w:r w:rsidR="00D54DE9">
        <w:rPr>
          <w:rFonts w:cstheme="minorHAnsi" w:hint="cs"/>
          <w:sz w:val="24"/>
          <w:szCs w:val="24"/>
          <w:rtl/>
        </w:rPr>
        <w:t>וקונצרני</w:t>
      </w:r>
      <w:proofErr w:type="spellEnd"/>
      <w:r w:rsidR="00D54DE9">
        <w:rPr>
          <w:rFonts w:cstheme="minorHAnsi" w:hint="cs"/>
          <w:sz w:val="24"/>
          <w:szCs w:val="24"/>
          <w:rtl/>
        </w:rPr>
        <w:t xml:space="preserve"> ובמניות, לקרנות כספיות. עוד נמצא כי העלאת הריבית מתבטאת גם בפגיעה בנזילות בשווקים של נכסים אלו, </w:t>
      </w:r>
      <w:r w:rsidR="00F72AC1">
        <w:rPr>
          <w:rFonts w:cstheme="minorHAnsi" w:hint="cs"/>
          <w:sz w:val="24"/>
          <w:szCs w:val="24"/>
          <w:rtl/>
        </w:rPr>
        <w:t xml:space="preserve">המתבטאת בין השאר בעליית </w:t>
      </w:r>
      <w:proofErr w:type="spellStart"/>
      <w:r w:rsidR="00F72AC1">
        <w:rPr>
          <w:rFonts w:cstheme="minorHAnsi" w:hint="cs"/>
          <w:sz w:val="24"/>
          <w:szCs w:val="24"/>
          <w:rtl/>
        </w:rPr>
        <w:t>המירווח</w:t>
      </w:r>
      <w:proofErr w:type="spellEnd"/>
      <w:r w:rsidR="00F72AC1">
        <w:rPr>
          <w:rFonts w:cstheme="minorHAnsi" w:hint="cs"/>
          <w:sz w:val="24"/>
          <w:szCs w:val="24"/>
          <w:rtl/>
        </w:rPr>
        <w:t xml:space="preserve"> בין מחיר הקניה והמכירה (</w:t>
      </w:r>
      <w:r w:rsidR="00F72AC1">
        <w:rPr>
          <w:rFonts w:cstheme="minorHAnsi"/>
          <w:sz w:val="24"/>
          <w:szCs w:val="24"/>
        </w:rPr>
        <w:t>bid ask spread</w:t>
      </w:r>
      <w:r w:rsidR="00F72AC1">
        <w:rPr>
          <w:rFonts w:cstheme="minorHAnsi" w:hint="cs"/>
          <w:sz w:val="24"/>
          <w:szCs w:val="24"/>
          <w:rtl/>
        </w:rPr>
        <w:t xml:space="preserve">) </w:t>
      </w:r>
      <w:r w:rsidR="00D54DE9">
        <w:rPr>
          <w:rFonts w:cstheme="minorHAnsi" w:hint="cs"/>
          <w:sz w:val="24"/>
          <w:szCs w:val="24"/>
          <w:rtl/>
        </w:rPr>
        <w:t xml:space="preserve">אולם תרומתן של התנועות מקרנות הנאמנות </w:t>
      </w:r>
      <w:r w:rsidR="00F72AC1">
        <w:rPr>
          <w:rFonts w:cstheme="minorHAnsi" w:hint="cs"/>
          <w:sz w:val="24"/>
          <w:szCs w:val="24"/>
          <w:rtl/>
        </w:rPr>
        <w:t xml:space="preserve">לפגיעה בנזילות לאחר שינוי ריבית </w:t>
      </w:r>
      <w:r w:rsidR="002435FA">
        <w:rPr>
          <w:rFonts w:cstheme="minorHAnsi" w:hint="cs"/>
          <w:sz w:val="24"/>
          <w:szCs w:val="24"/>
          <w:rtl/>
        </w:rPr>
        <w:t>אינה גדולה.</w:t>
      </w:r>
    </w:p>
    <w:p w:rsidR="00BE4FA8" w:rsidRPr="0047193D" w:rsidRDefault="00BE4FA8" w:rsidP="007F30F5">
      <w:pPr>
        <w:pStyle w:val="ListParagraph"/>
        <w:spacing w:line="360" w:lineRule="auto"/>
        <w:jc w:val="both"/>
        <w:rPr>
          <w:rFonts w:cstheme="minorHAnsi"/>
          <w:sz w:val="24"/>
          <w:szCs w:val="24"/>
          <w:rtl/>
        </w:rPr>
      </w:pPr>
    </w:p>
    <w:p w:rsidR="0031769C" w:rsidRDefault="0031769C" w:rsidP="00187046">
      <w:pPr>
        <w:pStyle w:val="ListParagraph"/>
        <w:spacing w:line="360" w:lineRule="auto"/>
        <w:jc w:val="both"/>
        <w:rPr>
          <w:rFonts w:cstheme="minorHAnsi"/>
          <w:sz w:val="24"/>
          <w:szCs w:val="24"/>
          <w:rtl/>
        </w:rPr>
      </w:pPr>
      <w:r>
        <w:rPr>
          <w:rFonts w:cstheme="minorHAnsi" w:hint="cs"/>
          <w:sz w:val="24"/>
          <w:szCs w:val="24"/>
          <w:rtl/>
        </w:rPr>
        <w:lastRenderedPageBreak/>
        <w:t xml:space="preserve">קרנות הנאמנות מאפשרות למשקיעים בהן לפדות את כספם בכל יום נתון, ובכך הן שונות ממתווכים פיננסים אחרים כגון בנקים, קרנות פנסיה או חברות ביטוח. כאשר משקיעים רבים פודים את כספם מקרנות הנאמנות בבת אחת, מנהלי הקרנות נאלצים למכור את הנכסים הפיננסים בהם הן מחזיקות, על מנת לקבל בתמורה מזומן אותו יוכלו לחלק למשקיעים. מכירה שכזו עשויה לייצר לחץ בשוקי הנכסים הללו, הן בהיבט של המחיר והן בהיבט של נזילות </w:t>
      </w:r>
      <w:r>
        <w:rPr>
          <w:rFonts w:cstheme="minorHAnsi"/>
          <w:sz w:val="24"/>
          <w:szCs w:val="24"/>
          <w:rtl/>
        </w:rPr>
        <w:t>–</w:t>
      </w:r>
      <w:r>
        <w:rPr>
          <w:rFonts w:cstheme="minorHAnsi" w:hint="cs"/>
          <w:sz w:val="24"/>
          <w:szCs w:val="24"/>
          <w:rtl/>
        </w:rPr>
        <w:t xml:space="preserve"> כלומר היכולת למכור ולקנות נכסים </w:t>
      </w:r>
      <w:r w:rsidR="00187046">
        <w:rPr>
          <w:rFonts w:cstheme="minorHAnsi" w:hint="cs"/>
          <w:sz w:val="24"/>
          <w:szCs w:val="24"/>
          <w:rtl/>
        </w:rPr>
        <w:t>בהיקף מסוים</w:t>
      </w:r>
      <w:r w:rsidR="00F72AC1">
        <w:rPr>
          <w:rFonts w:cstheme="minorHAnsi" w:hint="cs"/>
          <w:sz w:val="24"/>
          <w:szCs w:val="24"/>
          <w:rtl/>
        </w:rPr>
        <w:t xml:space="preserve">, </w:t>
      </w:r>
      <w:r w:rsidR="00187046">
        <w:rPr>
          <w:rFonts w:cstheme="minorHAnsi" w:hint="cs"/>
          <w:sz w:val="24"/>
          <w:szCs w:val="24"/>
          <w:rtl/>
        </w:rPr>
        <w:t>ללא ה</w:t>
      </w:r>
      <w:r>
        <w:rPr>
          <w:rFonts w:cstheme="minorHAnsi" w:hint="cs"/>
          <w:sz w:val="24"/>
          <w:szCs w:val="24"/>
          <w:rtl/>
        </w:rPr>
        <w:t>שפע</w:t>
      </w:r>
      <w:r w:rsidR="00187046">
        <w:rPr>
          <w:rFonts w:cstheme="minorHAnsi" w:hint="cs"/>
          <w:sz w:val="24"/>
          <w:szCs w:val="24"/>
          <w:rtl/>
        </w:rPr>
        <w:t>ה</w:t>
      </w:r>
      <w:r>
        <w:rPr>
          <w:rFonts w:cstheme="minorHAnsi" w:hint="cs"/>
          <w:sz w:val="24"/>
          <w:szCs w:val="24"/>
          <w:rtl/>
        </w:rPr>
        <w:t xml:space="preserve"> </w:t>
      </w:r>
      <w:r w:rsidR="00187046">
        <w:rPr>
          <w:rFonts w:cstheme="minorHAnsi" w:hint="cs"/>
          <w:sz w:val="24"/>
          <w:szCs w:val="24"/>
          <w:rtl/>
        </w:rPr>
        <w:t xml:space="preserve">משמעותית </w:t>
      </w:r>
      <w:r>
        <w:rPr>
          <w:rFonts w:cstheme="minorHAnsi" w:hint="cs"/>
          <w:sz w:val="24"/>
          <w:szCs w:val="24"/>
          <w:rtl/>
        </w:rPr>
        <w:t xml:space="preserve">על המחיר. </w:t>
      </w:r>
    </w:p>
    <w:p w:rsidR="0044312B" w:rsidRDefault="0044312B" w:rsidP="0044312B">
      <w:pPr>
        <w:pStyle w:val="ListParagraph"/>
        <w:spacing w:line="360" w:lineRule="auto"/>
        <w:jc w:val="both"/>
        <w:rPr>
          <w:rFonts w:cstheme="minorHAnsi"/>
          <w:sz w:val="24"/>
          <w:szCs w:val="24"/>
          <w:rtl/>
        </w:rPr>
      </w:pPr>
    </w:p>
    <w:p w:rsidR="002432A3" w:rsidRDefault="00D264BE" w:rsidP="00F72AC1">
      <w:pPr>
        <w:pStyle w:val="ListParagraph"/>
        <w:spacing w:line="360" w:lineRule="auto"/>
        <w:jc w:val="both"/>
        <w:rPr>
          <w:rFonts w:cstheme="minorHAnsi"/>
          <w:sz w:val="24"/>
          <w:szCs w:val="24"/>
          <w:rtl/>
        </w:rPr>
      </w:pPr>
      <w:r>
        <w:rPr>
          <w:rFonts w:cstheme="minorHAnsi" w:hint="cs"/>
          <w:sz w:val="24"/>
          <w:szCs w:val="24"/>
          <w:rtl/>
        </w:rPr>
        <w:t>המחקר מצא ש</w:t>
      </w:r>
      <w:r w:rsidR="00D54DE9">
        <w:rPr>
          <w:rFonts w:cstheme="minorHAnsi" w:hint="cs"/>
          <w:sz w:val="24"/>
          <w:szCs w:val="24"/>
          <w:rtl/>
        </w:rPr>
        <w:t>לאחר העלאת ריבית (לא צפויה) על ידי בנק ישראל, ניתן לזהות פדיונות בסדר גודל יומי של כ-0.2%-0.4% מנכסי הקרנות המתמחות באג"ח ובמניות, המצטבר</w:t>
      </w:r>
      <w:r>
        <w:rPr>
          <w:rFonts w:cstheme="minorHAnsi" w:hint="cs"/>
          <w:sz w:val="24"/>
          <w:szCs w:val="24"/>
          <w:rtl/>
        </w:rPr>
        <w:t>ים ל</w:t>
      </w:r>
      <w:r w:rsidR="00D54DE9">
        <w:rPr>
          <w:rFonts w:cstheme="minorHAnsi" w:hint="cs"/>
          <w:sz w:val="24"/>
          <w:szCs w:val="24"/>
          <w:rtl/>
        </w:rPr>
        <w:t>כ-</w:t>
      </w:r>
      <w:r w:rsidR="00D54DE9" w:rsidRPr="00C62ABE">
        <w:rPr>
          <w:rFonts w:cstheme="minorHAnsi" w:hint="cs"/>
          <w:sz w:val="24"/>
          <w:szCs w:val="24"/>
          <w:rtl/>
        </w:rPr>
        <w:t>6-</w:t>
      </w:r>
      <w:r w:rsidR="0044312B">
        <w:rPr>
          <w:rFonts w:cstheme="minorHAnsi" w:hint="cs"/>
          <w:sz w:val="24"/>
          <w:szCs w:val="24"/>
          <w:rtl/>
        </w:rPr>
        <w:t>10</w:t>
      </w:r>
      <w:r w:rsidR="00D54DE9">
        <w:rPr>
          <w:rFonts w:cstheme="minorHAnsi" w:hint="cs"/>
          <w:sz w:val="24"/>
          <w:szCs w:val="24"/>
          <w:rtl/>
        </w:rPr>
        <w:t xml:space="preserve"> אחוזים מסך נכסיהן, ו</w:t>
      </w:r>
      <w:r>
        <w:rPr>
          <w:rFonts w:cstheme="minorHAnsi" w:hint="cs"/>
          <w:sz w:val="24"/>
          <w:szCs w:val="24"/>
          <w:rtl/>
        </w:rPr>
        <w:t>גיוסים</w:t>
      </w:r>
      <w:r w:rsidR="00D54DE9">
        <w:rPr>
          <w:rFonts w:cstheme="minorHAnsi" w:hint="cs"/>
          <w:sz w:val="24"/>
          <w:szCs w:val="24"/>
          <w:rtl/>
        </w:rPr>
        <w:t xml:space="preserve"> לקרנות הכספיות בהיקף של כאחוז </w:t>
      </w:r>
      <w:r w:rsidR="007B69EB">
        <w:rPr>
          <w:rFonts w:cstheme="minorHAnsi" w:hint="cs"/>
          <w:sz w:val="24"/>
          <w:szCs w:val="24"/>
          <w:rtl/>
        </w:rPr>
        <w:t xml:space="preserve">מנכסיהן </w:t>
      </w:r>
      <w:r w:rsidR="00D54DE9">
        <w:rPr>
          <w:rFonts w:cstheme="minorHAnsi" w:hint="cs"/>
          <w:sz w:val="24"/>
          <w:szCs w:val="24"/>
          <w:rtl/>
        </w:rPr>
        <w:t>מדי יום, המצטבר</w:t>
      </w:r>
      <w:r>
        <w:rPr>
          <w:rFonts w:cstheme="minorHAnsi" w:hint="cs"/>
          <w:sz w:val="24"/>
          <w:szCs w:val="24"/>
          <w:rtl/>
        </w:rPr>
        <w:t>ים</w:t>
      </w:r>
      <w:r w:rsidR="00D54DE9">
        <w:rPr>
          <w:rFonts w:cstheme="minorHAnsi" w:hint="cs"/>
          <w:sz w:val="24"/>
          <w:szCs w:val="24"/>
          <w:rtl/>
        </w:rPr>
        <w:t xml:space="preserve"> לכ-</w:t>
      </w:r>
      <w:r w:rsidR="00C62ABE">
        <w:rPr>
          <w:rFonts w:cstheme="minorHAnsi" w:hint="cs"/>
          <w:sz w:val="24"/>
          <w:szCs w:val="24"/>
          <w:rtl/>
        </w:rPr>
        <w:t xml:space="preserve">30% </w:t>
      </w:r>
      <w:r w:rsidR="00D54DE9">
        <w:rPr>
          <w:rFonts w:cstheme="minorHAnsi" w:hint="cs"/>
          <w:sz w:val="24"/>
          <w:szCs w:val="24"/>
          <w:rtl/>
        </w:rPr>
        <w:t xml:space="preserve">סך </w:t>
      </w:r>
      <w:proofErr w:type="spellStart"/>
      <w:r w:rsidR="00D54DE9">
        <w:rPr>
          <w:rFonts w:cstheme="minorHAnsi" w:hint="cs"/>
          <w:sz w:val="24"/>
          <w:szCs w:val="24"/>
          <w:rtl/>
        </w:rPr>
        <w:t>הכל</w:t>
      </w:r>
      <w:proofErr w:type="spellEnd"/>
      <w:r w:rsidR="00F72AC1">
        <w:rPr>
          <w:rFonts w:cstheme="minorHAnsi" w:hint="cs"/>
          <w:sz w:val="24"/>
          <w:szCs w:val="24"/>
          <w:rtl/>
        </w:rPr>
        <w:t xml:space="preserve">, וגדולים בהיקפם </w:t>
      </w:r>
      <w:proofErr w:type="spellStart"/>
      <w:r w:rsidR="00F72AC1">
        <w:rPr>
          <w:rFonts w:cstheme="minorHAnsi" w:hint="cs"/>
          <w:sz w:val="24"/>
          <w:szCs w:val="24"/>
          <w:rtl/>
        </w:rPr>
        <w:t>השקלי</w:t>
      </w:r>
      <w:proofErr w:type="spellEnd"/>
      <w:r w:rsidR="00F72AC1">
        <w:rPr>
          <w:rFonts w:cstheme="minorHAnsi" w:hint="cs"/>
          <w:sz w:val="24"/>
          <w:szCs w:val="24"/>
          <w:rtl/>
        </w:rPr>
        <w:t xml:space="preserve"> מסך היציאה מקרנות </w:t>
      </w:r>
      <w:proofErr w:type="spellStart"/>
      <w:r w:rsidR="00F72AC1">
        <w:rPr>
          <w:rFonts w:cstheme="minorHAnsi" w:hint="cs"/>
          <w:sz w:val="24"/>
          <w:szCs w:val="24"/>
          <w:rtl/>
        </w:rPr>
        <w:t>האג"ח</w:t>
      </w:r>
      <w:proofErr w:type="spellEnd"/>
      <w:r w:rsidR="00F72AC1">
        <w:rPr>
          <w:rFonts w:cstheme="minorHAnsi" w:hint="cs"/>
          <w:sz w:val="24"/>
          <w:szCs w:val="24"/>
          <w:rtl/>
        </w:rPr>
        <w:t xml:space="preserve"> והמניות</w:t>
      </w:r>
      <w:r w:rsidR="00D54DE9">
        <w:rPr>
          <w:rFonts w:cstheme="minorHAnsi" w:hint="cs"/>
          <w:sz w:val="24"/>
          <w:szCs w:val="24"/>
          <w:rtl/>
        </w:rPr>
        <w:t>.</w:t>
      </w:r>
      <w:r w:rsidR="0036709A">
        <w:rPr>
          <w:rFonts w:cstheme="minorHAnsi" w:hint="cs"/>
          <w:sz w:val="24"/>
          <w:szCs w:val="24"/>
          <w:rtl/>
        </w:rPr>
        <w:t xml:space="preserve"> </w:t>
      </w:r>
      <w:r w:rsidR="00F72AC1">
        <w:rPr>
          <w:rFonts w:cstheme="minorHAnsi" w:hint="cs"/>
          <w:sz w:val="24"/>
          <w:szCs w:val="24"/>
          <w:rtl/>
        </w:rPr>
        <w:t>כלומר, מקורם של הכספים שזורמים לקרנות הכספיות הוא גם בנכסים אחרים מעבר לאלו שבקרנות המתמחות</w:t>
      </w:r>
      <w:r w:rsidR="0036709A">
        <w:rPr>
          <w:rFonts w:cstheme="minorHAnsi" w:hint="cs"/>
          <w:sz w:val="24"/>
          <w:szCs w:val="24"/>
          <w:rtl/>
        </w:rPr>
        <w:t>(איור 1)</w:t>
      </w:r>
    </w:p>
    <w:p w:rsidR="00752BAA" w:rsidRPr="00752BAA" w:rsidRDefault="00752BAA" w:rsidP="00752BAA">
      <w:pPr>
        <w:pStyle w:val="ListParagraph"/>
        <w:spacing w:line="360" w:lineRule="auto"/>
        <w:jc w:val="both"/>
        <w:rPr>
          <w:rFonts w:cstheme="minorHAnsi"/>
          <w:sz w:val="24"/>
          <w:szCs w:val="24"/>
          <w:rtl/>
        </w:rPr>
      </w:pPr>
    </w:p>
    <w:p w:rsidR="00D264BE" w:rsidRDefault="002432A3" w:rsidP="0036709A">
      <w:pPr>
        <w:pStyle w:val="ListParagraph"/>
        <w:spacing w:line="360" w:lineRule="auto"/>
        <w:jc w:val="both"/>
        <w:rPr>
          <w:rFonts w:cstheme="minorHAnsi"/>
          <w:sz w:val="24"/>
          <w:szCs w:val="24"/>
          <w:rtl/>
        </w:rPr>
      </w:pPr>
      <w:r>
        <w:rPr>
          <w:rFonts w:cstheme="minorHAnsi" w:hint="cs"/>
          <w:sz w:val="24"/>
          <w:szCs w:val="24"/>
          <w:rtl/>
        </w:rPr>
        <w:t xml:space="preserve">על מנת להשלים את התמונה של תגובת המתווכים הפיננסים השונים, החוקרים השוו בין תגובת משקיעי קרנות הנאמנות לבין תגובת הגופים המוסדיים (קרנות הפנסיה, הגמל והביטוח) להעלאת ריבית. </w:t>
      </w:r>
      <w:r w:rsidR="00752BAA">
        <w:rPr>
          <w:rFonts w:cstheme="minorHAnsi" w:hint="cs"/>
          <w:sz w:val="24"/>
          <w:szCs w:val="24"/>
          <w:rtl/>
        </w:rPr>
        <w:t xml:space="preserve">לצורך ניתוח זה השתמשו החוקרים בנתונים חודשיים של </w:t>
      </w:r>
      <w:proofErr w:type="spellStart"/>
      <w:r w:rsidR="00752BAA">
        <w:rPr>
          <w:rFonts w:cstheme="minorHAnsi" w:hint="cs"/>
          <w:sz w:val="24"/>
          <w:szCs w:val="24"/>
          <w:rtl/>
        </w:rPr>
        <w:t>ההחזקות</w:t>
      </w:r>
      <w:proofErr w:type="spellEnd"/>
      <w:r w:rsidR="00752BAA">
        <w:rPr>
          <w:rFonts w:cstheme="minorHAnsi" w:hint="cs"/>
          <w:sz w:val="24"/>
          <w:szCs w:val="24"/>
          <w:rtl/>
        </w:rPr>
        <w:t xml:space="preserve"> של הגופים המוסדיים. </w:t>
      </w:r>
      <w:r>
        <w:rPr>
          <w:rFonts w:cstheme="minorHAnsi" w:hint="cs"/>
          <w:sz w:val="24"/>
          <w:szCs w:val="24"/>
          <w:rtl/>
        </w:rPr>
        <w:t xml:space="preserve">איור </w:t>
      </w:r>
      <w:r w:rsidR="0036709A">
        <w:rPr>
          <w:rFonts w:cstheme="minorHAnsi" w:hint="cs"/>
          <w:sz w:val="24"/>
          <w:szCs w:val="24"/>
          <w:rtl/>
        </w:rPr>
        <w:t xml:space="preserve">2 </w:t>
      </w:r>
      <w:r>
        <w:rPr>
          <w:rFonts w:cstheme="minorHAnsi" w:hint="cs"/>
          <w:sz w:val="24"/>
          <w:szCs w:val="24"/>
          <w:rtl/>
        </w:rPr>
        <w:t>מציג את התגובה המצטברת של גופים א</w:t>
      </w:r>
      <w:r w:rsidR="00752BAA">
        <w:rPr>
          <w:rFonts w:cstheme="minorHAnsi" w:hint="cs"/>
          <w:sz w:val="24"/>
          <w:szCs w:val="24"/>
          <w:rtl/>
        </w:rPr>
        <w:t>לו.</w:t>
      </w:r>
    </w:p>
    <w:p w:rsidR="00752BAA" w:rsidRDefault="00752BAA" w:rsidP="0067108C">
      <w:pPr>
        <w:pStyle w:val="ListParagraph"/>
        <w:spacing w:line="360" w:lineRule="auto"/>
        <w:jc w:val="both"/>
        <w:rPr>
          <w:rFonts w:cstheme="minorHAnsi"/>
          <w:sz w:val="24"/>
          <w:szCs w:val="24"/>
          <w:rtl/>
        </w:rPr>
      </w:pPr>
      <w:r>
        <w:rPr>
          <w:rFonts w:cstheme="minorHAnsi" w:hint="cs"/>
          <w:sz w:val="24"/>
          <w:szCs w:val="24"/>
          <w:rtl/>
        </w:rPr>
        <w:t xml:space="preserve">כפי שניתן ללמוד מאיור </w:t>
      </w:r>
      <w:r w:rsidR="00D264BE">
        <w:rPr>
          <w:rFonts w:cstheme="minorHAnsi" w:hint="cs"/>
          <w:sz w:val="24"/>
          <w:szCs w:val="24"/>
          <w:rtl/>
        </w:rPr>
        <w:t>זה</w:t>
      </w:r>
      <w:r>
        <w:rPr>
          <w:rFonts w:cstheme="minorHAnsi" w:hint="cs"/>
          <w:sz w:val="24"/>
          <w:szCs w:val="24"/>
          <w:rtl/>
        </w:rPr>
        <w:t xml:space="preserve">, המשקיעים המוסדיים פועלים באופן הפוך לקרנות הנאמנות בתגובה להעלאת הריבית. בעוד קרנות הנאמנות מוכרות אג"ח ומניות, ורוכשות מק"מ, </w:t>
      </w:r>
      <w:r w:rsidR="0067108C">
        <w:rPr>
          <w:rFonts w:cstheme="minorHAnsi" w:hint="cs"/>
          <w:sz w:val="24"/>
          <w:szCs w:val="24"/>
          <w:rtl/>
        </w:rPr>
        <w:t xml:space="preserve">כדי להתאים את נכסיהן לפדיונות של מחזיקי הקרנות, </w:t>
      </w:r>
      <w:r>
        <w:rPr>
          <w:rFonts w:cstheme="minorHAnsi" w:hint="cs"/>
          <w:sz w:val="24"/>
          <w:szCs w:val="24"/>
          <w:rtl/>
        </w:rPr>
        <w:t xml:space="preserve">הגופים המוסדיים מוכרים מק"מ (ובמידה פחות מובהקת סטטיסטית </w:t>
      </w:r>
      <w:r>
        <w:rPr>
          <w:rFonts w:cstheme="minorHAnsi"/>
          <w:sz w:val="24"/>
          <w:szCs w:val="24"/>
          <w:rtl/>
        </w:rPr>
        <w:t>–</w:t>
      </w:r>
      <w:r>
        <w:rPr>
          <w:rFonts w:cstheme="minorHAnsi" w:hint="cs"/>
          <w:sz w:val="24"/>
          <w:szCs w:val="24"/>
          <w:rtl/>
        </w:rPr>
        <w:t xml:space="preserve"> גם אג"ח ממשלתי),</w:t>
      </w:r>
      <w:r w:rsidR="00F72AC1">
        <w:rPr>
          <w:rFonts w:cstheme="minorHAnsi" w:hint="cs"/>
          <w:sz w:val="24"/>
          <w:szCs w:val="24"/>
          <w:rtl/>
        </w:rPr>
        <w:t xml:space="preserve"> </w:t>
      </w:r>
      <w:r>
        <w:rPr>
          <w:rFonts w:cstheme="minorHAnsi" w:hint="cs"/>
          <w:sz w:val="24"/>
          <w:szCs w:val="24"/>
          <w:rtl/>
        </w:rPr>
        <w:t xml:space="preserve">ורוכשים מניות ואג"ח </w:t>
      </w:r>
      <w:proofErr w:type="spellStart"/>
      <w:r>
        <w:rPr>
          <w:rFonts w:cstheme="minorHAnsi" w:hint="cs"/>
          <w:sz w:val="24"/>
          <w:szCs w:val="24"/>
          <w:rtl/>
        </w:rPr>
        <w:t>קונצרני</w:t>
      </w:r>
      <w:proofErr w:type="spellEnd"/>
      <w:r>
        <w:rPr>
          <w:rFonts w:cstheme="minorHAnsi" w:hint="cs"/>
          <w:sz w:val="24"/>
          <w:szCs w:val="24"/>
          <w:rtl/>
        </w:rPr>
        <w:t xml:space="preserve">. ממצא זה </w:t>
      </w:r>
      <w:r w:rsidR="0067108C">
        <w:rPr>
          <w:rFonts w:cstheme="minorHAnsi" w:hint="cs"/>
          <w:sz w:val="24"/>
          <w:szCs w:val="24"/>
          <w:rtl/>
        </w:rPr>
        <w:t>תואם את הגישה המקובלת</w:t>
      </w:r>
      <w:r>
        <w:rPr>
          <w:rFonts w:cstheme="minorHAnsi" w:hint="cs"/>
          <w:sz w:val="24"/>
          <w:szCs w:val="24"/>
          <w:rtl/>
        </w:rPr>
        <w:t xml:space="preserve"> </w:t>
      </w:r>
      <w:r w:rsidR="0067108C">
        <w:rPr>
          <w:rFonts w:cstheme="minorHAnsi" w:hint="cs"/>
          <w:sz w:val="24"/>
          <w:szCs w:val="24"/>
          <w:rtl/>
        </w:rPr>
        <w:t>ב</w:t>
      </w:r>
      <w:r>
        <w:rPr>
          <w:rFonts w:cstheme="minorHAnsi" w:hint="cs"/>
          <w:sz w:val="24"/>
          <w:szCs w:val="24"/>
          <w:rtl/>
        </w:rPr>
        <w:t xml:space="preserve">ספרות הכלכלית הדנה בהבדלים בין סוגים שונים של מתווכים פיננסים, ונובע בעיקר מכך שאופק ההשקעה של הגופים המוסדיים ארוך יותר. </w:t>
      </w:r>
    </w:p>
    <w:p w:rsidR="00752BAA" w:rsidRDefault="00752BAA" w:rsidP="001D1B3A">
      <w:pPr>
        <w:tabs>
          <w:tab w:val="left" w:pos="368"/>
        </w:tabs>
        <w:spacing w:after="0" w:line="360" w:lineRule="auto"/>
        <w:jc w:val="both"/>
        <w:rPr>
          <w:rFonts w:cstheme="minorHAnsi"/>
          <w:sz w:val="24"/>
          <w:szCs w:val="24"/>
          <w:rtl/>
        </w:rPr>
      </w:pPr>
    </w:p>
    <w:p w:rsidR="00752BAA" w:rsidRDefault="00752BAA" w:rsidP="001D1B3A">
      <w:pPr>
        <w:tabs>
          <w:tab w:val="left" w:pos="368"/>
        </w:tabs>
        <w:spacing w:after="0" w:line="360" w:lineRule="auto"/>
        <w:jc w:val="both"/>
        <w:rPr>
          <w:rFonts w:cstheme="minorHAnsi"/>
          <w:sz w:val="24"/>
          <w:szCs w:val="24"/>
          <w:rtl/>
        </w:rPr>
      </w:pPr>
    </w:p>
    <w:p w:rsidR="00752BAA" w:rsidRDefault="00752BAA" w:rsidP="001D1B3A">
      <w:pPr>
        <w:tabs>
          <w:tab w:val="left" w:pos="368"/>
        </w:tabs>
        <w:spacing w:after="0" w:line="360" w:lineRule="auto"/>
        <w:jc w:val="both"/>
        <w:rPr>
          <w:rFonts w:cstheme="minorHAnsi"/>
          <w:sz w:val="24"/>
          <w:szCs w:val="24"/>
          <w:rtl/>
        </w:rPr>
      </w:pPr>
    </w:p>
    <w:p w:rsidR="00752BAA" w:rsidRDefault="00752BAA" w:rsidP="001D1B3A">
      <w:pPr>
        <w:tabs>
          <w:tab w:val="left" w:pos="368"/>
        </w:tabs>
        <w:spacing w:after="0" w:line="360" w:lineRule="auto"/>
        <w:jc w:val="both"/>
        <w:rPr>
          <w:rFonts w:cstheme="minorHAnsi"/>
          <w:sz w:val="24"/>
          <w:szCs w:val="24"/>
          <w:rtl/>
        </w:rPr>
      </w:pPr>
    </w:p>
    <w:p w:rsidR="00752BAA" w:rsidRDefault="00752BAA" w:rsidP="001D1B3A">
      <w:pPr>
        <w:tabs>
          <w:tab w:val="left" w:pos="368"/>
        </w:tabs>
        <w:spacing w:after="0" w:line="360" w:lineRule="auto"/>
        <w:jc w:val="both"/>
        <w:rPr>
          <w:rFonts w:cstheme="minorHAnsi"/>
          <w:sz w:val="24"/>
          <w:szCs w:val="24"/>
          <w:rtl/>
        </w:rPr>
      </w:pPr>
    </w:p>
    <w:p w:rsidR="00752BAA" w:rsidRDefault="00752BAA" w:rsidP="001D1B3A">
      <w:pPr>
        <w:tabs>
          <w:tab w:val="left" w:pos="368"/>
        </w:tabs>
        <w:spacing w:after="0" w:line="360" w:lineRule="auto"/>
        <w:jc w:val="both"/>
        <w:rPr>
          <w:rFonts w:cstheme="minorHAnsi"/>
          <w:sz w:val="24"/>
          <w:szCs w:val="24"/>
          <w:rtl/>
        </w:rPr>
      </w:pPr>
    </w:p>
    <w:p w:rsidR="00752BAA" w:rsidRPr="0031769C" w:rsidRDefault="00752BAA" w:rsidP="0036709A">
      <w:pPr>
        <w:tabs>
          <w:tab w:val="left" w:pos="368"/>
        </w:tabs>
        <w:spacing w:after="0" w:line="360" w:lineRule="auto"/>
        <w:jc w:val="both"/>
        <w:rPr>
          <w:rFonts w:cstheme="minorHAnsi"/>
          <w:sz w:val="24"/>
          <w:szCs w:val="24"/>
          <w:u w:val="single"/>
          <w:rtl/>
        </w:rPr>
      </w:pPr>
      <w:r>
        <w:rPr>
          <w:rFonts w:cstheme="minorHAnsi" w:hint="cs"/>
          <w:sz w:val="24"/>
          <w:szCs w:val="24"/>
          <w:u w:val="single"/>
          <w:rtl/>
        </w:rPr>
        <w:lastRenderedPageBreak/>
        <w:t xml:space="preserve">איור </w:t>
      </w:r>
      <w:r w:rsidR="0036709A">
        <w:rPr>
          <w:rFonts w:cstheme="minorHAnsi" w:hint="cs"/>
          <w:sz w:val="24"/>
          <w:szCs w:val="24"/>
          <w:u w:val="single"/>
          <w:rtl/>
        </w:rPr>
        <w:t>1</w:t>
      </w:r>
      <w:r>
        <w:rPr>
          <w:rFonts w:cstheme="minorHAnsi" w:hint="cs"/>
          <w:sz w:val="24"/>
          <w:szCs w:val="24"/>
          <w:u w:val="single"/>
          <w:rtl/>
        </w:rPr>
        <w:t xml:space="preserve">: התגובה המצטברת של משקיעי קרנות הנאמנות בקטגוריות השונות להעלאת ריבית </w:t>
      </w:r>
    </w:p>
    <w:p w:rsidR="0031769C" w:rsidRDefault="0031769C" w:rsidP="001D1B3A">
      <w:pPr>
        <w:tabs>
          <w:tab w:val="left" w:pos="368"/>
        </w:tabs>
        <w:spacing w:after="0" w:line="360" w:lineRule="auto"/>
        <w:jc w:val="both"/>
        <w:rPr>
          <w:rFonts w:cstheme="minorHAnsi"/>
          <w:sz w:val="24"/>
          <w:szCs w:val="24"/>
          <w:rtl/>
        </w:rPr>
      </w:pPr>
      <w:r>
        <w:rPr>
          <w:rFonts w:ascii="Cambria" w:hAnsi="Cambria"/>
          <w:noProof/>
        </w:rPr>
        <w:drawing>
          <wp:inline distT="0" distB="0" distL="0" distR="0" wp14:anchorId="055276E0" wp14:editId="47A72DB7">
            <wp:extent cx="5029200" cy="3241675"/>
            <wp:effectExtent l="0" t="0" r="0" b="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t="5493" b="5861"/>
                    <a:stretch>
                      <a:fillRect/>
                    </a:stretch>
                  </pic:blipFill>
                  <pic:spPr bwMode="auto">
                    <a:xfrm>
                      <a:off x="0" y="0"/>
                      <a:ext cx="5029200" cy="3241675"/>
                    </a:xfrm>
                    <a:prstGeom prst="rect">
                      <a:avLst/>
                    </a:prstGeom>
                    <a:noFill/>
                    <a:ln>
                      <a:noFill/>
                    </a:ln>
                  </pic:spPr>
                </pic:pic>
              </a:graphicData>
            </a:graphic>
          </wp:inline>
        </w:drawing>
      </w:r>
    </w:p>
    <w:p w:rsidR="00752BAA" w:rsidRDefault="00752BAA" w:rsidP="001D1B3A">
      <w:pPr>
        <w:tabs>
          <w:tab w:val="left" w:pos="368"/>
        </w:tabs>
        <w:spacing w:after="0" w:line="360" w:lineRule="auto"/>
        <w:jc w:val="both"/>
        <w:rPr>
          <w:rFonts w:cstheme="minorHAnsi"/>
          <w:sz w:val="24"/>
          <w:szCs w:val="24"/>
          <w:rtl/>
        </w:rPr>
      </w:pPr>
    </w:p>
    <w:p w:rsidR="00752BAA" w:rsidRPr="00752BAA" w:rsidRDefault="00752BAA" w:rsidP="0036709A">
      <w:pPr>
        <w:tabs>
          <w:tab w:val="left" w:pos="368"/>
        </w:tabs>
        <w:spacing w:after="0" w:line="360" w:lineRule="auto"/>
        <w:jc w:val="both"/>
        <w:rPr>
          <w:rFonts w:cstheme="minorHAnsi"/>
          <w:sz w:val="24"/>
          <w:szCs w:val="24"/>
          <w:u w:val="single"/>
          <w:rtl/>
        </w:rPr>
      </w:pPr>
      <w:r>
        <w:rPr>
          <w:rFonts w:cstheme="minorHAnsi" w:hint="cs"/>
          <w:sz w:val="24"/>
          <w:szCs w:val="24"/>
          <w:u w:val="single"/>
          <w:rtl/>
        </w:rPr>
        <w:t xml:space="preserve">איור </w:t>
      </w:r>
      <w:r w:rsidR="0036709A">
        <w:rPr>
          <w:rFonts w:cstheme="minorHAnsi" w:hint="cs"/>
          <w:sz w:val="24"/>
          <w:szCs w:val="24"/>
          <w:u w:val="single"/>
          <w:rtl/>
        </w:rPr>
        <w:t>2</w:t>
      </w:r>
      <w:r>
        <w:rPr>
          <w:rFonts w:cstheme="minorHAnsi" w:hint="cs"/>
          <w:sz w:val="24"/>
          <w:szCs w:val="24"/>
          <w:u w:val="single"/>
          <w:rtl/>
        </w:rPr>
        <w:t xml:space="preserve">: התגובה המצטברת של המשקיעים המוסדיים להעלאת ריבית </w:t>
      </w:r>
    </w:p>
    <w:p w:rsidR="0031769C" w:rsidRPr="0047193D" w:rsidRDefault="0031769C" w:rsidP="001D1B3A">
      <w:pPr>
        <w:tabs>
          <w:tab w:val="left" w:pos="368"/>
        </w:tabs>
        <w:spacing w:after="0" w:line="360" w:lineRule="auto"/>
        <w:jc w:val="both"/>
        <w:rPr>
          <w:rFonts w:cstheme="minorHAnsi"/>
          <w:sz w:val="24"/>
          <w:szCs w:val="24"/>
          <w:rtl/>
        </w:rPr>
      </w:pPr>
      <w:r>
        <w:rPr>
          <w:noProof/>
        </w:rPr>
        <w:drawing>
          <wp:inline distT="0" distB="0" distL="0" distR="0" wp14:anchorId="7391A41D" wp14:editId="3551D62F">
            <wp:extent cx="5029200" cy="2923309"/>
            <wp:effectExtent l="0" t="0" r="0" b="0"/>
            <wp:docPr id="4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t="7387" b="5293"/>
                    <a:stretch>
                      <a:fillRect/>
                    </a:stretch>
                  </pic:blipFill>
                  <pic:spPr bwMode="auto">
                    <a:xfrm>
                      <a:off x="0" y="0"/>
                      <a:ext cx="5035838" cy="2927168"/>
                    </a:xfrm>
                    <a:prstGeom prst="rect">
                      <a:avLst/>
                    </a:prstGeom>
                    <a:noFill/>
                    <a:ln>
                      <a:noFill/>
                    </a:ln>
                  </pic:spPr>
                </pic:pic>
              </a:graphicData>
            </a:graphic>
          </wp:inline>
        </w:drawing>
      </w:r>
    </w:p>
    <w:sectPr w:rsidR="0031769C" w:rsidRPr="0047193D" w:rsidSect="00B251E6">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079" w:rsidRDefault="003C5079" w:rsidP="005D3B31">
      <w:pPr>
        <w:spacing w:after="0" w:line="240" w:lineRule="auto"/>
      </w:pPr>
      <w:r>
        <w:separator/>
      </w:r>
    </w:p>
  </w:endnote>
  <w:endnote w:type="continuationSeparator" w:id="0">
    <w:p w:rsidR="003C5079" w:rsidRDefault="003C5079" w:rsidP="005D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31" w:rsidRDefault="005D3B31" w:rsidP="00C57314">
    <w:pPr>
      <w:pStyle w:val="Footer"/>
      <w:jc w:val="both"/>
      <w:rPr>
        <w:rtl/>
      </w:rPr>
    </w:pPr>
    <w:r>
      <w:rPr>
        <w:noProof/>
      </w:rPr>
      <mc:AlternateContent>
        <mc:Choice Requires="wps">
          <w:drawing>
            <wp:anchor distT="0" distB="0" distL="114300" distR="114300" simplePos="0" relativeHeight="251659264" behindDoc="0" locked="0" layoutInCell="1" allowOverlap="1" wp14:anchorId="465CC7DF" wp14:editId="706C825D">
              <wp:simplePos x="0" y="0"/>
              <wp:positionH relativeFrom="column">
                <wp:posOffset>4607916</wp:posOffset>
              </wp:positionH>
              <wp:positionV relativeFrom="paragraph">
                <wp:posOffset>81584</wp:posOffset>
              </wp:positionV>
              <wp:extent cx="1535430" cy="457200"/>
              <wp:effectExtent l="0" t="0" r="0" b="0"/>
              <wp:wrapNone/>
              <wp:docPr id="3" name="תיבת טקסט 1"/>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D3B31" w:rsidRPr="00B677DC" w:rsidRDefault="005D3B31" w:rsidP="00C57314">
                          <w:pPr>
                            <w:jc w:val="center"/>
                            <w:rPr>
                              <w:rFonts w:cstheme="minorHAnsi"/>
                              <w:sz w:val="16"/>
                              <w:szCs w:val="16"/>
                              <w:rtl/>
                            </w:rPr>
                          </w:pPr>
                          <w:r w:rsidRPr="00B677DC">
                            <w:rPr>
                              <w:rFonts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5CC7DF" id="_x0000_t202" coordsize="21600,21600" o:spt="202" path="m,l,21600r21600,l21600,xe">
              <v:stroke joinstyle="miter"/>
              <v:path gradientshapeok="t" o:connecttype="rect"/>
            </v:shapetype>
            <v:shape id="תיבת טקסט 1"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" filled="f" stroked="f" strokeweight=".5pt">
              <v:textbox>
                <w:txbxContent>
                  <w:p w:rsidR="005D3B31" w:rsidRPr="00B677DC" w:rsidRDefault="005D3B31" w:rsidP="00C57314">
                    <w:pPr>
                      <w:jc w:val="center"/>
                      <w:rPr>
                        <w:rFonts w:cstheme="minorHAnsi"/>
                        <w:sz w:val="16"/>
                        <w:szCs w:val="16"/>
                        <w:rtl/>
                      </w:rPr>
                    </w:pPr>
                    <w:r w:rsidRPr="00B677DC">
                      <w:rPr>
                        <w:rFonts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rPr>
      <w:drawing>
        <wp:anchor distT="0" distB="0" distL="114300" distR="114300" simplePos="0" relativeHeight="251664384" behindDoc="0" locked="0" layoutInCell="1" allowOverlap="1" wp14:anchorId="0DD21589" wp14:editId="4F90E40A">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489211D" wp14:editId="1BC801F8">
              <wp:simplePos x="0" y="0"/>
              <wp:positionH relativeFrom="column">
                <wp:posOffset>2796692</wp:posOffset>
              </wp:positionH>
              <wp:positionV relativeFrom="paragraph">
                <wp:posOffset>118796</wp:posOffset>
              </wp:positionV>
              <wp:extent cx="2181860" cy="457200"/>
              <wp:effectExtent l="0" t="0" r="0" b="0"/>
              <wp:wrapNone/>
              <wp:docPr id="4" name="תיבת טקסט 2"/>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D3B31" w:rsidRPr="00B677DC" w:rsidRDefault="005D3B31" w:rsidP="00C57314">
                          <w:pPr>
                            <w:jc w:val="center"/>
                            <w:rPr>
                              <w:rFonts w:cstheme="minorHAnsi"/>
                              <w:sz w:val="14"/>
                              <w:szCs w:val="14"/>
                              <w:rtl/>
                            </w:rPr>
                          </w:pPr>
                          <w:r w:rsidRPr="00B677DC">
                            <w:rPr>
                              <w:rFonts w:hint="cs"/>
                              <w:noProof/>
                              <w:sz w:val="16"/>
                              <w:szCs w:val="16"/>
                              <w:rtl/>
                            </w:rPr>
                            <w:t xml:space="preserve">עמוד הפייסבוק של בנק ישראל </w:t>
                          </w:r>
                          <w:r w:rsidRPr="00B677DC">
                            <w:rPr>
                              <w:rFonts w:cs="Calibri"/>
                              <w:noProof/>
                              <w:sz w:val="16"/>
                              <w:szCs w:val="16"/>
                              <w:rtl/>
                            </w:rPr>
                            <w:t>–</w:t>
                          </w:r>
                          <w:r w:rsidRPr="00B677DC">
                            <w:rPr>
                              <w:rFonts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89211D" id="תיבת טקסט 2"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DA0pvPRAIA&#10;AGEEAAAOAAAAAAAAAAAAAAAAAC4CAABkcnMvZTJvRG9jLnhtbFBLAQItABQABgAIAAAAIQDjpQOC&#10;4AAAAAkBAAAPAAAAAAAAAAAAAAAAAJ4EAABkcnMvZG93bnJldi54bWxQSwUGAAAAAAQABADzAAAA&#10;qwUAAAAA&#10;" filled="f" stroked="f" strokeweight=".5pt">
              <v:textbox>
                <w:txbxContent>
                  <w:p w:rsidR="005D3B31" w:rsidRPr="00B677DC" w:rsidRDefault="005D3B31" w:rsidP="00C57314">
                    <w:pPr>
                      <w:jc w:val="center"/>
                      <w:rPr>
                        <w:rFonts w:cstheme="minorHAnsi"/>
                        <w:sz w:val="14"/>
                        <w:szCs w:val="14"/>
                        <w:rtl/>
                      </w:rPr>
                    </w:pPr>
                    <w:r w:rsidRPr="00B677DC">
                      <w:rPr>
                        <w:rFonts w:hint="cs"/>
                        <w:noProof/>
                        <w:sz w:val="16"/>
                        <w:szCs w:val="16"/>
                        <w:rtl/>
                      </w:rPr>
                      <w:t xml:space="preserve">עמוד הפייסבוק של בנק ישראל </w:t>
                    </w:r>
                    <w:r w:rsidRPr="00B677DC">
                      <w:rPr>
                        <w:rFonts w:cs="Calibri"/>
                        <w:noProof/>
                        <w:sz w:val="16"/>
                        <w:szCs w:val="16"/>
                        <w:rtl/>
                      </w:rPr>
                      <w:t>–</w:t>
                    </w:r>
                    <w:r w:rsidRPr="00B677DC">
                      <w:rPr>
                        <w:rFonts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rPr>
      <w:drawing>
        <wp:anchor distT="0" distB="0" distL="114300" distR="114300" simplePos="0" relativeHeight="251661312" behindDoc="0" locked="0" layoutInCell="1" allowOverlap="1" wp14:anchorId="630055EB" wp14:editId="1EECF582">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3934D9A" wp14:editId="4514CA76">
              <wp:simplePos x="0" y="0"/>
              <wp:positionH relativeFrom="margin">
                <wp:posOffset>1013562</wp:posOffset>
              </wp:positionH>
              <wp:positionV relativeFrom="paragraph">
                <wp:posOffset>150520</wp:posOffset>
              </wp:positionV>
              <wp:extent cx="2129790" cy="621030"/>
              <wp:effectExtent l="0" t="0" r="0" b="7620"/>
              <wp:wrapNone/>
              <wp:docPr id="5" name="תיבת טקסט 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5D3B31" w:rsidRPr="00B677DC" w:rsidRDefault="005D3B31" w:rsidP="00C57314">
                          <w:pPr>
                            <w:jc w:val="center"/>
                            <w:rPr>
                              <w:rFonts w:cstheme="minorHAnsi"/>
                              <w:sz w:val="16"/>
                              <w:szCs w:val="16"/>
                              <w:rtl/>
                            </w:rPr>
                          </w:pPr>
                          <w:r w:rsidRPr="00B677DC">
                            <w:rPr>
                              <w:rFonts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34D9A" id="תיבת טקסט 3"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" filled="f" stroked="f" strokeweight=".5pt">
              <v:textbox>
                <w:txbxContent>
                  <w:p w:rsidR="005D3B31" w:rsidRPr="00B677DC" w:rsidRDefault="005D3B31" w:rsidP="00C57314">
                    <w:pPr>
                      <w:jc w:val="center"/>
                      <w:rPr>
                        <w:rFonts w:cstheme="minorHAnsi"/>
                        <w:sz w:val="16"/>
                        <w:szCs w:val="16"/>
                        <w:rtl/>
                      </w:rPr>
                    </w:pPr>
                    <w:r w:rsidRPr="00B677DC">
                      <w:rPr>
                        <w:rFonts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rPr>
      <w:drawing>
        <wp:anchor distT="0" distB="0" distL="114300" distR="114300" simplePos="0" relativeHeight="251665408" behindDoc="0" locked="0" layoutInCell="1" allowOverlap="1" wp14:anchorId="49A7EF94" wp14:editId="4A9ECB05">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48DF58E1" wp14:editId="3B619651">
              <wp:simplePos x="0" y="0"/>
              <wp:positionH relativeFrom="margin">
                <wp:posOffset>-811480</wp:posOffset>
              </wp:positionH>
              <wp:positionV relativeFrom="paragraph">
                <wp:posOffset>149250</wp:posOffset>
              </wp:positionV>
              <wp:extent cx="2130281" cy="621030"/>
              <wp:effectExtent l="0" t="0" r="0" b="7620"/>
              <wp:wrapNone/>
              <wp:docPr id="7" name="תיבת טקסט 4"/>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5D3B31" w:rsidRPr="00F20046" w:rsidRDefault="005D3B31" w:rsidP="00C57314">
                          <w:pPr>
                            <w:jc w:val="center"/>
                            <w:rPr>
                              <w:rFonts w:cs="Calibri"/>
                              <w:noProof/>
                              <w:sz w:val="16"/>
                              <w:szCs w:val="16"/>
                              <w:rtl/>
                            </w:rPr>
                          </w:pPr>
                          <w:r>
                            <w:rPr>
                              <w:rFonts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58E1" id="תיבת טקסט 4"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" filled="f" stroked="f" strokeweight=".5pt">
              <v:textbox>
                <w:txbxContent>
                  <w:p w:rsidR="005D3B31" w:rsidRPr="00F20046" w:rsidRDefault="005D3B31" w:rsidP="00C57314">
                    <w:pPr>
                      <w:jc w:val="center"/>
                      <w:rPr>
                        <w:rFonts w:cs="Calibri"/>
                        <w:noProof/>
                        <w:sz w:val="16"/>
                        <w:szCs w:val="16"/>
                        <w:rtl/>
                      </w:rPr>
                    </w:pPr>
                    <w:r>
                      <w:rPr>
                        <w:rFonts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rPr>
      <w:drawing>
        <wp:anchor distT="0" distB="0" distL="114300" distR="114300" simplePos="0" relativeHeight="251666432" behindDoc="0" locked="0" layoutInCell="1" allowOverlap="1" wp14:anchorId="29D06E74" wp14:editId="3C2A277E">
          <wp:simplePos x="0" y="0"/>
          <wp:positionH relativeFrom="margin">
            <wp:align>left</wp:align>
          </wp:positionH>
          <wp:positionV relativeFrom="paragraph">
            <wp:posOffset>-92130</wp:posOffset>
          </wp:positionV>
          <wp:extent cx="329206" cy="241456"/>
          <wp:effectExtent l="0" t="0" r="0" b="6350"/>
          <wp:wrapNone/>
          <wp:docPr id="1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839CDF6" wp14:editId="1C9F3142">
              <wp:simplePos x="0" y="0"/>
              <wp:positionH relativeFrom="column">
                <wp:posOffset>-81915</wp:posOffset>
              </wp:positionH>
              <wp:positionV relativeFrom="paragraph">
                <wp:posOffset>-223149</wp:posOffset>
              </wp:positionV>
              <wp:extent cx="6228080" cy="0"/>
              <wp:effectExtent l="0" t="0" r="20320" b="19050"/>
              <wp:wrapNone/>
              <wp:docPr id="8" name="מחבר ישר 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49082" id="מחבר ישר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" strokecolor="black [3200]" strokeweight=".5pt">
              <v:stroke joinstyle="miter"/>
            </v:line>
          </w:pict>
        </mc:Fallback>
      </mc:AlternateContent>
    </w:r>
  </w:p>
  <w:p w:rsidR="005D3B31" w:rsidRDefault="005D3B31">
    <w:pPr>
      <w:pStyle w:val="Footer"/>
    </w:pPr>
  </w:p>
  <w:p w:rsidR="005D3B31" w:rsidRDefault="005D3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079" w:rsidRDefault="003C5079" w:rsidP="005D3B31">
      <w:pPr>
        <w:spacing w:after="0" w:line="240" w:lineRule="auto"/>
      </w:pPr>
      <w:r>
        <w:separator/>
      </w:r>
    </w:p>
  </w:footnote>
  <w:footnote w:type="continuationSeparator" w:id="0">
    <w:p w:rsidR="003C5079" w:rsidRDefault="003C5079" w:rsidP="005D3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1BE7"/>
    <w:multiLevelType w:val="hybridMultilevel"/>
    <w:tmpl w:val="5BCE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F112CA"/>
    <w:multiLevelType w:val="hybridMultilevel"/>
    <w:tmpl w:val="B8644EF2"/>
    <w:lvl w:ilvl="0" w:tplc="DE82AE2E">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I0MrYwNDU0NDc0NDVW0lEKTi0uzszPAykwqgUAtCMtdywAAAA="/>
  </w:docVars>
  <w:rsids>
    <w:rsidRoot w:val="00B251E6"/>
    <w:rsid w:val="00040F01"/>
    <w:rsid w:val="000416B1"/>
    <w:rsid w:val="000C4D36"/>
    <w:rsid w:val="00124C40"/>
    <w:rsid w:val="00170CDF"/>
    <w:rsid w:val="001863A8"/>
    <w:rsid w:val="00187046"/>
    <w:rsid w:val="001A5A29"/>
    <w:rsid w:val="001D1B3A"/>
    <w:rsid w:val="0023023D"/>
    <w:rsid w:val="002432A3"/>
    <w:rsid w:val="002435FA"/>
    <w:rsid w:val="00247712"/>
    <w:rsid w:val="00265B21"/>
    <w:rsid w:val="002F4EF7"/>
    <w:rsid w:val="0031769C"/>
    <w:rsid w:val="00323636"/>
    <w:rsid w:val="00365394"/>
    <w:rsid w:val="0036709A"/>
    <w:rsid w:val="003923D9"/>
    <w:rsid w:val="003C5079"/>
    <w:rsid w:val="003E0093"/>
    <w:rsid w:val="00400195"/>
    <w:rsid w:val="004306EB"/>
    <w:rsid w:val="0044312B"/>
    <w:rsid w:val="00443A6A"/>
    <w:rsid w:val="004515AD"/>
    <w:rsid w:val="00453859"/>
    <w:rsid w:val="0047193D"/>
    <w:rsid w:val="00485BFD"/>
    <w:rsid w:val="00493F80"/>
    <w:rsid w:val="004C2CDA"/>
    <w:rsid w:val="004F3650"/>
    <w:rsid w:val="00566AA4"/>
    <w:rsid w:val="005670B9"/>
    <w:rsid w:val="005C1C46"/>
    <w:rsid w:val="005D3B31"/>
    <w:rsid w:val="005E07B2"/>
    <w:rsid w:val="005E56D7"/>
    <w:rsid w:val="00622F1B"/>
    <w:rsid w:val="00666E1E"/>
    <w:rsid w:val="0067108C"/>
    <w:rsid w:val="00681CD5"/>
    <w:rsid w:val="00690268"/>
    <w:rsid w:val="006A1B96"/>
    <w:rsid w:val="006E20F0"/>
    <w:rsid w:val="00752BAA"/>
    <w:rsid w:val="007B3E37"/>
    <w:rsid w:val="007B69EB"/>
    <w:rsid w:val="007D16EF"/>
    <w:rsid w:val="007D771D"/>
    <w:rsid w:val="007F30F5"/>
    <w:rsid w:val="008905D2"/>
    <w:rsid w:val="008A256F"/>
    <w:rsid w:val="008C5FBE"/>
    <w:rsid w:val="00900AC3"/>
    <w:rsid w:val="00910984"/>
    <w:rsid w:val="00925EAD"/>
    <w:rsid w:val="00995F30"/>
    <w:rsid w:val="00AB610A"/>
    <w:rsid w:val="00AE79CC"/>
    <w:rsid w:val="00B13350"/>
    <w:rsid w:val="00B251E6"/>
    <w:rsid w:val="00B40901"/>
    <w:rsid w:val="00B6051F"/>
    <w:rsid w:val="00BA4512"/>
    <w:rsid w:val="00BD0E8D"/>
    <w:rsid w:val="00BE4FA8"/>
    <w:rsid w:val="00C12CAE"/>
    <w:rsid w:val="00C2131D"/>
    <w:rsid w:val="00C57314"/>
    <w:rsid w:val="00C62ABE"/>
    <w:rsid w:val="00CD23DF"/>
    <w:rsid w:val="00D264BE"/>
    <w:rsid w:val="00D54DE9"/>
    <w:rsid w:val="00D64D4B"/>
    <w:rsid w:val="00DA337C"/>
    <w:rsid w:val="00DC06F6"/>
    <w:rsid w:val="00DC4CBD"/>
    <w:rsid w:val="00DD0C8F"/>
    <w:rsid w:val="00DE4B24"/>
    <w:rsid w:val="00DF4269"/>
    <w:rsid w:val="00E2283A"/>
    <w:rsid w:val="00E43D5B"/>
    <w:rsid w:val="00E937B8"/>
    <w:rsid w:val="00EE027F"/>
    <w:rsid w:val="00EF4E1D"/>
    <w:rsid w:val="00F237A7"/>
    <w:rsid w:val="00F42A29"/>
    <w:rsid w:val="00F466B1"/>
    <w:rsid w:val="00F72AC1"/>
    <w:rsid w:val="00FB46A5"/>
    <w:rsid w:val="00FC418C"/>
    <w:rsid w:val="00FF1C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DF2A0D-9AAA-43D9-B8E5-8E6B648E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E6"/>
    <w:pPr>
      <w:bidi/>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C418C"/>
    <w:pPr>
      <w:spacing w:after="0" w:line="240" w:lineRule="auto"/>
    </w:pPr>
    <w:rPr>
      <w:kern w:val="0"/>
      <w14:ligatures w14:val="none"/>
    </w:rPr>
  </w:style>
  <w:style w:type="paragraph" w:styleId="BalloonText">
    <w:name w:val="Balloon Text"/>
    <w:basedOn w:val="Normal"/>
    <w:link w:val="BalloonTextChar"/>
    <w:uiPriority w:val="99"/>
    <w:semiHidden/>
    <w:unhideWhenUsed/>
    <w:rsid w:val="00485BF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85BFD"/>
    <w:rPr>
      <w:rFonts w:ascii="Tahoma" w:hAnsi="Tahoma" w:cs="Tahoma"/>
      <w:kern w:val="0"/>
      <w:sz w:val="18"/>
      <w:szCs w:val="18"/>
      <w14:ligatures w14:val="none"/>
    </w:rPr>
  </w:style>
  <w:style w:type="character" w:styleId="CommentReference">
    <w:name w:val="annotation reference"/>
    <w:basedOn w:val="DefaultParagraphFont"/>
    <w:uiPriority w:val="99"/>
    <w:semiHidden/>
    <w:unhideWhenUsed/>
    <w:rsid w:val="00E2283A"/>
    <w:rPr>
      <w:sz w:val="16"/>
      <w:szCs w:val="16"/>
    </w:rPr>
  </w:style>
  <w:style w:type="paragraph" w:styleId="CommentText">
    <w:name w:val="annotation text"/>
    <w:basedOn w:val="Normal"/>
    <w:link w:val="CommentTextChar"/>
    <w:uiPriority w:val="99"/>
    <w:semiHidden/>
    <w:unhideWhenUsed/>
    <w:rsid w:val="00E2283A"/>
    <w:pPr>
      <w:spacing w:line="240" w:lineRule="auto"/>
    </w:pPr>
    <w:rPr>
      <w:sz w:val="20"/>
      <w:szCs w:val="20"/>
    </w:rPr>
  </w:style>
  <w:style w:type="character" w:customStyle="1" w:styleId="CommentTextChar">
    <w:name w:val="Comment Text Char"/>
    <w:basedOn w:val="DefaultParagraphFont"/>
    <w:link w:val="CommentText"/>
    <w:uiPriority w:val="99"/>
    <w:semiHidden/>
    <w:rsid w:val="00E2283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283A"/>
    <w:rPr>
      <w:b/>
      <w:bCs/>
    </w:rPr>
  </w:style>
  <w:style w:type="character" w:customStyle="1" w:styleId="CommentSubjectChar">
    <w:name w:val="Comment Subject Char"/>
    <w:basedOn w:val="CommentTextChar"/>
    <w:link w:val="CommentSubject"/>
    <w:uiPriority w:val="99"/>
    <w:semiHidden/>
    <w:rsid w:val="00E2283A"/>
    <w:rPr>
      <w:b/>
      <w:bCs/>
      <w:kern w:val="0"/>
      <w:sz w:val="20"/>
      <w:szCs w:val="20"/>
      <w14:ligatures w14:val="none"/>
    </w:rPr>
  </w:style>
  <w:style w:type="paragraph" w:styleId="ListParagraph">
    <w:name w:val="List Paragraph"/>
    <w:basedOn w:val="Normal"/>
    <w:uiPriority w:val="34"/>
    <w:qFormat/>
    <w:rsid w:val="007D771D"/>
    <w:pPr>
      <w:ind w:left="720"/>
      <w:contextualSpacing/>
    </w:pPr>
  </w:style>
  <w:style w:type="paragraph" w:styleId="Header">
    <w:name w:val="header"/>
    <w:basedOn w:val="Normal"/>
    <w:link w:val="HeaderChar"/>
    <w:uiPriority w:val="99"/>
    <w:unhideWhenUsed/>
    <w:rsid w:val="005D3B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B31"/>
    <w:rPr>
      <w:kern w:val="0"/>
      <w14:ligatures w14:val="none"/>
    </w:rPr>
  </w:style>
  <w:style w:type="paragraph" w:styleId="Footer">
    <w:name w:val="footer"/>
    <w:basedOn w:val="Normal"/>
    <w:link w:val="FooterChar"/>
    <w:uiPriority w:val="99"/>
    <w:unhideWhenUsed/>
    <w:rsid w:val="005D3B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B31"/>
    <w:rPr>
      <w:kern w:val="0"/>
      <w14:ligatures w14:val="none"/>
    </w:rPr>
  </w:style>
  <w:style w:type="character" w:styleId="Hyperlink">
    <w:name w:val="Hyperlink"/>
    <w:basedOn w:val="DefaultParagraphFont"/>
    <w:uiPriority w:val="99"/>
    <w:unhideWhenUsed/>
    <w:rsid w:val="005D3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6.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D057-E4FC-44B4-99F8-673CCEE9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2980</Characters>
  <Application>Microsoft Office Word</Application>
  <DocSecurity>4</DocSecurity>
  <Lines>24</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Nathan</dc:creator>
  <cp:keywords/>
  <dc:description/>
  <cp:lastModifiedBy>רוסול דכוור</cp:lastModifiedBy>
  <cp:revision>2</cp:revision>
  <dcterms:created xsi:type="dcterms:W3CDTF">2024-10-27T09:32:00Z</dcterms:created>
  <dcterms:modified xsi:type="dcterms:W3CDTF">2024-10-27T09:32:00Z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f92fcef6-0172-4b48-ac01-95d1f2838e78</vt:lpwstr>
  </property>
</Properties>
</file>