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52E" w:rsidRDefault="0096452E" w:rsidP="0096452E">
      <w:pPr>
        <w:rPr>
          <w:rtl/>
        </w:rPr>
      </w:pPr>
      <w:bookmarkStart w:id="0" w:name="_GoBack"/>
      <w:bookmarkEnd w:id="0"/>
    </w:p>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6452E" w:rsidRPr="00202530" w:rsidTr="002867DC">
        <w:tc>
          <w:tcPr>
            <w:tcW w:w="3343" w:type="dxa"/>
            <w:tcBorders>
              <w:top w:val="nil"/>
              <w:left w:val="nil"/>
              <w:bottom w:val="nil"/>
              <w:right w:val="nil"/>
            </w:tcBorders>
            <w:vAlign w:val="center"/>
          </w:tcPr>
          <w:p w:rsidR="0096452E" w:rsidRPr="00202530" w:rsidRDefault="0096452E" w:rsidP="0096452E">
            <w:pPr>
              <w:rPr>
                <w:b/>
                <w:bCs/>
                <w:sz w:val="24"/>
                <w:szCs w:val="24"/>
                <w:rtl/>
              </w:rPr>
            </w:pPr>
            <w:r w:rsidRPr="00202530">
              <w:rPr>
                <w:b/>
                <w:bCs/>
                <w:sz w:val="24"/>
                <w:szCs w:val="24"/>
                <w:rtl/>
              </w:rPr>
              <w:t>בנק ישראל</w:t>
            </w:r>
          </w:p>
          <w:p w:rsidR="0096452E" w:rsidRPr="00202530" w:rsidRDefault="0096452E" w:rsidP="0096452E">
            <w:pPr>
              <w:rPr>
                <w:b/>
                <w:bCs/>
                <w:sz w:val="28"/>
                <w:szCs w:val="28"/>
              </w:rPr>
            </w:pPr>
            <w:r w:rsidRPr="00202530">
              <w:rPr>
                <w:rtl/>
              </w:rPr>
              <w:t>דוברות והסברה כלכלית</w:t>
            </w:r>
          </w:p>
        </w:tc>
        <w:tc>
          <w:tcPr>
            <w:tcW w:w="2596" w:type="dxa"/>
            <w:tcBorders>
              <w:top w:val="nil"/>
              <w:left w:val="nil"/>
              <w:bottom w:val="nil"/>
              <w:right w:val="nil"/>
            </w:tcBorders>
            <w:shd w:val="clear" w:color="auto" w:fill="FFFFFF"/>
          </w:tcPr>
          <w:p w:rsidR="0096452E" w:rsidRPr="00202530" w:rsidRDefault="0096452E" w:rsidP="0096452E">
            <w:pPr>
              <w:jc w:val="center"/>
            </w:pPr>
            <w:r w:rsidRPr="00202530">
              <w:rPr>
                <w:noProof/>
              </w:rPr>
              <w:drawing>
                <wp:anchor distT="0" distB="0" distL="114300" distR="114300" simplePos="0" relativeHeight="251659264" behindDoc="0" locked="0" layoutInCell="1" allowOverlap="1" wp14:anchorId="1AEB91B8" wp14:editId="5A41EE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6452E" w:rsidRDefault="0096452E" w:rsidP="0096452E">
            <w:pPr>
              <w:jc w:val="right"/>
              <w:rPr>
                <w:rtl/>
              </w:rPr>
            </w:pPr>
            <w:r w:rsidRPr="00202530">
              <w:rPr>
                <w:highlight w:val="green"/>
                <w:rtl/>
              </w:rPr>
              <w:t>‏</w:t>
            </w:r>
            <w:r w:rsidRPr="00202530">
              <w:rPr>
                <w:rtl/>
              </w:rPr>
              <w:t>ירושלים</w:t>
            </w:r>
            <w:r>
              <w:rPr>
                <w:rFonts w:hint="cs"/>
                <w:rtl/>
              </w:rPr>
              <w:t xml:space="preserve">, </w:t>
            </w:r>
            <w:r w:rsidRPr="00132082">
              <w:rPr>
                <w:rtl/>
              </w:rPr>
              <w:t xml:space="preserve"> ז' בתשרי</w:t>
            </w:r>
            <w:r>
              <w:rPr>
                <w:rFonts w:hint="cs"/>
                <w:rtl/>
              </w:rPr>
              <w:t>, תשפ"ו</w:t>
            </w:r>
          </w:p>
          <w:p w:rsidR="0096452E" w:rsidRPr="00662BB8" w:rsidRDefault="0096452E" w:rsidP="0096452E">
            <w:pPr>
              <w:jc w:val="right"/>
            </w:pPr>
            <w:r>
              <w:rPr>
                <w:rFonts w:hint="cs"/>
                <w:rtl/>
              </w:rPr>
              <w:t>29 ספטמבר, 2025</w:t>
            </w:r>
          </w:p>
        </w:tc>
      </w:tr>
    </w:tbl>
    <w:p w:rsidR="0096452E" w:rsidRPr="00202530" w:rsidRDefault="0096452E" w:rsidP="0096452E">
      <w:pPr>
        <w:tabs>
          <w:tab w:val="left" w:pos="2315"/>
        </w:tabs>
        <w:rPr>
          <w:sz w:val="24"/>
          <w:szCs w:val="24"/>
          <w:rtl/>
        </w:rPr>
      </w:pPr>
      <w:r w:rsidRPr="00202530">
        <w:rPr>
          <w:sz w:val="24"/>
          <w:szCs w:val="24"/>
          <w:rtl/>
        </w:rPr>
        <w:t>הודעה לעיתונות:</w:t>
      </w:r>
    </w:p>
    <w:p w:rsidR="0096452E" w:rsidRPr="00202530" w:rsidRDefault="0096452E" w:rsidP="0096452E">
      <w:pPr>
        <w:pStyle w:val="af7"/>
        <w:spacing w:before="240" w:line="276" w:lineRule="auto"/>
        <w:rPr>
          <w:rFonts w:ascii="Calibri" w:hAnsi="Calibri" w:cs="Calibri"/>
          <w:rtl/>
        </w:rPr>
      </w:pPr>
      <w:r w:rsidRPr="00202530">
        <w:rPr>
          <w:rFonts w:ascii="Calibri" w:hAnsi="Calibri" w:cs="Calibri"/>
          <w:rtl/>
        </w:rPr>
        <w:t xml:space="preserve">התחזית המקרו-כלכלית של חטיבת המחקר, </w:t>
      </w:r>
      <w:r>
        <w:rPr>
          <w:rFonts w:ascii="Calibri" w:hAnsi="Calibri" w:cs="Calibri" w:hint="cs"/>
          <w:rtl/>
        </w:rPr>
        <w:t>ספטמבר</w:t>
      </w:r>
      <w:r w:rsidRPr="00202530">
        <w:rPr>
          <w:rFonts w:ascii="Calibri" w:hAnsi="Calibri" w:cs="Calibri"/>
          <w:rtl/>
        </w:rPr>
        <w:t xml:space="preserve"> 2025</w:t>
      </w:r>
    </w:p>
    <w:p w:rsidR="0096452E" w:rsidRPr="00202530" w:rsidRDefault="0096452E" w:rsidP="0096452E">
      <w:pPr>
        <w:pStyle w:val="11"/>
        <w:spacing w:line="276" w:lineRule="auto"/>
        <w:rPr>
          <w:rFonts w:ascii="Calibri" w:hAnsi="Calibri" w:cs="Calibri"/>
        </w:rPr>
      </w:pPr>
      <w:r w:rsidRPr="00202530">
        <w:rPr>
          <w:rFonts w:ascii="Calibri" w:hAnsi="Calibri" w:cs="Calibri"/>
          <w:rtl/>
        </w:rPr>
        <w:t>תמצית</w:t>
      </w:r>
    </w:p>
    <w:p w:rsidR="0096452E" w:rsidRPr="00F5450F" w:rsidRDefault="0096452E" w:rsidP="0096452E">
      <w:pPr>
        <w:spacing w:after="120"/>
        <w:jc w:val="both"/>
        <w:rPr>
          <w:rFonts w:eastAsia="Calibri"/>
          <w:rtl/>
        </w:rPr>
      </w:pPr>
      <w:r w:rsidRPr="00202296">
        <w:rPr>
          <w:rFonts w:eastAsia="Calibri"/>
          <w:rtl/>
        </w:rPr>
        <w:t xml:space="preserve">מסמך זה מציג את התחזית המקרו-כלכלית שחטיבת המחקר בבנק </w:t>
      </w:r>
      <w:r w:rsidRPr="00F5450F">
        <w:rPr>
          <w:rFonts w:eastAsia="Calibri"/>
          <w:rtl/>
        </w:rPr>
        <w:t xml:space="preserve">ישראל גיבשה </w:t>
      </w:r>
      <w:r>
        <w:rPr>
          <w:rFonts w:eastAsia="Calibri" w:hint="cs"/>
          <w:rtl/>
        </w:rPr>
        <w:t>בספטמבר</w:t>
      </w:r>
      <w:r w:rsidRPr="00F5450F">
        <w:rPr>
          <w:rFonts w:eastAsia="Calibri"/>
          <w:rtl/>
        </w:rPr>
        <w:t xml:space="preserve"> 2025 בנוגע למשתני המקרו העיקריים – התוצר, האינפלציה והריבית.</w:t>
      </w:r>
      <w:r w:rsidRPr="00F5450F">
        <w:rPr>
          <w:rFonts w:eastAsia="Calibri"/>
          <w:vertAlign w:val="superscript"/>
          <w:rtl/>
        </w:rPr>
        <w:footnoteReference w:id="1"/>
      </w:r>
      <w:r w:rsidRPr="00F5450F">
        <w:rPr>
          <w:rFonts w:eastAsia="Calibri"/>
          <w:rtl/>
        </w:rPr>
        <w:t xml:space="preserve"> על פי התחזית, </w:t>
      </w:r>
      <w:r>
        <w:rPr>
          <w:rFonts w:eastAsia="Calibri" w:hint="cs"/>
          <w:rtl/>
        </w:rPr>
        <w:t>בתרחיש בו הלחימה בעזה תסתיים</w:t>
      </w:r>
      <w:r w:rsidRPr="00617553">
        <w:rPr>
          <w:rFonts w:eastAsia="Calibri" w:hint="cs"/>
          <w:rtl/>
        </w:rPr>
        <w:t xml:space="preserve"> </w:t>
      </w:r>
      <w:r>
        <w:rPr>
          <w:rFonts w:eastAsia="Calibri" w:hint="cs"/>
          <w:rtl/>
        </w:rPr>
        <w:t>ב</w:t>
      </w:r>
      <w:r w:rsidRPr="00617553">
        <w:rPr>
          <w:rFonts w:eastAsia="Calibri" w:hint="cs"/>
          <w:rtl/>
        </w:rPr>
        <w:t>רבעון הראשון של 2026</w:t>
      </w:r>
      <w:r>
        <w:rPr>
          <w:rFonts w:eastAsia="Calibri" w:hint="cs"/>
          <w:rtl/>
        </w:rPr>
        <w:t xml:space="preserve">, </w:t>
      </w:r>
      <w:r w:rsidRPr="00F5450F">
        <w:rPr>
          <w:rFonts w:eastAsia="Calibri"/>
          <w:rtl/>
        </w:rPr>
        <w:t>התוצר צפוי לצמוח בשנת 20</w:t>
      </w:r>
      <w:r w:rsidRPr="002F449F">
        <w:rPr>
          <w:rFonts w:eastAsia="Calibri"/>
          <w:rtl/>
        </w:rPr>
        <w:t>25 ב-</w:t>
      </w:r>
      <w:r w:rsidRPr="002F449F">
        <w:rPr>
          <w:rFonts w:eastAsia="Calibri" w:hint="cs"/>
          <w:rtl/>
        </w:rPr>
        <w:t>2.</w:t>
      </w:r>
      <w:r>
        <w:rPr>
          <w:rFonts w:eastAsia="Calibri" w:hint="cs"/>
          <w:rtl/>
        </w:rPr>
        <w:t>5</w:t>
      </w:r>
      <w:r w:rsidRPr="002F449F">
        <w:rPr>
          <w:rFonts w:eastAsia="Calibri"/>
          <w:rtl/>
        </w:rPr>
        <w:t>% וב-2026 ב-4.</w:t>
      </w:r>
      <w:r>
        <w:rPr>
          <w:rFonts w:eastAsia="Calibri" w:hint="cs"/>
          <w:rtl/>
        </w:rPr>
        <w:t>7</w:t>
      </w:r>
      <w:r w:rsidRPr="002F449F">
        <w:rPr>
          <w:rFonts w:eastAsia="Calibri"/>
          <w:rtl/>
        </w:rPr>
        <w:t>%. שיעור</w:t>
      </w:r>
      <w:r w:rsidRPr="00F5450F">
        <w:rPr>
          <w:rFonts w:eastAsia="Calibri"/>
          <w:rtl/>
        </w:rPr>
        <w:t xml:space="preserve"> האינפלציה בארבעת הרבעונים הקרובים (המסתיימים ברבעון ה</w:t>
      </w:r>
      <w:r w:rsidRPr="00F5450F">
        <w:rPr>
          <w:rFonts w:eastAsia="Calibri" w:hint="cs"/>
          <w:rtl/>
        </w:rPr>
        <w:t>ש</w:t>
      </w:r>
      <w:r>
        <w:rPr>
          <w:rFonts w:eastAsia="Calibri" w:hint="cs"/>
          <w:rtl/>
        </w:rPr>
        <w:t xml:space="preserve">לישי </w:t>
      </w:r>
      <w:r w:rsidRPr="00F5450F">
        <w:rPr>
          <w:rFonts w:eastAsia="Calibri"/>
          <w:rtl/>
        </w:rPr>
        <w:t xml:space="preserve">של שנת 2026) צפוי </w:t>
      </w:r>
      <w:r w:rsidRPr="002F449F">
        <w:rPr>
          <w:rFonts w:eastAsia="Calibri"/>
          <w:rtl/>
        </w:rPr>
        <w:t>לעמוד על 2.</w:t>
      </w:r>
      <w:r>
        <w:rPr>
          <w:rFonts w:eastAsia="Calibri" w:hint="cs"/>
          <w:rtl/>
        </w:rPr>
        <w:t>4</w:t>
      </w:r>
      <w:r w:rsidRPr="002F449F">
        <w:rPr>
          <w:rFonts w:eastAsia="Calibri"/>
          <w:rtl/>
        </w:rPr>
        <w:t xml:space="preserve">%. במהלך </w:t>
      </w:r>
      <w:r w:rsidRPr="00F5450F">
        <w:rPr>
          <w:rFonts w:eastAsia="Calibri"/>
          <w:rtl/>
        </w:rPr>
        <w:t xml:space="preserve">שנת 2025 הוא צפוי </w:t>
      </w:r>
      <w:r w:rsidRPr="002F449F">
        <w:rPr>
          <w:rFonts w:eastAsia="Calibri"/>
          <w:rtl/>
        </w:rPr>
        <w:t xml:space="preserve">לעמוד על </w:t>
      </w:r>
      <w:r>
        <w:rPr>
          <w:rFonts w:eastAsia="Calibri" w:hint="cs"/>
          <w:rtl/>
        </w:rPr>
        <w:t>3.0%</w:t>
      </w:r>
      <w:r w:rsidRPr="002F449F">
        <w:rPr>
          <w:rFonts w:eastAsia="Calibri"/>
          <w:rtl/>
        </w:rPr>
        <w:t xml:space="preserve"> ובמהלך שנת 2026 על 2.</w:t>
      </w:r>
      <w:r>
        <w:rPr>
          <w:rFonts w:eastAsia="Calibri" w:hint="cs"/>
          <w:rtl/>
        </w:rPr>
        <w:t>2</w:t>
      </w:r>
      <w:r w:rsidRPr="002F449F">
        <w:rPr>
          <w:rFonts w:eastAsia="Calibri"/>
          <w:rtl/>
        </w:rPr>
        <w:t xml:space="preserve">%. הריבית </w:t>
      </w:r>
      <w:r w:rsidRPr="002F449F">
        <w:rPr>
          <w:rFonts w:eastAsia="Calibri" w:hint="cs"/>
          <w:rtl/>
        </w:rPr>
        <w:t xml:space="preserve">הממוצעת </w:t>
      </w:r>
      <w:r w:rsidRPr="002F449F">
        <w:rPr>
          <w:rFonts w:eastAsia="Calibri"/>
          <w:rtl/>
        </w:rPr>
        <w:t xml:space="preserve">ברבעון </w:t>
      </w:r>
      <w:r w:rsidRPr="002F449F">
        <w:rPr>
          <w:rFonts w:eastAsia="Calibri" w:hint="cs"/>
          <w:rtl/>
        </w:rPr>
        <w:t xml:space="preserve">השלישי </w:t>
      </w:r>
      <w:r w:rsidRPr="002F449F">
        <w:rPr>
          <w:rFonts w:eastAsia="Calibri"/>
          <w:rtl/>
        </w:rPr>
        <w:t xml:space="preserve">של 2026 צפויה לעמוד על </w:t>
      </w:r>
      <w:r w:rsidRPr="002F449F">
        <w:rPr>
          <w:rFonts w:eastAsia="Calibri" w:hint="cs"/>
          <w:rtl/>
        </w:rPr>
        <w:t>3</w:t>
      </w:r>
      <w:r w:rsidRPr="002F449F">
        <w:rPr>
          <w:rFonts w:eastAsia="Calibri"/>
          <w:rtl/>
        </w:rPr>
        <w:t>.</w:t>
      </w:r>
      <w:r w:rsidRPr="002F449F">
        <w:rPr>
          <w:rFonts w:eastAsia="Calibri" w:hint="cs"/>
          <w:rtl/>
        </w:rPr>
        <w:t>75</w:t>
      </w:r>
      <w:r w:rsidRPr="002F449F">
        <w:rPr>
          <w:rFonts w:eastAsia="Calibri"/>
          <w:rtl/>
        </w:rPr>
        <w:t>%.</w:t>
      </w:r>
    </w:p>
    <w:p w:rsidR="0096452E" w:rsidRPr="00B0372F" w:rsidRDefault="0096452E" w:rsidP="0096452E">
      <w:pPr>
        <w:spacing w:after="120"/>
        <w:jc w:val="both"/>
        <w:rPr>
          <w:rtl/>
        </w:rPr>
      </w:pPr>
      <w:r>
        <w:rPr>
          <w:rtl/>
        </w:rPr>
        <w:t xml:space="preserve">התחזית </w:t>
      </w:r>
      <w:r>
        <w:rPr>
          <w:rFonts w:hint="cs"/>
          <w:rtl/>
        </w:rPr>
        <w:t xml:space="preserve">בתרחיש זה </w:t>
      </w:r>
      <w:r>
        <w:rPr>
          <w:rtl/>
        </w:rPr>
        <w:t>גובשה לאחר גיוס מילואים נרחב ו</w:t>
      </w:r>
      <w:r>
        <w:rPr>
          <w:rFonts w:hint="cs"/>
          <w:rtl/>
        </w:rPr>
        <w:t xml:space="preserve">תחילת </w:t>
      </w:r>
      <w:r>
        <w:rPr>
          <w:rtl/>
        </w:rPr>
        <w:t xml:space="preserve">מהלך קרקעי משמעותי ברצועת עזה, ותחת הנחה שהלחימה תסתיים </w:t>
      </w:r>
      <w:r>
        <w:rPr>
          <w:rFonts w:hint="cs"/>
          <w:rtl/>
        </w:rPr>
        <w:t>במהלך</w:t>
      </w:r>
      <w:r>
        <w:rPr>
          <w:rtl/>
        </w:rPr>
        <w:t xml:space="preserve"> הרבעון הראשון של שנת 2026. </w:t>
      </w:r>
      <w:r>
        <w:rPr>
          <w:rFonts w:hint="cs"/>
          <w:rtl/>
        </w:rPr>
        <w:t>להתפתחות זו</w:t>
      </w:r>
      <w:r>
        <w:rPr>
          <w:rtl/>
        </w:rPr>
        <w:t xml:space="preserve"> יש השפעה ניכרת על התחזית</w:t>
      </w:r>
      <w:r>
        <w:rPr>
          <w:rFonts w:hint="cs"/>
          <w:rtl/>
        </w:rPr>
        <w:t>;</w:t>
      </w:r>
      <w:r>
        <w:rPr>
          <w:rtl/>
        </w:rPr>
        <w:t xml:space="preserve"> </w:t>
      </w:r>
      <w:r>
        <w:rPr>
          <w:rFonts w:hint="cs"/>
          <w:rtl/>
        </w:rPr>
        <w:t>היא מעצימה את</w:t>
      </w:r>
      <w:r>
        <w:rPr>
          <w:rtl/>
        </w:rPr>
        <w:t xml:space="preserve"> </w:t>
      </w:r>
      <w:r>
        <w:rPr>
          <w:rFonts w:hint="cs"/>
          <w:rtl/>
        </w:rPr>
        <w:t>ה</w:t>
      </w:r>
      <w:r>
        <w:rPr>
          <w:rtl/>
        </w:rPr>
        <w:t>מגבלות בצד ההיצע</w:t>
      </w:r>
      <w:r>
        <w:rPr>
          <w:rFonts w:hint="cs"/>
          <w:rtl/>
        </w:rPr>
        <w:t xml:space="preserve">, </w:t>
      </w:r>
      <w:r>
        <w:rPr>
          <w:rtl/>
        </w:rPr>
        <w:t>בעיקר בשל גיוס המילואים הנרחב, ומגביר</w:t>
      </w:r>
      <w:r>
        <w:rPr>
          <w:rFonts w:hint="cs"/>
          <w:rtl/>
        </w:rPr>
        <w:t>ה</w:t>
      </w:r>
      <w:r>
        <w:rPr>
          <w:rtl/>
        </w:rPr>
        <w:t xml:space="preserve"> את אי-הוודאות הכלכלית</w:t>
      </w:r>
      <w:r>
        <w:rPr>
          <w:rFonts w:hint="cs"/>
          <w:rtl/>
        </w:rPr>
        <w:t>, ובכך תורמת לה</w:t>
      </w:r>
      <w:r>
        <w:rPr>
          <w:rtl/>
        </w:rPr>
        <w:t>פחתת תחזית הצמיחה,</w:t>
      </w:r>
      <w:r>
        <w:rPr>
          <w:rFonts w:hint="cs"/>
          <w:rtl/>
        </w:rPr>
        <w:t xml:space="preserve"> ול</w:t>
      </w:r>
      <w:r>
        <w:rPr>
          <w:rtl/>
        </w:rPr>
        <w:t>העלאת התחזית לאינפלציה ותוואי הריבית</w:t>
      </w:r>
      <w:r>
        <w:rPr>
          <w:rFonts w:hint="cs"/>
          <w:rtl/>
        </w:rPr>
        <w:t xml:space="preserve"> הצפוי </w:t>
      </w:r>
      <w:r>
        <w:rPr>
          <w:rtl/>
        </w:rPr>
        <w:t xml:space="preserve">ביחס לתחזית שפורסמה ביולי. במקביל, ההתפתחויות </w:t>
      </w:r>
      <w:r>
        <w:rPr>
          <w:rFonts w:hint="cs"/>
          <w:rtl/>
        </w:rPr>
        <w:t>הובילו ל</w:t>
      </w:r>
      <w:r>
        <w:rPr>
          <w:rtl/>
        </w:rPr>
        <w:t>העלאה של התחזיות לגרעון</w:t>
      </w:r>
      <w:r>
        <w:rPr>
          <w:rFonts w:hint="cs"/>
          <w:rtl/>
        </w:rPr>
        <w:t xml:space="preserve"> בתקציב המדינה</w:t>
      </w:r>
      <w:r>
        <w:rPr>
          <w:rtl/>
        </w:rPr>
        <w:t xml:space="preserve">, </w:t>
      </w:r>
      <w:r>
        <w:rPr>
          <w:rFonts w:hint="cs"/>
          <w:rtl/>
        </w:rPr>
        <w:t>בעקבות</w:t>
      </w:r>
      <w:r>
        <w:rPr>
          <w:rtl/>
        </w:rPr>
        <w:t xml:space="preserve"> </w:t>
      </w:r>
      <w:r>
        <w:rPr>
          <w:rFonts w:hint="cs"/>
          <w:rtl/>
        </w:rPr>
        <w:t>ה</w:t>
      </w:r>
      <w:r>
        <w:rPr>
          <w:rtl/>
        </w:rPr>
        <w:t>גידול בהוצאות הממשלה הנובע מהתארכות המלחמה</w:t>
      </w:r>
      <w:r>
        <w:rPr>
          <w:rFonts w:hint="cs"/>
          <w:rtl/>
        </w:rPr>
        <w:t>.</w:t>
      </w:r>
      <w:r w:rsidRPr="00B0372F">
        <w:rPr>
          <w:rFonts w:hint="cs"/>
          <w:rtl/>
        </w:rPr>
        <w:t xml:space="preserve"> </w:t>
      </w:r>
      <w:r>
        <w:rPr>
          <w:rFonts w:hint="cs"/>
          <w:rtl/>
        </w:rPr>
        <w:t xml:space="preserve">עם זאת, אי הוודאות לגבי התפתחות המצב הגאופוליטי גדולה, כפי שמפורט בסעיף הסיכונים לתחזית. </w:t>
      </w:r>
      <w:r w:rsidRPr="00B0372F">
        <w:rPr>
          <w:rFonts w:hint="cs"/>
          <w:rtl/>
        </w:rPr>
        <w:t xml:space="preserve">התארכות </w:t>
      </w:r>
      <w:r w:rsidRPr="00B0372F">
        <w:rPr>
          <w:rtl/>
        </w:rPr>
        <w:t xml:space="preserve">הלחימה </w:t>
      </w:r>
      <w:r w:rsidRPr="00B0372F">
        <w:rPr>
          <w:rFonts w:hint="eastAsia"/>
          <w:rtl/>
        </w:rPr>
        <w:t>בעזה</w:t>
      </w:r>
      <w:r w:rsidRPr="00B0372F">
        <w:rPr>
          <w:rtl/>
        </w:rPr>
        <w:t xml:space="preserve"> </w:t>
      </w:r>
      <w:r w:rsidRPr="00B0372F">
        <w:rPr>
          <w:rFonts w:hint="cs"/>
          <w:rtl/>
        </w:rPr>
        <w:t>למשך זמן ממושך יותר תתבטא</w:t>
      </w:r>
      <w:r w:rsidRPr="00B0372F">
        <w:rPr>
          <w:rtl/>
        </w:rPr>
        <w:t xml:space="preserve"> </w:t>
      </w:r>
      <w:r w:rsidRPr="00B0372F">
        <w:rPr>
          <w:rFonts w:hint="cs"/>
          <w:rtl/>
        </w:rPr>
        <w:t>ב</w:t>
      </w:r>
      <w:r w:rsidRPr="00B0372F">
        <w:rPr>
          <w:rtl/>
        </w:rPr>
        <w:t xml:space="preserve">צמיחה נמוכה יותר, </w:t>
      </w:r>
      <w:r w:rsidRPr="00B0372F">
        <w:rPr>
          <w:rFonts w:hint="cs"/>
          <w:rtl/>
        </w:rPr>
        <w:t>ב</w:t>
      </w:r>
      <w:r w:rsidRPr="00B0372F">
        <w:rPr>
          <w:rtl/>
        </w:rPr>
        <w:t>תוואי אינפלציה ו</w:t>
      </w:r>
      <w:r w:rsidRPr="00B0372F">
        <w:rPr>
          <w:rFonts w:hint="cs"/>
          <w:rtl/>
        </w:rPr>
        <w:t>ב</w:t>
      </w:r>
      <w:r w:rsidRPr="00B0372F">
        <w:rPr>
          <w:rtl/>
        </w:rPr>
        <w:t xml:space="preserve">ריבית גבוהים יותר, </w:t>
      </w:r>
      <w:r w:rsidRPr="00B0372F">
        <w:rPr>
          <w:rFonts w:hint="cs"/>
          <w:rtl/>
        </w:rPr>
        <w:t>בהתרחבות ה</w:t>
      </w:r>
      <w:r w:rsidRPr="00B0372F">
        <w:rPr>
          <w:rtl/>
        </w:rPr>
        <w:t>גירעון בתקציב המדינה</w:t>
      </w:r>
      <w:r w:rsidRPr="00B0372F">
        <w:rPr>
          <w:rFonts w:hint="cs"/>
          <w:rtl/>
        </w:rPr>
        <w:t xml:space="preserve"> והעמקה בסיכונים הכלכליים.</w:t>
      </w:r>
      <w:r w:rsidRPr="00B0372F">
        <w:rPr>
          <w:rtl/>
        </w:rPr>
        <w:t xml:space="preserve"> </w:t>
      </w:r>
      <w:r w:rsidRPr="00581AA4">
        <w:rPr>
          <w:rFonts w:hint="cs"/>
          <w:rtl/>
        </w:rPr>
        <w:t>מ</w:t>
      </w:r>
      <w:r>
        <w:rPr>
          <w:rFonts w:hint="cs"/>
          <w:rtl/>
        </w:rPr>
        <w:t>אידך</w:t>
      </w:r>
      <w:r w:rsidRPr="00581AA4">
        <w:rPr>
          <w:rFonts w:hint="cs"/>
          <w:rtl/>
        </w:rPr>
        <w:t xml:space="preserve">, </w:t>
      </w:r>
      <w:r>
        <w:rPr>
          <w:rFonts w:hint="cs"/>
          <w:rtl/>
        </w:rPr>
        <w:t xml:space="preserve">אם </w:t>
      </w:r>
      <w:r w:rsidRPr="00581AA4">
        <w:rPr>
          <w:rFonts w:hint="cs"/>
          <w:rtl/>
        </w:rPr>
        <w:t xml:space="preserve">השיחות המתקיימות בימים אלו </w:t>
      </w:r>
      <w:r>
        <w:rPr>
          <w:rFonts w:hint="cs"/>
          <w:rtl/>
        </w:rPr>
        <w:t>י</w:t>
      </w:r>
      <w:r w:rsidRPr="00581AA4">
        <w:rPr>
          <w:rFonts w:hint="cs"/>
          <w:rtl/>
        </w:rPr>
        <w:t>בשיל</w:t>
      </w:r>
      <w:r>
        <w:rPr>
          <w:rFonts w:hint="cs"/>
          <w:rtl/>
        </w:rPr>
        <w:t>ו</w:t>
      </w:r>
      <w:r w:rsidRPr="00581AA4">
        <w:rPr>
          <w:rFonts w:hint="cs"/>
          <w:rtl/>
        </w:rPr>
        <w:t xml:space="preserve"> לכדי הסכם הפסקת אש וסיום מהיר של המלחמה, </w:t>
      </w:r>
      <w:r>
        <w:rPr>
          <w:rFonts w:hint="cs"/>
          <w:rtl/>
        </w:rPr>
        <w:t xml:space="preserve">הדבר </w:t>
      </w:r>
      <w:r w:rsidRPr="00581AA4">
        <w:rPr>
          <w:rtl/>
        </w:rPr>
        <w:t xml:space="preserve">יקל על מגבלות </w:t>
      </w:r>
      <w:r w:rsidRPr="00581AA4">
        <w:rPr>
          <w:rFonts w:hint="cs"/>
          <w:rtl/>
        </w:rPr>
        <w:t>ההיצ</w:t>
      </w:r>
      <w:r w:rsidRPr="00581AA4">
        <w:rPr>
          <w:rFonts w:hint="eastAsia"/>
          <w:rtl/>
        </w:rPr>
        <w:t>ע</w:t>
      </w:r>
      <w:r w:rsidRPr="00581AA4">
        <w:rPr>
          <w:rtl/>
        </w:rPr>
        <w:t xml:space="preserve"> במשק</w:t>
      </w:r>
      <w:r w:rsidRPr="00581AA4">
        <w:rPr>
          <w:rFonts w:hint="cs"/>
          <w:rtl/>
        </w:rPr>
        <w:t>, מה שיתמוך בהרחבת הפעילות.</w:t>
      </w:r>
    </w:p>
    <w:p w:rsidR="0096452E" w:rsidRPr="00202530" w:rsidRDefault="0096452E" w:rsidP="0096452E">
      <w:pPr>
        <w:pStyle w:val="11"/>
        <w:spacing w:line="276" w:lineRule="auto"/>
        <w:rPr>
          <w:rFonts w:ascii="Calibri" w:hAnsi="Calibri" w:cs="Calibri"/>
          <w:rtl/>
        </w:rPr>
      </w:pPr>
      <w:r w:rsidRPr="00202530">
        <w:rPr>
          <w:rFonts w:ascii="Calibri" w:hAnsi="Calibri" w:cs="Calibri"/>
          <w:rtl/>
        </w:rPr>
        <w:t>התחזית</w:t>
      </w:r>
    </w:p>
    <w:p w:rsidR="0096452E" w:rsidRPr="00202530" w:rsidRDefault="0096452E" w:rsidP="0096452E">
      <w:pPr>
        <w:spacing w:after="120"/>
        <w:jc w:val="both"/>
        <w:rPr>
          <w:rFonts w:eastAsia="Calibri"/>
          <w:rtl/>
        </w:rPr>
      </w:pPr>
      <w:r w:rsidRPr="00202296">
        <w:rPr>
          <w:rFonts w:eastAsia="Calibri"/>
          <w:rtl/>
        </w:rPr>
        <w:t>חטיבת המחקר של בנק ישראל עורכת בכל רבעון תחזית מקרו-כלכלית שמתבססת על מספר מודלים, על מקורות מידע שונים ועל הערכות שיפוטיות. בתהליך זה יש תפקיד מרכזי למודל ה-</w:t>
      </w:r>
      <w:r w:rsidRPr="00202296">
        <w:rPr>
          <w:rFonts w:eastAsia="Calibri"/>
        </w:rPr>
        <w:t>DSGE (Dynamic Stochastic General Equilibrium)</w:t>
      </w:r>
      <w:r w:rsidRPr="00202296">
        <w:rPr>
          <w:rFonts w:eastAsia="Calibri"/>
          <w:rtl/>
        </w:rPr>
        <w:t xml:space="preserve"> שפותח בחטיבת המחקר – מודל מבני שמבוסס על יסודות מיקרו-כלכליים. המודל מספק מסגרת לניתוח הכוחות המשפיעים על </w:t>
      </w:r>
      <w:r>
        <w:rPr>
          <w:rFonts w:eastAsia="Calibri" w:hint="cs"/>
          <w:rtl/>
        </w:rPr>
        <w:t>המשק</w:t>
      </w:r>
      <w:r w:rsidRPr="00202296">
        <w:rPr>
          <w:rFonts w:eastAsia="Calibri"/>
          <w:rtl/>
        </w:rPr>
        <w:t xml:space="preserve"> והוא מאפשר לגבש את המידע מהמקורות השונים לכדי תחזית מקרו-כלכלית למשתנים ריאליים ונומינליים, המתאפיינת בעקביות פנימית ובסיפור כלכלי.</w:t>
      </w:r>
      <w:r w:rsidRPr="00202530">
        <w:rPr>
          <w:rFonts w:eastAsia="Calibri"/>
          <w:rtl/>
        </w:rPr>
        <w:t xml:space="preserve"> </w:t>
      </w:r>
    </w:p>
    <w:p w:rsidR="0096452E" w:rsidRPr="00153AEE" w:rsidRDefault="0096452E" w:rsidP="0096452E">
      <w:pPr>
        <w:pStyle w:val="a"/>
        <w:spacing w:line="276" w:lineRule="auto"/>
        <w:rPr>
          <w:rtl/>
        </w:rPr>
      </w:pPr>
      <w:r w:rsidRPr="00153AEE">
        <w:rPr>
          <w:rtl/>
        </w:rPr>
        <w:t>הסביבה העולמית</w:t>
      </w:r>
    </w:p>
    <w:p w:rsidR="0096452E" w:rsidRDefault="0096452E" w:rsidP="0096452E">
      <w:pPr>
        <w:tabs>
          <w:tab w:val="num" w:pos="720"/>
        </w:tabs>
        <w:spacing w:after="360"/>
        <w:jc w:val="both"/>
        <w:rPr>
          <w:rFonts w:eastAsia="Calibri"/>
          <w:color w:val="000000" w:themeColor="text1"/>
          <w:rtl/>
        </w:rPr>
      </w:pPr>
      <w:bookmarkStart w:id="1" w:name="_Hlk202427660"/>
      <w:r w:rsidRPr="00FE6161">
        <w:rPr>
          <w:rFonts w:eastAsia="Calibri"/>
          <w:rtl/>
        </w:rPr>
        <w:t>הערכותינו לגבי ההתפתחויות בסביבה העולמית מתבססות בעיקרן על התחזיות שמגבשים מוסדות בין-לאומיים ובתי השקעות זרים</w:t>
      </w:r>
      <w:r w:rsidRPr="00FE6161">
        <w:rPr>
          <w:rFonts w:eastAsia="Calibri"/>
          <w:color w:val="000000" w:themeColor="text1"/>
          <w:rtl/>
        </w:rPr>
        <w:t xml:space="preserve">. </w:t>
      </w:r>
      <w:r w:rsidRPr="00FE6161">
        <w:rPr>
          <w:rFonts w:eastAsia="Calibri"/>
          <w:rtl/>
        </w:rPr>
        <w:t xml:space="preserve">בהתאם, אנו מניחים כי </w:t>
      </w:r>
      <w:r>
        <w:rPr>
          <w:rFonts w:eastAsia="Calibri" w:hint="cs"/>
          <w:rtl/>
        </w:rPr>
        <w:t>התוצר של המדינות</w:t>
      </w:r>
      <w:r w:rsidRPr="00FE6161">
        <w:rPr>
          <w:rFonts w:eastAsia="Calibri"/>
          <w:rtl/>
        </w:rPr>
        <w:t xml:space="preserve"> המפותחות יצמח בשיעור של 1.</w:t>
      </w:r>
      <w:r>
        <w:rPr>
          <w:rFonts w:eastAsia="Calibri" w:hint="cs"/>
          <w:rtl/>
        </w:rPr>
        <w:t>4</w:t>
      </w:r>
      <w:r w:rsidRPr="00FE6161">
        <w:rPr>
          <w:rFonts w:eastAsia="Calibri"/>
          <w:rtl/>
        </w:rPr>
        <w:t xml:space="preserve">% </w:t>
      </w:r>
      <w:r>
        <w:rPr>
          <w:rFonts w:eastAsia="Calibri"/>
          <w:rtl/>
        </w:rPr>
        <w:t>בכל אחת מהשנים 2025 ו-2026</w:t>
      </w:r>
      <w:r w:rsidRPr="00FE6161">
        <w:rPr>
          <w:rFonts w:eastAsia="Calibri"/>
          <w:rtl/>
        </w:rPr>
        <w:t xml:space="preserve"> (בהשוואה ל-1.</w:t>
      </w:r>
      <w:r>
        <w:rPr>
          <w:rFonts w:eastAsia="Calibri" w:hint="cs"/>
          <w:rtl/>
        </w:rPr>
        <w:t>2</w:t>
      </w:r>
      <w:r w:rsidRPr="00FE6161">
        <w:rPr>
          <w:rFonts w:eastAsia="Calibri"/>
          <w:rtl/>
        </w:rPr>
        <w:t>% ו-1.</w:t>
      </w:r>
      <w:r>
        <w:rPr>
          <w:rFonts w:eastAsia="Calibri" w:hint="cs"/>
          <w:rtl/>
        </w:rPr>
        <w:t>3</w:t>
      </w:r>
      <w:r w:rsidRPr="00FE6161">
        <w:rPr>
          <w:rFonts w:eastAsia="Calibri"/>
          <w:rtl/>
        </w:rPr>
        <w:t xml:space="preserve">% </w:t>
      </w:r>
      <w:r>
        <w:rPr>
          <w:rFonts w:eastAsia="Calibri" w:hint="cs"/>
          <w:rtl/>
        </w:rPr>
        <w:t xml:space="preserve">בהתאמה, </w:t>
      </w:r>
      <w:r w:rsidRPr="00FE6161">
        <w:rPr>
          <w:rFonts w:eastAsia="Calibri"/>
          <w:rtl/>
        </w:rPr>
        <w:t xml:space="preserve">בתחזית </w:t>
      </w:r>
      <w:r>
        <w:rPr>
          <w:rFonts w:eastAsia="Calibri" w:hint="cs"/>
          <w:rtl/>
        </w:rPr>
        <w:t>יולי</w:t>
      </w:r>
      <w:r w:rsidRPr="00FE6161">
        <w:rPr>
          <w:rFonts w:eastAsia="Calibri"/>
          <w:rtl/>
        </w:rPr>
        <w:t>)</w:t>
      </w:r>
      <w:r>
        <w:rPr>
          <w:rFonts w:eastAsia="Calibri" w:hint="cs"/>
          <w:rtl/>
        </w:rPr>
        <w:t xml:space="preserve">, </w:t>
      </w:r>
      <w:r w:rsidRPr="00FE6161">
        <w:rPr>
          <w:rFonts w:eastAsia="Calibri"/>
          <w:rtl/>
        </w:rPr>
        <w:t>האינפלציה</w:t>
      </w:r>
      <w:r>
        <w:rPr>
          <w:rFonts w:eastAsia="Calibri" w:hint="cs"/>
          <w:rtl/>
        </w:rPr>
        <w:t xml:space="preserve"> </w:t>
      </w:r>
      <w:r w:rsidRPr="00FE6161">
        <w:rPr>
          <w:rFonts w:eastAsia="Calibri" w:hint="cs"/>
          <w:rtl/>
        </w:rPr>
        <w:t>של מדינות אלו</w:t>
      </w:r>
      <w:r>
        <w:rPr>
          <w:rFonts w:eastAsia="Calibri" w:hint="cs"/>
          <w:rtl/>
        </w:rPr>
        <w:t xml:space="preserve"> </w:t>
      </w:r>
      <w:r w:rsidRPr="00FE6161">
        <w:rPr>
          <w:rFonts w:eastAsia="Calibri"/>
          <w:rtl/>
        </w:rPr>
        <w:t xml:space="preserve">תעמוד על </w:t>
      </w:r>
      <w:r w:rsidRPr="00FE6161">
        <w:rPr>
          <w:rFonts w:eastAsia="Calibri" w:hint="cs"/>
          <w:rtl/>
        </w:rPr>
        <w:t>2.6</w:t>
      </w:r>
      <w:r w:rsidRPr="00FE6161">
        <w:rPr>
          <w:rFonts w:eastAsia="Calibri"/>
          <w:rtl/>
        </w:rPr>
        <w:t>% ו-</w:t>
      </w:r>
      <w:r w:rsidRPr="00FE6161">
        <w:rPr>
          <w:rFonts w:eastAsia="Calibri" w:hint="cs"/>
          <w:rtl/>
        </w:rPr>
        <w:t>2.</w:t>
      </w:r>
      <w:r>
        <w:rPr>
          <w:rFonts w:eastAsia="Calibri" w:hint="cs"/>
          <w:rtl/>
        </w:rPr>
        <w:t>2</w:t>
      </w:r>
      <w:r>
        <w:rPr>
          <w:rFonts w:eastAsia="Calibri"/>
          <w:rtl/>
        </w:rPr>
        <w:t xml:space="preserve">% </w:t>
      </w:r>
      <w:r w:rsidRPr="00FE6161">
        <w:rPr>
          <w:rFonts w:eastAsia="Calibri"/>
          <w:rtl/>
        </w:rPr>
        <w:t>באותן שנים (</w:t>
      </w:r>
      <w:r>
        <w:rPr>
          <w:rFonts w:eastAsia="Calibri" w:hint="cs"/>
          <w:rtl/>
        </w:rPr>
        <w:t xml:space="preserve">ללא שינוי </w:t>
      </w:r>
      <w:r w:rsidRPr="00FE6161">
        <w:rPr>
          <w:rFonts w:eastAsia="Calibri"/>
          <w:rtl/>
        </w:rPr>
        <w:t>לעומת</w:t>
      </w:r>
      <w:r>
        <w:rPr>
          <w:rFonts w:eastAsia="Calibri" w:hint="cs"/>
          <w:rtl/>
        </w:rPr>
        <w:t xml:space="preserve"> </w:t>
      </w:r>
      <w:r w:rsidRPr="00FE6161">
        <w:rPr>
          <w:rFonts w:eastAsia="Calibri"/>
          <w:rtl/>
        </w:rPr>
        <w:t xml:space="preserve">תחזית </w:t>
      </w:r>
      <w:r>
        <w:rPr>
          <w:rFonts w:eastAsia="Calibri" w:hint="cs"/>
          <w:rtl/>
        </w:rPr>
        <w:t>יולי</w:t>
      </w:r>
      <w:r w:rsidRPr="00FE6161">
        <w:rPr>
          <w:rFonts w:eastAsia="Calibri"/>
          <w:rtl/>
        </w:rPr>
        <w:t>), והריבית תעמוד על 3.</w:t>
      </w:r>
      <w:r w:rsidRPr="00FE6161">
        <w:rPr>
          <w:rFonts w:eastAsia="Calibri" w:hint="cs"/>
          <w:rtl/>
        </w:rPr>
        <w:t>3</w:t>
      </w:r>
      <w:r w:rsidRPr="00FE6161">
        <w:rPr>
          <w:rFonts w:eastAsia="Calibri"/>
          <w:rtl/>
        </w:rPr>
        <w:t>% ו-2.</w:t>
      </w:r>
      <w:r>
        <w:rPr>
          <w:rFonts w:eastAsia="Calibri" w:hint="cs"/>
          <w:rtl/>
        </w:rPr>
        <w:t>7</w:t>
      </w:r>
      <w:r w:rsidRPr="00FE6161">
        <w:rPr>
          <w:rFonts w:eastAsia="Calibri"/>
          <w:rtl/>
        </w:rPr>
        <w:t xml:space="preserve">% בשנים אלו (לעומת </w:t>
      </w:r>
      <w:r w:rsidRPr="00FE6161">
        <w:rPr>
          <w:rFonts w:eastAsia="Calibri" w:hint="cs"/>
          <w:rtl/>
        </w:rPr>
        <w:t>3</w:t>
      </w:r>
      <w:r w:rsidRPr="00FE6161">
        <w:rPr>
          <w:rFonts w:eastAsia="Calibri"/>
          <w:rtl/>
        </w:rPr>
        <w:t>.</w:t>
      </w:r>
      <w:r w:rsidRPr="00FE6161">
        <w:rPr>
          <w:rFonts w:eastAsia="Calibri" w:hint="cs"/>
          <w:rtl/>
        </w:rPr>
        <w:t>3</w:t>
      </w:r>
      <w:r w:rsidRPr="00FE6161">
        <w:rPr>
          <w:rFonts w:eastAsia="Calibri"/>
          <w:rtl/>
        </w:rPr>
        <w:t>% ו-2.</w:t>
      </w:r>
      <w:r w:rsidRPr="00FE6161">
        <w:rPr>
          <w:rFonts w:eastAsia="Calibri" w:hint="cs"/>
          <w:rtl/>
        </w:rPr>
        <w:t>9</w:t>
      </w:r>
      <w:r w:rsidRPr="00FE6161">
        <w:rPr>
          <w:rFonts w:eastAsia="Calibri"/>
          <w:rtl/>
        </w:rPr>
        <w:t xml:space="preserve">% בתחזית </w:t>
      </w:r>
      <w:r>
        <w:rPr>
          <w:rFonts w:eastAsia="Calibri" w:hint="cs"/>
          <w:color w:val="000000" w:themeColor="text1"/>
          <w:rtl/>
        </w:rPr>
        <w:t>יולי</w:t>
      </w:r>
      <w:r w:rsidRPr="00FE6161">
        <w:rPr>
          <w:rFonts w:eastAsia="Calibri"/>
          <w:color w:val="000000" w:themeColor="text1"/>
          <w:rtl/>
        </w:rPr>
        <w:t>). אשר ליבוא המדינות המפותחות, אנו מניחים כי הוא יצמח ב-</w:t>
      </w:r>
      <w:r w:rsidRPr="00FE6161">
        <w:rPr>
          <w:rFonts w:eastAsia="Calibri" w:hint="cs"/>
          <w:color w:val="000000" w:themeColor="text1"/>
          <w:rtl/>
        </w:rPr>
        <w:t>1.</w:t>
      </w:r>
      <w:r>
        <w:rPr>
          <w:rFonts w:eastAsia="Calibri" w:hint="cs"/>
          <w:color w:val="000000" w:themeColor="text1"/>
          <w:rtl/>
        </w:rPr>
        <w:t>8</w:t>
      </w:r>
      <w:r w:rsidRPr="00FE6161">
        <w:rPr>
          <w:rFonts w:eastAsia="Calibri"/>
          <w:color w:val="000000" w:themeColor="text1"/>
          <w:rtl/>
        </w:rPr>
        <w:t xml:space="preserve">% </w:t>
      </w:r>
      <w:r w:rsidRPr="00FE6161">
        <w:rPr>
          <w:rFonts w:eastAsia="Calibri" w:hint="cs"/>
          <w:color w:val="000000" w:themeColor="text1"/>
          <w:rtl/>
        </w:rPr>
        <w:t>בשנת 2025</w:t>
      </w:r>
      <w:r w:rsidRPr="00FE6161">
        <w:rPr>
          <w:rFonts w:eastAsia="Calibri"/>
          <w:color w:val="000000" w:themeColor="text1"/>
          <w:rtl/>
        </w:rPr>
        <w:t xml:space="preserve"> ו</w:t>
      </w:r>
      <w:r w:rsidRPr="00FE6161">
        <w:rPr>
          <w:rFonts w:eastAsia="Calibri" w:hint="cs"/>
          <w:color w:val="000000" w:themeColor="text1"/>
          <w:rtl/>
        </w:rPr>
        <w:t>ב-</w:t>
      </w:r>
      <w:r>
        <w:rPr>
          <w:rFonts w:eastAsia="Calibri" w:hint="cs"/>
          <w:color w:val="000000" w:themeColor="text1"/>
          <w:rtl/>
        </w:rPr>
        <w:t>1.2</w:t>
      </w:r>
      <w:r w:rsidRPr="00FE6161">
        <w:rPr>
          <w:rFonts w:eastAsia="Calibri" w:hint="cs"/>
          <w:color w:val="000000" w:themeColor="text1"/>
          <w:rtl/>
        </w:rPr>
        <w:t xml:space="preserve">% בשנת </w:t>
      </w:r>
      <w:r w:rsidRPr="00FE6161">
        <w:rPr>
          <w:rFonts w:eastAsia="Calibri"/>
          <w:color w:val="000000" w:themeColor="text1"/>
          <w:rtl/>
        </w:rPr>
        <w:t>2026</w:t>
      </w:r>
      <w:r w:rsidRPr="00FE6161">
        <w:rPr>
          <w:rFonts w:eastAsia="Calibri" w:hint="cs"/>
          <w:color w:val="000000" w:themeColor="text1"/>
          <w:rtl/>
        </w:rPr>
        <w:t xml:space="preserve"> (לעומת </w:t>
      </w:r>
      <w:r>
        <w:rPr>
          <w:rFonts w:eastAsia="Calibri" w:hint="cs"/>
          <w:color w:val="000000" w:themeColor="text1"/>
          <w:rtl/>
        </w:rPr>
        <w:t>1.9</w:t>
      </w:r>
      <w:r w:rsidRPr="00FE6161">
        <w:rPr>
          <w:rFonts w:eastAsia="Calibri" w:hint="cs"/>
          <w:color w:val="000000" w:themeColor="text1"/>
          <w:rtl/>
        </w:rPr>
        <w:t>% ו</w:t>
      </w:r>
      <w:r>
        <w:rPr>
          <w:rFonts w:eastAsia="Calibri" w:hint="cs"/>
          <w:color w:val="000000" w:themeColor="text1"/>
          <w:rtl/>
        </w:rPr>
        <w:t>-2.0</w:t>
      </w:r>
      <w:r w:rsidRPr="00FE6161">
        <w:rPr>
          <w:rFonts w:eastAsia="Calibri" w:hint="cs"/>
          <w:color w:val="000000" w:themeColor="text1"/>
          <w:rtl/>
        </w:rPr>
        <w:t xml:space="preserve">% בתחזית </w:t>
      </w:r>
      <w:r>
        <w:rPr>
          <w:rFonts w:eastAsia="Calibri" w:hint="cs"/>
          <w:color w:val="000000" w:themeColor="text1"/>
          <w:rtl/>
        </w:rPr>
        <w:t>יולי</w:t>
      </w:r>
      <w:r w:rsidRPr="00FE6161">
        <w:rPr>
          <w:rFonts w:eastAsia="Calibri" w:hint="cs"/>
          <w:color w:val="000000" w:themeColor="text1"/>
          <w:rtl/>
        </w:rPr>
        <w:t xml:space="preserve">). </w:t>
      </w:r>
      <w:r w:rsidRPr="00DD5028">
        <w:rPr>
          <w:rFonts w:eastAsia="Calibri"/>
          <w:color w:val="000000" w:themeColor="text1"/>
          <w:rtl/>
        </w:rPr>
        <w:t>מחירה של חבית נפט מסוג "ברנט" עומד כעת על כ-</w:t>
      </w:r>
      <w:r w:rsidRPr="00DD5028">
        <w:rPr>
          <w:rFonts w:eastAsia="Calibri" w:hint="cs"/>
          <w:color w:val="000000" w:themeColor="text1"/>
          <w:rtl/>
        </w:rPr>
        <w:t>6</w:t>
      </w:r>
      <w:r>
        <w:rPr>
          <w:rFonts w:eastAsia="Calibri" w:hint="cs"/>
          <w:color w:val="000000" w:themeColor="text1"/>
          <w:rtl/>
        </w:rPr>
        <w:t>8</w:t>
      </w:r>
      <w:r w:rsidRPr="00DD5028">
        <w:rPr>
          <w:rFonts w:eastAsia="Calibri" w:hint="cs"/>
          <w:color w:val="000000" w:themeColor="text1"/>
          <w:rtl/>
        </w:rPr>
        <w:t>$</w:t>
      </w:r>
      <w:r w:rsidRPr="00DD5028">
        <w:rPr>
          <w:rFonts w:eastAsia="Calibri"/>
          <w:color w:val="000000" w:themeColor="text1"/>
          <w:rtl/>
        </w:rPr>
        <w:t xml:space="preserve">, </w:t>
      </w:r>
      <w:r w:rsidRPr="00DD5028">
        <w:rPr>
          <w:rFonts w:eastAsia="Calibri" w:hint="cs"/>
          <w:color w:val="000000" w:themeColor="text1"/>
          <w:rtl/>
        </w:rPr>
        <w:t>דומה ל</w:t>
      </w:r>
      <w:r w:rsidRPr="00DD5028">
        <w:rPr>
          <w:rFonts w:eastAsia="Calibri"/>
          <w:color w:val="000000" w:themeColor="text1"/>
          <w:rtl/>
        </w:rPr>
        <w:t>רמתו ב</w:t>
      </w:r>
      <w:r w:rsidRPr="00DD5028">
        <w:rPr>
          <w:rFonts w:eastAsia="Calibri" w:hint="cs"/>
          <w:color w:val="000000" w:themeColor="text1"/>
          <w:rtl/>
        </w:rPr>
        <w:t xml:space="preserve">עת עריכת </w:t>
      </w:r>
      <w:r w:rsidRPr="00DD5028">
        <w:rPr>
          <w:rFonts w:eastAsia="Calibri"/>
          <w:color w:val="000000" w:themeColor="text1"/>
          <w:rtl/>
        </w:rPr>
        <w:t xml:space="preserve">תחזית </w:t>
      </w:r>
      <w:r w:rsidRPr="00DD5028">
        <w:rPr>
          <w:rFonts w:eastAsia="Calibri" w:hint="cs"/>
          <w:color w:val="000000" w:themeColor="text1"/>
          <w:rtl/>
        </w:rPr>
        <w:t>יולי (68$)</w:t>
      </w:r>
      <w:r w:rsidRPr="00DD5028">
        <w:rPr>
          <w:rFonts w:eastAsia="Calibri"/>
          <w:color w:val="000000" w:themeColor="text1"/>
          <w:rtl/>
        </w:rPr>
        <w:t>.</w:t>
      </w:r>
    </w:p>
    <w:p w:rsidR="0096452E" w:rsidRPr="00DD5028" w:rsidRDefault="0096452E" w:rsidP="0096452E">
      <w:pPr>
        <w:tabs>
          <w:tab w:val="num" w:pos="720"/>
        </w:tabs>
        <w:spacing w:after="360"/>
        <w:jc w:val="both"/>
        <w:rPr>
          <w:rFonts w:eastAsia="Calibri"/>
          <w:color w:val="000000" w:themeColor="text1"/>
          <w:rtl/>
        </w:rPr>
      </w:pPr>
    </w:p>
    <w:bookmarkEnd w:id="1"/>
    <w:tbl>
      <w:tblPr>
        <w:bidiVisual/>
        <w:tblW w:w="5062" w:type="pct"/>
        <w:jc w:val="center"/>
        <w:shd w:val="clear" w:color="auto" w:fill="FFFFFF" w:themeFill="background1"/>
        <w:tblLook w:val="04A0" w:firstRow="1" w:lastRow="0" w:firstColumn="1" w:lastColumn="0" w:noHBand="0" w:noVBand="1"/>
      </w:tblPr>
      <w:tblGrid>
        <w:gridCol w:w="652"/>
        <w:gridCol w:w="3282"/>
        <w:gridCol w:w="991"/>
        <w:gridCol w:w="991"/>
        <w:gridCol w:w="991"/>
        <w:gridCol w:w="987"/>
        <w:gridCol w:w="505"/>
        <w:gridCol w:w="1468"/>
      </w:tblGrid>
      <w:tr w:rsidR="0096452E" w:rsidRPr="00C94167" w:rsidTr="002867DC">
        <w:trPr>
          <w:trHeight w:val="375"/>
          <w:jc w:val="center"/>
        </w:trPr>
        <w:tc>
          <w:tcPr>
            <w:tcW w:w="331" w:type="pct"/>
            <w:tcBorders>
              <w:top w:val="nil"/>
              <w:left w:val="nil"/>
              <w:bottom w:val="nil"/>
              <w:right w:val="nil"/>
            </w:tcBorders>
            <w:shd w:val="clear" w:color="auto" w:fill="FFFFFF" w:themeFill="background1"/>
          </w:tcPr>
          <w:p w:rsidR="0096452E" w:rsidRDefault="0096452E" w:rsidP="0096452E">
            <w:pPr>
              <w:spacing w:after="0"/>
              <w:rPr>
                <w:rtl/>
              </w:rPr>
            </w:pPr>
          </w:p>
        </w:tc>
        <w:tc>
          <w:tcPr>
            <w:tcW w:w="4669" w:type="pct"/>
            <w:gridSpan w:val="7"/>
            <w:tcBorders>
              <w:top w:val="nil"/>
              <w:left w:val="nil"/>
              <w:bottom w:val="nil"/>
              <w:right w:val="nil"/>
            </w:tcBorders>
            <w:shd w:val="clear" w:color="auto" w:fill="FFFFFF" w:themeFill="background1"/>
            <w:noWrap/>
            <w:vAlign w:val="bottom"/>
            <w:hideMark/>
          </w:tcPr>
          <w:p w:rsidR="0096452E" w:rsidRPr="00C94167" w:rsidRDefault="0096452E" w:rsidP="0096452E">
            <w:pPr>
              <w:spacing w:after="0"/>
              <w:jc w:val="center"/>
              <w:rPr>
                <w:rFonts w:eastAsia="Times New Roman"/>
                <w:b/>
                <w:bCs/>
                <w:color w:val="000000"/>
                <w:sz w:val="24"/>
                <w:szCs w:val="24"/>
              </w:rPr>
            </w:pPr>
            <w:r w:rsidRPr="00B0372F">
              <w:rPr>
                <w:rFonts w:eastAsia="Times New Roman"/>
                <w:b/>
                <w:bCs/>
                <w:color w:val="000000"/>
                <w:sz w:val="24"/>
                <w:szCs w:val="24"/>
                <w:rtl/>
              </w:rPr>
              <w:br w:type="page"/>
            </w:r>
            <w:r w:rsidRPr="00C94167">
              <w:rPr>
                <w:rFonts w:eastAsia="Times New Roman"/>
                <w:b/>
                <w:bCs/>
                <w:color w:val="000000"/>
                <w:sz w:val="24"/>
                <w:szCs w:val="24"/>
                <w:rtl/>
              </w:rPr>
              <w:t xml:space="preserve">לוח  1 </w:t>
            </w:r>
            <w:r w:rsidRPr="00B0372F">
              <w:rPr>
                <w:rFonts w:eastAsia="Times New Roman"/>
                <w:b/>
                <w:bCs/>
                <w:color w:val="000000"/>
                <w:sz w:val="24"/>
                <w:szCs w:val="24"/>
                <w:rtl/>
              </w:rPr>
              <w:t>|</w:t>
            </w:r>
            <w:r w:rsidRPr="00C94167">
              <w:rPr>
                <w:rFonts w:eastAsia="Times New Roman"/>
                <w:b/>
                <w:bCs/>
                <w:color w:val="000000"/>
                <w:sz w:val="24"/>
                <w:szCs w:val="24"/>
                <w:rtl/>
              </w:rPr>
              <w:t xml:space="preserve"> תחזית חטיבת המחקר לשנים 2025—2026</w:t>
            </w:r>
            <w:r>
              <w:rPr>
                <w:rFonts w:eastAsia="Times New Roman" w:hint="cs"/>
                <w:b/>
                <w:bCs/>
                <w:color w:val="000000"/>
                <w:sz w:val="24"/>
                <w:szCs w:val="24"/>
                <w:rtl/>
              </w:rPr>
              <w:t xml:space="preserve"> (</w:t>
            </w:r>
            <w:r w:rsidRPr="00B0372F">
              <w:rPr>
                <w:rFonts w:eastAsia="Times New Roman" w:hint="eastAsia"/>
                <w:b/>
                <w:bCs/>
                <w:color w:val="000000"/>
                <w:sz w:val="24"/>
                <w:szCs w:val="24"/>
                <w:rtl/>
              </w:rPr>
              <w:t>תרחיש</w:t>
            </w:r>
            <w:r w:rsidRPr="00B0372F">
              <w:rPr>
                <w:rFonts w:eastAsia="Times New Roman"/>
                <w:b/>
                <w:bCs/>
                <w:color w:val="000000"/>
                <w:sz w:val="24"/>
                <w:szCs w:val="24"/>
                <w:rtl/>
              </w:rPr>
              <w:t xml:space="preserve"> </w:t>
            </w:r>
            <w:r w:rsidRPr="00B0372F">
              <w:rPr>
                <w:rFonts w:eastAsia="Times New Roman" w:hint="eastAsia"/>
                <w:b/>
                <w:bCs/>
                <w:color w:val="000000"/>
                <w:sz w:val="24"/>
                <w:szCs w:val="24"/>
                <w:rtl/>
              </w:rPr>
              <w:t>סיום</w:t>
            </w:r>
            <w:r w:rsidRPr="00B0372F">
              <w:rPr>
                <w:rFonts w:eastAsia="Times New Roman"/>
                <w:b/>
                <w:bCs/>
                <w:color w:val="000000"/>
                <w:sz w:val="24"/>
                <w:szCs w:val="24"/>
                <w:rtl/>
              </w:rPr>
              <w:t xml:space="preserve"> </w:t>
            </w:r>
            <w:r w:rsidRPr="00B0372F">
              <w:rPr>
                <w:rFonts w:eastAsia="Times New Roman" w:hint="eastAsia"/>
                <w:b/>
                <w:bCs/>
                <w:color w:val="000000"/>
                <w:sz w:val="24"/>
                <w:szCs w:val="24"/>
                <w:rtl/>
              </w:rPr>
              <w:t>הלחימה</w:t>
            </w:r>
            <w:r w:rsidRPr="00B0372F">
              <w:rPr>
                <w:rFonts w:eastAsia="Times New Roman"/>
                <w:b/>
                <w:bCs/>
                <w:color w:val="000000"/>
                <w:sz w:val="24"/>
                <w:szCs w:val="24"/>
                <w:rtl/>
              </w:rPr>
              <w:t xml:space="preserve"> </w:t>
            </w:r>
            <w:r w:rsidRPr="00B0372F">
              <w:rPr>
                <w:rFonts w:eastAsia="Times New Roman" w:hint="eastAsia"/>
                <w:b/>
                <w:bCs/>
                <w:color w:val="000000"/>
                <w:sz w:val="24"/>
                <w:szCs w:val="24"/>
                <w:rtl/>
              </w:rPr>
              <w:t>ברבעון</w:t>
            </w:r>
            <w:r w:rsidRPr="00B0372F">
              <w:rPr>
                <w:rFonts w:eastAsia="Times New Roman"/>
                <w:b/>
                <w:bCs/>
                <w:color w:val="000000"/>
                <w:sz w:val="24"/>
                <w:szCs w:val="24"/>
                <w:rtl/>
              </w:rPr>
              <w:t xml:space="preserve"> </w:t>
            </w:r>
            <w:r w:rsidRPr="00B0372F">
              <w:rPr>
                <w:rFonts w:eastAsia="Times New Roman" w:hint="eastAsia"/>
                <w:b/>
                <w:bCs/>
                <w:color w:val="000000"/>
                <w:sz w:val="24"/>
                <w:szCs w:val="24"/>
                <w:rtl/>
              </w:rPr>
              <w:t>הראשון</w:t>
            </w:r>
            <w:r w:rsidRPr="00B0372F">
              <w:rPr>
                <w:rFonts w:eastAsia="Times New Roman"/>
                <w:b/>
                <w:bCs/>
                <w:color w:val="000000"/>
                <w:sz w:val="24"/>
                <w:szCs w:val="24"/>
                <w:rtl/>
              </w:rPr>
              <w:t xml:space="preserve"> </w:t>
            </w:r>
            <w:r w:rsidRPr="00B0372F">
              <w:rPr>
                <w:rFonts w:eastAsia="Times New Roman" w:hint="eastAsia"/>
                <w:b/>
                <w:bCs/>
                <w:color w:val="000000"/>
                <w:sz w:val="24"/>
                <w:szCs w:val="24"/>
                <w:rtl/>
              </w:rPr>
              <w:t>של</w:t>
            </w:r>
            <w:r w:rsidRPr="00B0372F">
              <w:rPr>
                <w:rFonts w:eastAsia="Times New Roman"/>
                <w:b/>
                <w:bCs/>
                <w:color w:val="000000"/>
                <w:sz w:val="24"/>
                <w:szCs w:val="24"/>
                <w:rtl/>
              </w:rPr>
              <w:t xml:space="preserve"> 2026</w:t>
            </w:r>
            <w:r>
              <w:rPr>
                <w:rFonts w:eastAsia="Times New Roman" w:hint="cs"/>
                <w:b/>
                <w:bCs/>
                <w:color w:val="000000"/>
                <w:sz w:val="24"/>
                <w:szCs w:val="24"/>
                <w:rtl/>
              </w:rPr>
              <w:t>)</w:t>
            </w:r>
          </w:p>
        </w:tc>
      </w:tr>
      <w:tr w:rsidR="0096452E" w:rsidRPr="00C94167" w:rsidTr="002867DC">
        <w:trPr>
          <w:trHeight w:val="360"/>
          <w:jc w:val="center"/>
        </w:trPr>
        <w:tc>
          <w:tcPr>
            <w:tcW w:w="331" w:type="pct"/>
            <w:tcBorders>
              <w:top w:val="nil"/>
              <w:left w:val="nil"/>
              <w:bottom w:val="nil"/>
              <w:right w:val="nil"/>
            </w:tcBorders>
            <w:shd w:val="clear" w:color="auto" w:fill="FFFFFF" w:themeFill="background1"/>
          </w:tcPr>
          <w:p w:rsidR="0096452E" w:rsidRPr="00C94167" w:rsidRDefault="0096452E" w:rsidP="0096452E">
            <w:pPr>
              <w:spacing w:after="0"/>
              <w:rPr>
                <w:rFonts w:eastAsia="Times New Roman"/>
                <w:color w:val="000000"/>
                <w:rtl/>
              </w:rPr>
            </w:pPr>
          </w:p>
        </w:tc>
        <w:tc>
          <w:tcPr>
            <w:tcW w:w="4669" w:type="pct"/>
            <w:gridSpan w:val="7"/>
            <w:tcBorders>
              <w:top w:val="nil"/>
              <w:left w:val="nil"/>
              <w:bottom w:val="nil"/>
              <w:right w:val="nil"/>
            </w:tcBorders>
            <w:shd w:val="clear" w:color="auto" w:fill="FFFFFF" w:themeFill="background1"/>
            <w:noWrap/>
            <w:vAlign w:val="bottom"/>
            <w:hideMark/>
          </w:tcPr>
          <w:p w:rsidR="0096452E" w:rsidRPr="00C94167" w:rsidRDefault="0096452E" w:rsidP="0096452E">
            <w:pPr>
              <w:spacing w:after="0"/>
              <w:jc w:val="center"/>
              <w:rPr>
                <w:rFonts w:eastAsia="Times New Roman"/>
                <w:color w:val="000000"/>
                <w:sz w:val="24"/>
                <w:szCs w:val="24"/>
                <w:rtl/>
              </w:rPr>
            </w:pPr>
            <w:r w:rsidRPr="00C94167">
              <w:rPr>
                <w:rFonts w:eastAsia="Times New Roman"/>
                <w:color w:val="000000"/>
                <w:rtl/>
              </w:rPr>
              <w:t>(שיעורי השינוי השנתיים באחוזים</w:t>
            </w:r>
            <w:r w:rsidRPr="00C94167">
              <w:rPr>
                <w:rFonts w:eastAsia="Times New Roman"/>
                <w:color w:val="000000"/>
                <w:vertAlign w:val="superscript"/>
                <w:rtl/>
              </w:rPr>
              <w:t>1</w:t>
            </w:r>
            <w:r w:rsidRPr="00C94167">
              <w:rPr>
                <w:rFonts w:eastAsia="Times New Roman"/>
                <w:color w:val="000000"/>
                <w:rtl/>
              </w:rPr>
              <w:t>, אלא אם צוין אחרת)</w:t>
            </w:r>
          </w:p>
        </w:tc>
      </w:tr>
      <w:tr w:rsidR="0096452E" w:rsidRPr="00C94167" w:rsidTr="002867DC">
        <w:trPr>
          <w:gridAfter w:val="1"/>
          <w:wAfter w:w="744" w:type="pct"/>
          <w:trHeight w:val="315"/>
          <w:jc w:val="center"/>
        </w:trPr>
        <w:tc>
          <w:tcPr>
            <w:tcW w:w="1994" w:type="pct"/>
            <w:gridSpan w:val="2"/>
            <w:tcBorders>
              <w:top w:val="single" w:sz="4" w:space="0" w:color="1F497D"/>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color w:val="000000"/>
                <w:sz w:val="24"/>
                <w:szCs w:val="24"/>
                <w:rtl/>
              </w:rPr>
            </w:pPr>
            <w:bookmarkStart w:id="2" w:name="_Hlk202427682"/>
            <w:r w:rsidRPr="00C94167">
              <w:rPr>
                <w:rFonts w:eastAsia="Times New Roman"/>
                <w:color w:val="000000"/>
                <w:sz w:val="24"/>
                <w:szCs w:val="24"/>
                <w:rtl/>
              </w:rPr>
              <w:t> </w:t>
            </w:r>
          </w:p>
        </w:tc>
        <w:tc>
          <w:tcPr>
            <w:tcW w:w="1003" w:type="pct"/>
            <w:gridSpan w:val="2"/>
            <w:tcBorders>
              <w:top w:val="single" w:sz="4" w:space="0" w:color="1F497D"/>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1F497D"/>
                <w:sz w:val="24"/>
                <w:szCs w:val="24"/>
                <w:rtl/>
              </w:rPr>
            </w:pPr>
            <w:r w:rsidRPr="00C94167">
              <w:rPr>
                <w:rFonts w:eastAsia="Times New Roman"/>
                <w:b/>
                <w:bCs/>
                <w:color w:val="1F497D"/>
                <w:sz w:val="24"/>
                <w:szCs w:val="24"/>
                <w:rtl/>
              </w:rPr>
              <w:t>2025</w:t>
            </w:r>
          </w:p>
        </w:tc>
        <w:tc>
          <w:tcPr>
            <w:tcW w:w="1002" w:type="pct"/>
            <w:gridSpan w:val="2"/>
            <w:tcBorders>
              <w:top w:val="single" w:sz="4" w:space="0" w:color="1F497D"/>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1F497D"/>
                <w:sz w:val="24"/>
                <w:szCs w:val="24"/>
                <w:rtl/>
              </w:rPr>
            </w:pPr>
            <w:r w:rsidRPr="00C94167">
              <w:rPr>
                <w:rFonts w:eastAsia="Times New Roman"/>
                <w:b/>
                <w:bCs/>
                <w:color w:val="1F497D"/>
                <w:sz w:val="24"/>
                <w:szCs w:val="24"/>
                <w:rtl/>
              </w:rPr>
              <w:t>2026</w:t>
            </w:r>
          </w:p>
        </w:tc>
        <w:tc>
          <w:tcPr>
            <w:tcW w:w="256" w:type="pct"/>
            <w:tcBorders>
              <w:top w:val="single" w:sz="4" w:space="0" w:color="1F497D"/>
              <w:left w:val="nil"/>
              <w:bottom w:val="nil"/>
              <w:right w:val="nil"/>
            </w:tcBorders>
            <w:shd w:val="clear" w:color="auto" w:fill="FFFFFF" w:themeFill="background1"/>
          </w:tcPr>
          <w:p w:rsidR="0096452E" w:rsidRPr="00C94167" w:rsidRDefault="0096452E" w:rsidP="0096452E">
            <w:pPr>
              <w:spacing w:after="0"/>
              <w:rPr>
                <w:rFonts w:eastAsia="Times New Roman"/>
                <w:b/>
                <w:bCs/>
                <w:color w:val="1F497D"/>
                <w:sz w:val="24"/>
                <w:szCs w:val="24"/>
                <w:rtl/>
              </w:rPr>
            </w:pPr>
          </w:p>
        </w:tc>
      </w:tr>
      <w:tr w:rsidR="0096452E" w:rsidRPr="00C94167" w:rsidTr="002867DC">
        <w:trPr>
          <w:gridAfter w:val="1"/>
          <w:wAfter w:w="744" w:type="pct"/>
          <w:trHeight w:val="494"/>
          <w:jc w:val="center"/>
        </w:trPr>
        <w:tc>
          <w:tcPr>
            <w:tcW w:w="1994" w:type="pct"/>
            <w:gridSpan w:val="2"/>
            <w:tcBorders>
              <w:top w:val="nil"/>
              <w:left w:val="nil"/>
              <w:bottom w:val="single" w:sz="4" w:space="0" w:color="1F497D"/>
              <w:right w:val="nil"/>
            </w:tcBorders>
            <w:shd w:val="clear" w:color="auto" w:fill="FFFFFF" w:themeFill="background1"/>
            <w:noWrap/>
            <w:vAlign w:val="bottom"/>
            <w:hideMark/>
          </w:tcPr>
          <w:p w:rsidR="0096452E" w:rsidRPr="00C94167" w:rsidRDefault="0096452E" w:rsidP="0096452E">
            <w:pPr>
              <w:spacing w:after="0"/>
              <w:rPr>
                <w:rFonts w:eastAsia="Times New Roman"/>
                <w:color w:val="000000"/>
                <w:sz w:val="20"/>
                <w:szCs w:val="20"/>
              </w:rPr>
            </w:pPr>
            <w:r w:rsidRPr="00C94167">
              <w:rPr>
                <w:rFonts w:eastAsia="Times New Roman"/>
                <w:color w:val="000000"/>
                <w:sz w:val="20"/>
                <w:szCs w:val="20"/>
              </w:rPr>
              <w:t> </w:t>
            </w:r>
          </w:p>
        </w:tc>
        <w:tc>
          <w:tcPr>
            <w:tcW w:w="502" w:type="pct"/>
            <w:tcBorders>
              <w:top w:val="nil"/>
              <w:left w:val="nil"/>
              <w:bottom w:val="single" w:sz="4" w:space="0" w:color="1F497D"/>
              <w:right w:val="nil"/>
            </w:tcBorders>
            <w:shd w:val="clear" w:color="auto" w:fill="FFFFFF" w:themeFill="background1"/>
            <w:hideMark/>
          </w:tcPr>
          <w:p w:rsidR="0096452E" w:rsidRPr="00C94167" w:rsidRDefault="0096452E" w:rsidP="0096452E">
            <w:pPr>
              <w:spacing w:after="0"/>
              <w:rPr>
                <w:rFonts w:eastAsia="Times New Roman"/>
                <w:color w:val="1F497D"/>
                <w:rtl/>
              </w:rPr>
            </w:pPr>
            <w:r w:rsidRPr="00C94167">
              <w:rPr>
                <w:rFonts w:eastAsia="Times New Roman"/>
                <w:color w:val="1F497D"/>
                <w:rtl/>
              </w:rPr>
              <w:t>התחזית ל-2025</w:t>
            </w:r>
          </w:p>
        </w:tc>
        <w:tc>
          <w:tcPr>
            <w:tcW w:w="502" w:type="pct"/>
            <w:tcBorders>
              <w:top w:val="nil"/>
              <w:left w:val="nil"/>
              <w:bottom w:val="single" w:sz="4" w:space="0" w:color="1F497D"/>
              <w:right w:val="nil"/>
            </w:tcBorders>
            <w:shd w:val="clear" w:color="auto" w:fill="FFFFFF" w:themeFill="background1"/>
            <w:hideMark/>
          </w:tcPr>
          <w:p w:rsidR="0096452E" w:rsidRPr="00C94167" w:rsidRDefault="0096452E" w:rsidP="0096452E">
            <w:pPr>
              <w:spacing w:after="0"/>
              <w:rPr>
                <w:rFonts w:eastAsia="Times New Roman"/>
                <w:color w:val="1F497D"/>
                <w:rtl/>
              </w:rPr>
            </w:pPr>
            <w:r>
              <w:rPr>
                <w:rFonts w:eastAsia="Times New Roman"/>
                <w:color w:val="1F497D"/>
                <w:rtl/>
              </w:rPr>
              <w:t>השינוי מתחזית</w:t>
            </w:r>
            <w:r>
              <w:rPr>
                <w:rFonts w:eastAsia="Times New Roman" w:hint="cs"/>
                <w:color w:val="1F497D"/>
                <w:rtl/>
              </w:rPr>
              <w:t xml:space="preserve"> יולי</w:t>
            </w:r>
          </w:p>
        </w:tc>
        <w:tc>
          <w:tcPr>
            <w:tcW w:w="502" w:type="pct"/>
            <w:tcBorders>
              <w:top w:val="nil"/>
              <w:left w:val="nil"/>
              <w:bottom w:val="single" w:sz="4" w:space="0" w:color="1F497D"/>
              <w:right w:val="nil"/>
            </w:tcBorders>
            <w:shd w:val="clear" w:color="auto" w:fill="FFFFFF" w:themeFill="background1"/>
            <w:hideMark/>
          </w:tcPr>
          <w:p w:rsidR="0096452E" w:rsidRPr="00C94167" w:rsidRDefault="0096452E" w:rsidP="0096452E">
            <w:pPr>
              <w:spacing w:after="0"/>
              <w:rPr>
                <w:rFonts w:eastAsia="Times New Roman"/>
                <w:color w:val="1F497D"/>
                <w:rtl/>
              </w:rPr>
            </w:pPr>
            <w:r w:rsidRPr="00C94167">
              <w:rPr>
                <w:rFonts w:eastAsia="Times New Roman"/>
                <w:color w:val="1F497D"/>
                <w:rtl/>
              </w:rPr>
              <w:t>התחזית ל-2026</w:t>
            </w:r>
          </w:p>
        </w:tc>
        <w:tc>
          <w:tcPr>
            <w:tcW w:w="500" w:type="pct"/>
            <w:tcBorders>
              <w:top w:val="nil"/>
              <w:left w:val="nil"/>
              <w:bottom w:val="single" w:sz="4" w:space="0" w:color="1F497D"/>
              <w:right w:val="nil"/>
            </w:tcBorders>
            <w:shd w:val="clear" w:color="auto" w:fill="FFFFFF" w:themeFill="background1"/>
            <w:hideMark/>
          </w:tcPr>
          <w:p w:rsidR="0096452E" w:rsidRPr="00C94167" w:rsidRDefault="0096452E" w:rsidP="0096452E">
            <w:pPr>
              <w:spacing w:after="0"/>
              <w:rPr>
                <w:rFonts w:eastAsia="Times New Roman"/>
                <w:color w:val="1F497D"/>
                <w:rtl/>
              </w:rPr>
            </w:pPr>
            <w:r w:rsidRPr="00C94167">
              <w:rPr>
                <w:rFonts w:eastAsia="Times New Roman"/>
                <w:color w:val="1F497D"/>
                <w:rtl/>
              </w:rPr>
              <w:t xml:space="preserve">השינוי מתחזית </w:t>
            </w:r>
            <w:r>
              <w:rPr>
                <w:rFonts w:eastAsia="Times New Roman" w:hint="cs"/>
                <w:color w:val="1F497D"/>
                <w:rtl/>
              </w:rPr>
              <w:t>יולי</w:t>
            </w:r>
          </w:p>
        </w:tc>
        <w:tc>
          <w:tcPr>
            <w:tcW w:w="256" w:type="pct"/>
            <w:tcBorders>
              <w:top w:val="nil"/>
              <w:left w:val="nil"/>
              <w:bottom w:val="single" w:sz="4" w:space="0" w:color="1F497D"/>
              <w:right w:val="nil"/>
            </w:tcBorders>
            <w:shd w:val="clear" w:color="auto" w:fill="FFFFFF" w:themeFill="background1"/>
          </w:tcPr>
          <w:p w:rsidR="0096452E" w:rsidRPr="00C94167" w:rsidRDefault="0096452E" w:rsidP="0096452E">
            <w:pPr>
              <w:spacing w:after="0"/>
              <w:rPr>
                <w:rFonts w:eastAsia="Times New Roman"/>
                <w:color w:val="1F497D"/>
                <w:rtl/>
              </w:rPr>
            </w:pPr>
          </w:p>
        </w:tc>
      </w:tr>
      <w:tr w:rsidR="0096452E" w:rsidRPr="00C94167" w:rsidTr="002867DC">
        <w:trPr>
          <w:gridAfter w:val="1"/>
          <w:wAfter w:w="744" w:type="pct"/>
          <w:trHeight w:val="300"/>
          <w:jc w:val="center"/>
        </w:trPr>
        <w:tc>
          <w:tcPr>
            <w:tcW w:w="1994" w:type="pct"/>
            <w:gridSpan w:val="2"/>
            <w:tcBorders>
              <w:top w:val="nil"/>
              <w:left w:val="nil"/>
              <w:bottom w:val="nil"/>
              <w:right w:val="nil"/>
            </w:tcBorders>
            <w:shd w:val="clear" w:color="auto" w:fill="FFFFFF" w:themeFill="background1"/>
            <w:vAlign w:val="center"/>
            <w:hideMark/>
          </w:tcPr>
          <w:p w:rsidR="0096452E" w:rsidRPr="00C94167" w:rsidRDefault="0096452E" w:rsidP="0096452E">
            <w:pPr>
              <w:spacing w:after="0"/>
              <w:rPr>
                <w:rFonts w:eastAsia="Times New Roman"/>
                <w:rtl/>
              </w:rPr>
            </w:pPr>
            <w:r w:rsidRPr="00C94167">
              <w:rPr>
                <w:rFonts w:eastAsia="Times New Roman"/>
                <w:rtl/>
              </w:rPr>
              <w:t>תוצר מקומי גולמי</w:t>
            </w:r>
          </w:p>
        </w:tc>
        <w:tc>
          <w:tcPr>
            <w:tcW w:w="502"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000000"/>
              </w:rPr>
            </w:pPr>
            <w:r>
              <w:rPr>
                <w:rFonts w:eastAsia="Times New Roman" w:hint="cs"/>
                <w:b/>
                <w:bCs/>
                <w:color w:val="000000"/>
                <w:rtl/>
              </w:rPr>
              <w:t>2.5</w:t>
            </w:r>
          </w:p>
        </w:tc>
        <w:tc>
          <w:tcPr>
            <w:tcW w:w="502" w:type="pct"/>
            <w:tcBorders>
              <w:top w:val="nil"/>
              <w:left w:val="nil"/>
              <w:bottom w:val="nil"/>
              <w:right w:val="nil"/>
            </w:tcBorders>
            <w:shd w:val="clear" w:color="auto" w:fill="FFFFFF" w:themeFill="background1"/>
            <w:noWrap/>
            <w:vAlign w:val="bottom"/>
            <w:hideMark/>
          </w:tcPr>
          <w:p w:rsidR="0096452E" w:rsidRPr="00556EFB" w:rsidRDefault="0096452E" w:rsidP="0096452E">
            <w:pPr>
              <w:spacing w:after="0"/>
              <w:rPr>
                <w:rFonts w:eastAsia="Times New Roman"/>
                <w:color w:val="1F497D"/>
              </w:rPr>
            </w:pPr>
            <w:r>
              <w:rPr>
                <w:rFonts w:eastAsia="Times New Roman"/>
                <w:color w:val="1F497D"/>
              </w:rPr>
              <w:t>-0.8</w:t>
            </w:r>
          </w:p>
        </w:tc>
        <w:tc>
          <w:tcPr>
            <w:tcW w:w="502"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000000"/>
              </w:rPr>
            </w:pPr>
            <w:r>
              <w:rPr>
                <w:rFonts w:eastAsia="Times New Roman"/>
                <w:b/>
                <w:bCs/>
                <w:color w:val="000000"/>
              </w:rPr>
              <w:t>4.7</w:t>
            </w:r>
          </w:p>
        </w:tc>
        <w:tc>
          <w:tcPr>
            <w:tcW w:w="500" w:type="pct"/>
            <w:tcBorders>
              <w:top w:val="nil"/>
              <w:left w:val="nil"/>
              <w:bottom w:val="nil"/>
              <w:right w:val="nil"/>
            </w:tcBorders>
            <w:shd w:val="clear" w:color="auto" w:fill="FFFFFF" w:themeFill="background1"/>
            <w:noWrap/>
            <w:vAlign w:val="bottom"/>
            <w:hideMark/>
          </w:tcPr>
          <w:p w:rsidR="0096452E" w:rsidRPr="00042C98" w:rsidRDefault="0096452E" w:rsidP="0096452E">
            <w:pPr>
              <w:spacing w:after="0"/>
              <w:rPr>
                <w:rFonts w:eastAsia="Times New Roman"/>
                <w:color w:val="FF0000"/>
                <w:rtl/>
              </w:rPr>
            </w:pPr>
            <w:r>
              <w:rPr>
                <w:rFonts w:eastAsia="Times New Roman"/>
                <w:color w:val="1F497D"/>
              </w:rPr>
              <w:t>0.1</w:t>
            </w:r>
          </w:p>
        </w:tc>
        <w:tc>
          <w:tcPr>
            <w:tcW w:w="256" w:type="pct"/>
            <w:tcBorders>
              <w:top w:val="nil"/>
              <w:left w:val="nil"/>
              <w:bottom w:val="nil"/>
              <w:right w:val="nil"/>
            </w:tcBorders>
            <w:shd w:val="clear" w:color="auto" w:fill="FFFFFF" w:themeFill="background1"/>
          </w:tcPr>
          <w:p w:rsidR="0096452E" w:rsidRDefault="0096452E" w:rsidP="0096452E">
            <w:pPr>
              <w:spacing w:after="0"/>
              <w:rPr>
                <w:rFonts w:eastAsia="Times New Roman"/>
                <w:color w:val="1F497D"/>
              </w:rPr>
            </w:pPr>
          </w:p>
        </w:tc>
      </w:tr>
      <w:tr w:rsidR="0096452E" w:rsidRPr="00C94167" w:rsidTr="002867DC">
        <w:trPr>
          <w:gridAfter w:val="1"/>
          <w:wAfter w:w="744" w:type="pct"/>
          <w:trHeight w:val="300"/>
          <w:jc w:val="center"/>
        </w:trPr>
        <w:tc>
          <w:tcPr>
            <w:tcW w:w="1994" w:type="pct"/>
            <w:gridSpan w:val="2"/>
            <w:tcBorders>
              <w:top w:val="nil"/>
              <w:left w:val="nil"/>
              <w:bottom w:val="nil"/>
              <w:right w:val="nil"/>
            </w:tcBorders>
            <w:shd w:val="clear" w:color="auto" w:fill="FFFFFF" w:themeFill="background1"/>
            <w:vAlign w:val="center"/>
            <w:hideMark/>
          </w:tcPr>
          <w:p w:rsidR="0096452E" w:rsidRPr="00C94167" w:rsidRDefault="0096452E" w:rsidP="0096452E">
            <w:pPr>
              <w:spacing w:after="0"/>
              <w:rPr>
                <w:rFonts w:eastAsia="Times New Roman"/>
              </w:rPr>
            </w:pPr>
            <w:r w:rsidRPr="00C94167">
              <w:rPr>
                <w:rFonts w:eastAsia="Times New Roman"/>
                <w:rtl/>
              </w:rPr>
              <w:t>צריכה פרטית</w:t>
            </w:r>
          </w:p>
        </w:tc>
        <w:tc>
          <w:tcPr>
            <w:tcW w:w="502"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000000"/>
              </w:rPr>
            </w:pPr>
            <w:r>
              <w:rPr>
                <w:rFonts w:eastAsia="Times New Roman" w:hint="cs"/>
                <w:b/>
                <w:bCs/>
                <w:color w:val="000000"/>
                <w:rtl/>
              </w:rPr>
              <w:t>3.0</w:t>
            </w:r>
          </w:p>
        </w:tc>
        <w:tc>
          <w:tcPr>
            <w:tcW w:w="502"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color w:val="1F497D"/>
              </w:rPr>
            </w:pPr>
            <w:r>
              <w:rPr>
                <w:rFonts w:eastAsia="Times New Roman"/>
                <w:color w:val="1F497D"/>
              </w:rPr>
              <w:t>-0.5</w:t>
            </w:r>
          </w:p>
        </w:tc>
        <w:tc>
          <w:tcPr>
            <w:tcW w:w="502"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000000"/>
              </w:rPr>
            </w:pPr>
            <w:r>
              <w:rPr>
                <w:rFonts w:eastAsia="Times New Roman"/>
                <w:b/>
                <w:bCs/>
                <w:color w:val="000000"/>
              </w:rPr>
              <w:t>7.0</w:t>
            </w:r>
          </w:p>
        </w:tc>
        <w:tc>
          <w:tcPr>
            <w:tcW w:w="500"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color w:val="1F497D"/>
              </w:rPr>
            </w:pPr>
            <w:r>
              <w:rPr>
                <w:rFonts w:eastAsia="Times New Roman"/>
                <w:color w:val="1F497D"/>
              </w:rPr>
              <w:t>0.0</w:t>
            </w:r>
          </w:p>
        </w:tc>
        <w:tc>
          <w:tcPr>
            <w:tcW w:w="256" w:type="pct"/>
            <w:tcBorders>
              <w:top w:val="nil"/>
              <w:left w:val="nil"/>
              <w:bottom w:val="nil"/>
              <w:right w:val="nil"/>
            </w:tcBorders>
            <w:shd w:val="clear" w:color="auto" w:fill="FFFFFF" w:themeFill="background1"/>
          </w:tcPr>
          <w:p w:rsidR="0096452E" w:rsidRDefault="0096452E" w:rsidP="0096452E">
            <w:pPr>
              <w:spacing w:after="0"/>
              <w:rPr>
                <w:rFonts w:eastAsia="Times New Roman"/>
                <w:color w:val="1F497D"/>
              </w:rPr>
            </w:pPr>
          </w:p>
        </w:tc>
      </w:tr>
      <w:tr w:rsidR="0096452E" w:rsidRPr="00C94167" w:rsidTr="002867DC">
        <w:trPr>
          <w:gridAfter w:val="1"/>
          <w:wAfter w:w="744" w:type="pct"/>
          <w:trHeight w:val="300"/>
          <w:jc w:val="center"/>
        </w:trPr>
        <w:tc>
          <w:tcPr>
            <w:tcW w:w="1994" w:type="pct"/>
            <w:gridSpan w:val="2"/>
            <w:tcBorders>
              <w:top w:val="nil"/>
              <w:left w:val="nil"/>
              <w:bottom w:val="nil"/>
              <w:right w:val="nil"/>
            </w:tcBorders>
            <w:shd w:val="clear" w:color="auto" w:fill="FFFFFF" w:themeFill="background1"/>
            <w:vAlign w:val="center"/>
            <w:hideMark/>
          </w:tcPr>
          <w:p w:rsidR="0096452E" w:rsidRPr="00C94167" w:rsidRDefault="0096452E" w:rsidP="0096452E">
            <w:pPr>
              <w:spacing w:after="0"/>
              <w:rPr>
                <w:rFonts w:eastAsia="Times New Roman"/>
              </w:rPr>
            </w:pPr>
            <w:r w:rsidRPr="00C94167">
              <w:rPr>
                <w:rFonts w:eastAsia="Times New Roman"/>
                <w:rtl/>
              </w:rPr>
              <w:t xml:space="preserve">השקעה בנכסים קבועים (ללא </w:t>
            </w:r>
            <w:proofErr w:type="spellStart"/>
            <w:r w:rsidRPr="00C94167">
              <w:rPr>
                <w:rFonts w:eastAsia="Times New Roman"/>
                <w:rtl/>
              </w:rPr>
              <w:t>אוניות</w:t>
            </w:r>
            <w:proofErr w:type="spellEnd"/>
            <w:r w:rsidRPr="00C94167">
              <w:rPr>
                <w:rFonts w:eastAsia="Times New Roman"/>
                <w:rtl/>
              </w:rPr>
              <w:t xml:space="preserve"> ומטוסים)</w:t>
            </w:r>
          </w:p>
        </w:tc>
        <w:tc>
          <w:tcPr>
            <w:tcW w:w="502"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000000"/>
              </w:rPr>
            </w:pPr>
            <w:r>
              <w:rPr>
                <w:rFonts w:eastAsia="Times New Roman" w:hint="cs"/>
                <w:b/>
                <w:bCs/>
                <w:color w:val="000000"/>
                <w:rtl/>
              </w:rPr>
              <w:t>7.5</w:t>
            </w:r>
          </w:p>
        </w:tc>
        <w:tc>
          <w:tcPr>
            <w:tcW w:w="502"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color w:val="1F497D"/>
              </w:rPr>
            </w:pPr>
            <w:r>
              <w:rPr>
                <w:rFonts w:eastAsia="Times New Roman"/>
                <w:color w:val="1F497D"/>
              </w:rPr>
              <w:t>-2.0</w:t>
            </w:r>
          </w:p>
        </w:tc>
        <w:tc>
          <w:tcPr>
            <w:tcW w:w="502"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000000"/>
              </w:rPr>
            </w:pPr>
            <w:r>
              <w:rPr>
                <w:rFonts w:eastAsia="Times New Roman"/>
                <w:b/>
                <w:bCs/>
                <w:color w:val="000000"/>
              </w:rPr>
              <w:t>14.0</w:t>
            </w:r>
          </w:p>
        </w:tc>
        <w:tc>
          <w:tcPr>
            <w:tcW w:w="500"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color w:val="1F497D"/>
              </w:rPr>
            </w:pPr>
            <w:r>
              <w:rPr>
                <w:rFonts w:eastAsia="Times New Roman"/>
                <w:color w:val="1F497D"/>
              </w:rPr>
              <w:t>0.5</w:t>
            </w:r>
          </w:p>
        </w:tc>
        <w:tc>
          <w:tcPr>
            <w:tcW w:w="256" w:type="pct"/>
            <w:tcBorders>
              <w:top w:val="nil"/>
              <w:left w:val="nil"/>
              <w:bottom w:val="nil"/>
              <w:right w:val="nil"/>
            </w:tcBorders>
            <w:shd w:val="clear" w:color="auto" w:fill="FFFFFF" w:themeFill="background1"/>
          </w:tcPr>
          <w:p w:rsidR="0096452E" w:rsidRDefault="0096452E" w:rsidP="0096452E">
            <w:pPr>
              <w:spacing w:after="0"/>
              <w:rPr>
                <w:rFonts w:eastAsia="Times New Roman"/>
                <w:color w:val="1F497D"/>
              </w:rPr>
            </w:pPr>
          </w:p>
        </w:tc>
      </w:tr>
      <w:tr w:rsidR="0096452E" w:rsidRPr="00C94167" w:rsidTr="002867DC">
        <w:trPr>
          <w:gridAfter w:val="1"/>
          <w:wAfter w:w="744" w:type="pct"/>
          <w:trHeight w:val="300"/>
          <w:jc w:val="center"/>
        </w:trPr>
        <w:tc>
          <w:tcPr>
            <w:tcW w:w="1994" w:type="pct"/>
            <w:gridSpan w:val="2"/>
            <w:tcBorders>
              <w:top w:val="nil"/>
              <w:left w:val="nil"/>
              <w:bottom w:val="nil"/>
              <w:right w:val="nil"/>
            </w:tcBorders>
            <w:shd w:val="clear" w:color="auto" w:fill="FFFFFF" w:themeFill="background1"/>
            <w:vAlign w:val="center"/>
            <w:hideMark/>
          </w:tcPr>
          <w:p w:rsidR="0096452E" w:rsidRPr="00C94167" w:rsidRDefault="0096452E" w:rsidP="0096452E">
            <w:pPr>
              <w:spacing w:after="0"/>
              <w:rPr>
                <w:rFonts w:eastAsia="Times New Roman"/>
              </w:rPr>
            </w:pPr>
            <w:r w:rsidRPr="00C94167">
              <w:rPr>
                <w:rFonts w:eastAsia="Times New Roman"/>
                <w:rtl/>
              </w:rPr>
              <w:t>צריכה ציבורית (ללא יבוא ביטחוני)</w:t>
            </w:r>
          </w:p>
        </w:tc>
        <w:tc>
          <w:tcPr>
            <w:tcW w:w="502"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000000"/>
              </w:rPr>
            </w:pPr>
            <w:r>
              <w:rPr>
                <w:rFonts w:eastAsia="Times New Roman" w:hint="cs"/>
                <w:b/>
                <w:bCs/>
                <w:color w:val="000000"/>
                <w:rtl/>
              </w:rPr>
              <w:t>0.5-</w:t>
            </w:r>
          </w:p>
        </w:tc>
        <w:tc>
          <w:tcPr>
            <w:tcW w:w="502"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color w:val="1F497D"/>
                <w:rtl/>
              </w:rPr>
            </w:pPr>
            <w:r>
              <w:rPr>
                <w:rFonts w:eastAsia="Times New Roman"/>
                <w:color w:val="1F497D"/>
              </w:rPr>
              <w:t>2.0</w:t>
            </w:r>
            <w:r>
              <w:rPr>
                <w:rFonts w:eastAsia="Times New Roman" w:hint="cs"/>
                <w:color w:val="1F497D"/>
                <w:rtl/>
              </w:rPr>
              <w:t>-</w:t>
            </w:r>
          </w:p>
        </w:tc>
        <w:tc>
          <w:tcPr>
            <w:tcW w:w="502"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000000"/>
              </w:rPr>
            </w:pPr>
            <w:r>
              <w:rPr>
                <w:rFonts w:eastAsia="Times New Roman"/>
                <w:b/>
                <w:bCs/>
                <w:color w:val="000000"/>
              </w:rPr>
              <w:t>-1.0</w:t>
            </w:r>
          </w:p>
        </w:tc>
        <w:tc>
          <w:tcPr>
            <w:tcW w:w="500"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color w:val="1F497D"/>
              </w:rPr>
            </w:pPr>
            <w:r>
              <w:rPr>
                <w:rFonts w:eastAsia="Times New Roman"/>
                <w:color w:val="1F497D"/>
              </w:rPr>
              <w:t>0.0</w:t>
            </w:r>
          </w:p>
        </w:tc>
        <w:tc>
          <w:tcPr>
            <w:tcW w:w="256" w:type="pct"/>
            <w:tcBorders>
              <w:top w:val="nil"/>
              <w:left w:val="nil"/>
              <w:bottom w:val="nil"/>
              <w:right w:val="nil"/>
            </w:tcBorders>
            <w:shd w:val="clear" w:color="auto" w:fill="FFFFFF" w:themeFill="background1"/>
          </w:tcPr>
          <w:p w:rsidR="0096452E" w:rsidRDefault="0096452E" w:rsidP="0096452E">
            <w:pPr>
              <w:spacing w:after="0"/>
              <w:rPr>
                <w:rFonts w:eastAsia="Times New Roman"/>
                <w:color w:val="1F497D"/>
              </w:rPr>
            </w:pPr>
          </w:p>
        </w:tc>
      </w:tr>
      <w:tr w:rsidR="0096452E" w:rsidRPr="00C94167" w:rsidTr="002867DC">
        <w:trPr>
          <w:gridAfter w:val="1"/>
          <w:wAfter w:w="744" w:type="pct"/>
          <w:trHeight w:val="300"/>
          <w:jc w:val="center"/>
        </w:trPr>
        <w:tc>
          <w:tcPr>
            <w:tcW w:w="1994" w:type="pct"/>
            <w:gridSpan w:val="2"/>
            <w:tcBorders>
              <w:top w:val="nil"/>
              <w:left w:val="nil"/>
              <w:bottom w:val="nil"/>
              <w:right w:val="nil"/>
            </w:tcBorders>
            <w:shd w:val="clear" w:color="auto" w:fill="FFFFFF" w:themeFill="background1"/>
            <w:vAlign w:val="center"/>
            <w:hideMark/>
          </w:tcPr>
          <w:p w:rsidR="0096452E" w:rsidRPr="00C94167" w:rsidRDefault="0096452E" w:rsidP="0096452E">
            <w:pPr>
              <w:spacing w:after="0"/>
              <w:rPr>
                <w:rFonts w:eastAsia="Times New Roman"/>
              </w:rPr>
            </w:pPr>
            <w:r w:rsidRPr="00C94167">
              <w:rPr>
                <w:rFonts w:eastAsia="Times New Roman"/>
                <w:rtl/>
              </w:rPr>
              <w:t>יצוא (ללא יהלומים והזנק)</w:t>
            </w:r>
          </w:p>
        </w:tc>
        <w:tc>
          <w:tcPr>
            <w:tcW w:w="502"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000000"/>
              </w:rPr>
            </w:pPr>
            <w:r>
              <w:rPr>
                <w:rFonts w:eastAsia="Times New Roman" w:hint="cs"/>
                <w:b/>
                <w:bCs/>
                <w:color w:val="000000"/>
                <w:rtl/>
              </w:rPr>
              <w:t>3.5</w:t>
            </w:r>
          </w:p>
        </w:tc>
        <w:tc>
          <w:tcPr>
            <w:tcW w:w="502"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color w:val="1F497D"/>
              </w:rPr>
            </w:pPr>
            <w:r>
              <w:rPr>
                <w:rFonts w:eastAsia="Times New Roman" w:hint="cs"/>
                <w:color w:val="1F497D"/>
                <w:rtl/>
              </w:rPr>
              <w:t>0.5-</w:t>
            </w:r>
          </w:p>
        </w:tc>
        <w:tc>
          <w:tcPr>
            <w:tcW w:w="502"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000000"/>
                <w:rtl/>
              </w:rPr>
            </w:pPr>
            <w:r>
              <w:rPr>
                <w:rFonts w:eastAsia="Times New Roman"/>
                <w:b/>
                <w:bCs/>
                <w:color w:val="000000"/>
              </w:rPr>
              <w:t>3.5</w:t>
            </w:r>
          </w:p>
        </w:tc>
        <w:tc>
          <w:tcPr>
            <w:tcW w:w="500"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color w:val="1F497D"/>
              </w:rPr>
            </w:pPr>
            <w:r>
              <w:rPr>
                <w:rFonts w:eastAsia="Times New Roman"/>
                <w:color w:val="1F497D"/>
              </w:rPr>
              <w:t>0.5</w:t>
            </w:r>
          </w:p>
        </w:tc>
        <w:tc>
          <w:tcPr>
            <w:tcW w:w="256" w:type="pct"/>
            <w:tcBorders>
              <w:top w:val="nil"/>
              <w:left w:val="nil"/>
              <w:bottom w:val="nil"/>
              <w:right w:val="nil"/>
            </w:tcBorders>
            <w:shd w:val="clear" w:color="auto" w:fill="FFFFFF" w:themeFill="background1"/>
          </w:tcPr>
          <w:p w:rsidR="0096452E" w:rsidRDefault="0096452E" w:rsidP="0096452E">
            <w:pPr>
              <w:spacing w:after="0"/>
              <w:rPr>
                <w:rFonts w:eastAsia="Times New Roman"/>
                <w:color w:val="1F497D"/>
              </w:rPr>
            </w:pPr>
          </w:p>
        </w:tc>
      </w:tr>
      <w:tr w:rsidR="0096452E" w:rsidRPr="00C94167" w:rsidTr="002867DC">
        <w:trPr>
          <w:gridAfter w:val="1"/>
          <w:wAfter w:w="744" w:type="pct"/>
          <w:trHeight w:val="300"/>
          <w:jc w:val="center"/>
        </w:trPr>
        <w:tc>
          <w:tcPr>
            <w:tcW w:w="1994" w:type="pct"/>
            <w:gridSpan w:val="2"/>
            <w:tcBorders>
              <w:top w:val="nil"/>
              <w:left w:val="nil"/>
              <w:bottom w:val="single" w:sz="4" w:space="0" w:color="1F497D"/>
              <w:right w:val="nil"/>
            </w:tcBorders>
            <w:shd w:val="clear" w:color="auto" w:fill="FFFFFF" w:themeFill="background1"/>
            <w:vAlign w:val="center"/>
            <w:hideMark/>
          </w:tcPr>
          <w:p w:rsidR="0096452E" w:rsidRPr="00C94167" w:rsidRDefault="0096452E" w:rsidP="0096452E">
            <w:pPr>
              <w:spacing w:after="0"/>
              <w:rPr>
                <w:rFonts w:eastAsia="Times New Roman"/>
              </w:rPr>
            </w:pPr>
            <w:r w:rsidRPr="00C94167">
              <w:rPr>
                <w:rFonts w:eastAsia="Times New Roman"/>
                <w:rtl/>
              </w:rPr>
              <w:t xml:space="preserve">יבוא אזרחי (ללא יהלומים, </w:t>
            </w:r>
            <w:proofErr w:type="spellStart"/>
            <w:r w:rsidRPr="00C94167">
              <w:rPr>
                <w:rFonts w:eastAsia="Times New Roman"/>
                <w:rtl/>
              </w:rPr>
              <w:t>אוניות</w:t>
            </w:r>
            <w:proofErr w:type="spellEnd"/>
            <w:r w:rsidRPr="00C94167">
              <w:rPr>
                <w:rFonts w:eastAsia="Times New Roman"/>
                <w:rtl/>
              </w:rPr>
              <w:t xml:space="preserve"> ומטוסים)</w:t>
            </w:r>
          </w:p>
        </w:tc>
        <w:tc>
          <w:tcPr>
            <w:tcW w:w="502" w:type="pct"/>
            <w:tcBorders>
              <w:top w:val="nil"/>
              <w:left w:val="nil"/>
              <w:bottom w:val="single" w:sz="4" w:space="0" w:color="1F497D"/>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000000"/>
              </w:rPr>
            </w:pPr>
            <w:r>
              <w:rPr>
                <w:rFonts w:eastAsia="Times New Roman" w:hint="cs"/>
                <w:b/>
                <w:bCs/>
                <w:color w:val="000000"/>
                <w:rtl/>
              </w:rPr>
              <w:t>8.5</w:t>
            </w:r>
          </w:p>
        </w:tc>
        <w:tc>
          <w:tcPr>
            <w:tcW w:w="502" w:type="pct"/>
            <w:tcBorders>
              <w:top w:val="nil"/>
              <w:left w:val="nil"/>
              <w:bottom w:val="single" w:sz="4" w:space="0" w:color="1F497D"/>
              <w:right w:val="nil"/>
            </w:tcBorders>
            <w:shd w:val="clear" w:color="auto" w:fill="FFFFFF" w:themeFill="background1"/>
            <w:noWrap/>
            <w:vAlign w:val="bottom"/>
            <w:hideMark/>
          </w:tcPr>
          <w:p w:rsidR="0096452E" w:rsidRPr="00C94167" w:rsidRDefault="0096452E" w:rsidP="0096452E">
            <w:pPr>
              <w:spacing w:after="0"/>
              <w:rPr>
                <w:rFonts w:eastAsia="Times New Roman"/>
                <w:color w:val="1F497D"/>
              </w:rPr>
            </w:pPr>
            <w:r>
              <w:rPr>
                <w:rFonts w:eastAsia="Times New Roman" w:hint="cs"/>
                <w:color w:val="1F497D"/>
                <w:rtl/>
              </w:rPr>
              <w:t>0.5</w:t>
            </w:r>
          </w:p>
        </w:tc>
        <w:tc>
          <w:tcPr>
            <w:tcW w:w="502" w:type="pct"/>
            <w:tcBorders>
              <w:top w:val="nil"/>
              <w:left w:val="nil"/>
              <w:bottom w:val="single" w:sz="4" w:space="0" w:color="1F497D"/>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000000"/>
              </w:rPr>
            </w:pPr>
            <w:r>
              <w:rPr>
                <w:rFonts w:eastAsia="Times New Roman"/>
                <w:b/>
                <w:bCs/>
                <w:color w:val="000000"/>
              </w:rPr>
              <w:t>8.5</w:t>
            </w:r>
          </w:p>
        </w:tc>
        <w:tc>
          <w:tcPr>
            <w:tcW w:w="500" w:type="pct"/>
            <w:tcBorders>
              <w:top w:val="nil"/>
              <w:left w:val="nil"/>
              <w:bottom w:val="single" w:sz="4" w:space="0" w:color="1F497D"/>
              <w:right w:val="nil"/>
            </w:tcBorders>
            <w:shd w:val="clear" w:color="auto" w:fill="FFFFFF" w:themeFill="background1"/>
            <w:noWrap/>
            <w:vAlign w:val="bottom"/>
            <w:hideMark/>
          </w:tcPr>
          <w:p w:rsidR="0096452E" w:rsidRPr="00C94167" w:rsidRDefault="0096452E" w:rsidP="0096452E">
            <w:pPr>
              <w:spacing w:after="0"/>
              <w:rPr>
                <w:rFonts w:eastAsia="Times New Roman"/>
                <w:color w:val="1F497D"/>
              </w:rPr>
            </w:pPr>
            <w:r>
              <w:rPr>
                <w:rFonts w:eastAsia="Times New Roman"/>
                <w:color w:val="1F497D"/>
              </w:rPr>
              <w:t>0.5</w:t>
            </w:r>
          </w:p>
        </w:tc>
        <w:tc>
          <w:tcPr>
            <w:tcW w:w="256" w:type="pct"/>
            <w:tcBorders>
              <w:top w:val="nil"/>
              <w:left w:val="nil"/>
              <w:bottom w:val="single" w:sz="4" w:space="0" w:color="1F497D"/>
              <w:right w:val="nil"/>
            </w:tcBorders>
            <w:shd w:val="clear" w:color="auto" w:fill="FFFFFF" w:themeFill="background1"/>
          </w:tcPr>
          <w:p w:rsidR="0096452E" w:rsidRDefault="0096452E" w:rsidP="0096452E">
            <w:pPr>
              <w:spacing w:after="0"/>
              <w:rPr>
                <w:rFonts w:eastAsia="Times New Roman"/>
                <w:color w:val="1F497D"/>
              </w:rPr>
            </w:pPr>
          </w:p>
        </w:tc>
      </w:tr>
      <w:tr w:rsidR="0096452E" w:rsidRPr="00C94167" w:rsidTr="002867DC">
        <w:trPr>
          <w:gridAfter w:val="1"/>
          <w:wAfter w:w="744" w:type="pct"/>
          <w:trHeight w:val="300"/>
          <w:jc w:val="center"/>
        </w:trPr>
        <w:tc>
          <w:tcPr>
            <w:tcW w:w="1994" w:type="pct"/>
            <w:gridSpan w:val="2"/>
            <w:tcBorders>
              <w:top w:val="nil"/>
              <w:left w:val="nil"/>
              <w:bottom w:val="nil"/>
              <w:right w:val="nil"/>
            </w:tcBorders>
            <w:shd w:val="clear" w:color="auto" w:fill="FFFFFF" w:themeFill="background1"/>
            <w:vAlign w:val="center"/>
            <w:hideMark/>
          </w:tcPr>
          <w:p w:rsidR="0096452E" w:rsidRPr="00C94167" w:rsidRDefault="0096452E" w:rsidP="0096452E">
            <w:pPr>
              <w:spacing w:after="0"/>
              <w:rPr>
                <w:rFonts w:eastAsia="Times New Roman"/>
              </w:rPr>
            </w:pPr>
            <w:r w:rsidRPr="00C94167">
              <w:rPr>
                <w:rFonts w:eastAsia="Times New Roman" w:hint="cs"/>
                <w:rtl/>
              </w:rPr>
              <w:t>שיעור האבטלה הרחב</w:t>
            </w:r>
            <w:r>
              <w:rPr>
                <w:rFonts w:eastAsia="Times New Roman" w:hint="cs"/>
                <w:rtl/>
              </w:rPr>
              <w:t>ה</w:t>
            </w:r>
            <w:r w:rsidRPr="00C94167">
              <w:rPr>
                <w:rFonts w:eastAsia="Times New Roman" w:hint="cs"/>
                <w:rtl/>
              </w:rPr>
              <w:t xml:space="preserve"> (גיל</w:t>
            </w:r>
            <w:r>
              <w:rPr>
                <w:rFonts w:eastAsia="Times New Roman" w:hint="cs"/>
                <w:rtl/>
              </w:rPr>
              <w:t>א</w:t>
            </w:r>
            <w:r w:rsidRPr="00C94167">
              <w:rPr>
                <w:rFonts w:eastAsia="Times New Roman" w:hint="cs"/>
                <w:rtl/>
              </w:rPr>
              <w:t>י 25–64)</w:t>
            </w:r>
            <w:r w:rsidRPr="00C94167">
              <w:rPr>
                <w:rFonts w:eastAsia="Times New Roman"/>
                <w:vertAlign w:val="superscript"/>
                <w:rtl/>
              </w:rPr>
              <w:t>2</w:t>
            </w:r>
          </w:p>
        </w:tc>
        <w:tc>
          <w:tcPr>
            <w:tcW w:w="502" w:type="pct"/>
            <w:tcBorders>
              <w:top w:val="nil"/>
              <w:left w:val="nil"/>
              <w:bottom w:val="nil"/>
              <w:right w:val="nil"/>
            </w:tcBorders>
            <w:shd w:val="clear" w:color="auto" w:fill="FFFFFF" w:themeFill="background1"/>
            <w:vAlign w:val="center"/>
            <w:hideMark/>
          </w:tcPr>
          <w:p w:rsidR="0096452E" w:rsidRPr="00C94167" w:rsidRDefault="0096452E" w:rsidP="0096452E">
            <w:pPr>
              <w:spacing w:after="0"/>
              <w:rPr>
                <w:rFonts w:eastAsia="Times New Roman"/>
                <w:b/>
                <w:bCs/>
                <w:color w:val="000000"/>
              </w:rPr>
            </w:pPr>
            <w:r>
              <w:rPr>
                <w:rFonts w:eastAsia="Times New Roman" w:hint="cs"/>
                <w:b/>
                <w:bCs/>
                <w:color w:val="000000"/>
                <w:rtl/>
              </w:rPr>
              <w:t>3.4</w:t>
            </w:r>
          </w:p>
        </w:tc>
        <w:tc>
          <w:tcPr>
            <w:tcW w:w="502" w:type="pct"/>
            <w:tcBorders>
              <w:top w:val="nil"/>
              <w:left w:val="nil"/>
              <w:bottom w:val="nil"/>
              <w:right w:val="nil"/>
            </w:tcBorders>
            <w:shd w:val="clear" w:color="auto" w:fill="FFFFFF" w:themeFill="background1"/>
            <w:vAlign w:val="center"/>
            <w:hideMark/>
          </w:tcPr>
          <w:p w:rsidR="0096452E" w:rsidRPr="00C94167" w:rsidRDefault="0096452E" w:rsidP="0096452E">
            <w:pPr>
              <w:spacing w:after="0"/>
              <w:rPr>
                <w:rFonts w:eastAsia="Times New Roman"/>
                <w:color w:val="1F497D"/>
              </w:rPr>
            </w:pPr>
            <w:r>
              <w:rPr>
                <w:rFonts w:eastAsia="Times New Roman" w:hint="cs"/>
                <w:color w:val="1F497D"/>
                <w:rtl/>
              </w:rPr>
              <w:t>0.5</w:t>
            </w:r>
          </w:p>
        </w:tc>
        <w:tc>
          <w:tcPr>
            <w:tcW w:w="502" w:type="pct"/>
            <w:tcBorders>
              <w:top w:val="nil"/>
              <w:left w:val="nil"/>
              <w:bottom w:val="nil"/>
              <w:right w:val="nil"/>
            </w:tcBorders>
            <w:shd w:val="clear" w:color="auto" w:fill="FFFFFF" w:themeFill="background1"/>
            <w:vAlign w:val="center"/>
            <w:hideMark/>
          </w:tcPr>
          <w:p w:rsidR="0096452E" w:rsidRPr="00C94167" w:rsidRDefault="0096452E" w:rsidP="0096452E">
            <w:pPr>
              <w:spacing w:after="0"/>
              <w:rPr>
                <w:rFonts w:eastAsia="Times New Roman"/>
                <w:b/>
                <w:bCs/>
                <w:color w:val="000000"/>
                <w:rtl/>
              </w:rPr>
            </w:pPr>
            <w:r>
              <w:rPr>
                <w:rFonts w:eastAsia="Times New Roman"/>
                <w:b/>
                <w:bCs/>
                <w:color w:val="000000"/>
              </w:rPr>
              <w:t>3.4</w:t>
            </w:r>
          </w:p>
        </w:tc>
        <w:tc>
          <w:tcPr>
            <w:tcW w:w="500" w:type="pct"/>
            <w:tcBorders>
              <w:top w:val="nil"/>
              <w:left w:val="nil"/>
              <w:bottom w:val="nil"/>
              <w:right w:val="nil"/>
            </w:tcBorders>
            <w:shd w:val="clear" w:color="auto" w:fill="FFFFFF" w:themeFill="background1"/>
            <w:vAlign w:val="center"/>
            <w:hideMark/>
          </w:tcPr>
          <w:p w:rsidR="0096452E" w:rsidRPr="00C94167" w:rsidRDefault="0096452E" w:rsidP="0096452E">
            <w:pPr>
              <w:spacing w:after="0"/>
              <w:rPr>
                <w:rFonts w:eastAsia="Times New Roman"/>
                <w:color w:val="1F497D"/>
              </w:rPr>
            </w:pPr>
            <w:r>
              <w:rPr>
                <w:rFonts w:eastAsia="Times New Roman"/>
                <w:color w:val="1F497D"/>
              </w:rPr>
              <w:t>0.1</w:t>
            </w:r>
          </w:p>
        </w:tc>
        <w:tc>
          <w:tcPr>
            <w:tcW w:w="256" w:type="pct"/>
            <w:tcBorders>
              <w:top w:val="nil"/>
              <w:left w:val="nil"/>
              <w:bottom w:val="nil"/>
              <w:right w:val="nil"/>
            </w:tcBorders>
            <w:shd w:val="clear" w:color="auto" w:fill="FFFFFF" w:themeFill="background1"/>
          </w:tcPr>
          <w:p w:rsidR="0096452E" w:rsidRDefault="0096452E" w:rsidP="0096452E">
            <w:pPr>
              <w:spacing w:after="0"/>
              <w:rPr>
                <w:rFonts w:eastAsia="Times New Roman"/>
                <w:color w:val="1F497D"/>
              </w:rPr>
            </w:pPr>
          </w:p>
        </w:tc>
      </w:tr>
      <w:tr w:rsidR="0096452E" w:rsidRPr="00C94167" w:rsidTr="002867DC">
        <w:trPr>
          <w:gridAfter w:val="1"/>
          <w:wAfter w:w="744" w:type="pct"/>
          <w:trHeight w:val="300"/>
          <w:jc w:val="center"/>
        </w:trPr>
        <w:tc>
          <w:tcPr>
            <w:tcW w:w="1994" w:type="pct"/>
            <w:gridSpan w:val="2"/>
            <w:tcBorders>
              <w:top w:val="nil"/>
              <w:left w:val="nil"/>
              <w:bottom w:val="single" w:sz="4" w:space="0" w:color="1F497D"/>
              <w:right w:val="nil"/>
            </w:tcBorders>
            <w:shd w:val="clear" w:color="auto" w:fill="FFFFFF" w:themeFill="background1"/>
            <w:vAlign w:val="center"/>
            <w:hideMark/>
          </w:tcPr>
          <w:p w:rsidR="0096452E" w:rsidRPr="00C94167" w:rsidRDefault="0096452E" w:rsidP="0096452E">
            <w:pPr>
              <w:spacing w:after="0"/>
              <w:rPr>
                <w:rFonts w:eastAsia="Times New Roman"/>
              </w:rPr>
            </w:pPr>
            <w:r w:rsidRPr="00C94167">
              <w:rPr>
                <w:rFonts w:eastAsia="Times New Roman" w:hint="cs"/>
                <w:rtl/>
              </w:rPr>
              <w:t>שיעור התעסוקה המותאם (גיל</w:t>
            </w:r>
            <w:r>
              <w:rPr>
                <w:rFonts w:eastAsia="Times New Roman" w:hint="cs"/>
                <w:rtl/>
              </w:rPr>
              <w:t>א</w:t>
            </w:r>
            <w:r w:rsidRPr="00C94167">
              <w:rPr>
                <w:rFonts w:eastAsia="Times New Roman" w:hint="cs"/>
                <w:rtl/>
              </w:rPr>
              <w:t>י 25–64)</w:t>
            </w:r>
            <w:r w:rsidRPr="00C94167">
              <w:rPr>
                <w:rFonts w:eastAsia="Times New Roman"/>
                <w:vertAlign w:val="superscript"/>
                <w:rtl/>
              </w:rPr>
              <w:t>2</w:t>
            </w:r>
          </w:p>
        </w:tc>
        <w:tc>
          <w:tcPr>
            <w:tcW w:w="502" w:type="pct"/>
            <w:tcBorders>
              <w:top w:val="nil"/>
              <w:left w:val="nil"/>
              <w:bottom w:val="single" w:sz="4" w:space="0" w:color="1F497D"/>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000000"/>
              </w:rPr>
            </w:pPr>
            <w:r>
              <w:rPr>
                <w:rFonts w:eastAsia="Times New Roman"/>
                <w:b/>
                <w:bCs/>
                <w:color w:val="000000"/>
              </w:rPr>
              <w:t>78.4</w:t>
            </w:r>
          </w:p>
        </w:tc>
        <w:tc>
          <w:tcPr>
            <w:tcW w:w="502" w:type="pct"/>
            <w:tcBorders>
              <w:top w:val="nil"/>
              <w:left w:val="nil"/>
              <w:bottom w:val="single" w:sz="4" w:space="0" w:color="1F497D"/>
              <w:right w:val="nil"/>
            </w:tcBorders>
            <w:shd w:val="clear" w:color="auto" w:fill="FFFFFF" w:themeFill="background1"/>
            <w:noWrap/>
            <w:vAlign w:val="bottom"/>
            <w:hideMark/>
          </w:tcPr>
          <w:p w:rsidR="0096452E" w:rsidRPr="00C94167" w:rsidRDefault="0096452E" w:rsidP="0096452E">
            <w:pPr>
              <w:spacing w:after="0"/>
              <w:rPr>
                <w:rFonts w:eastAsia="Times New Roman"/>
                <w:color w:val="1F497D"/>
              </w:rPr>
            </w:pPr>
            <w:r>
              <w:rPr>
                <w:rFonts w:eastAsia="Times New Roman" w:hint="cs"/>
                <w:color w:val="1F497D"/>
                <w:rtl/>
              </w:rPr>
              <w:t>0.2-</w:t>
            </w:r>
          </w:p>
        </w:tc>
        <w:tc>
          <w:tcPr>
            <w:tcW w:w="502" w:type="pct"/>
            <w:tcBorders>
              <w:top w:val="nil"/>
              <w:left w:val="nil"/>
              <w:bottom w:val="single" w:sz="4" w:space="0" w:color="1F497D"/>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000000"/>
                <w:rtl/>
              </w:rPr>
            </w:pPr>
            <w:r>
              <w:rPr>
                <w:rFonts w:eastAsia="Times New Roman"/>
                <w:b/>
                <w:bCs/>
                <w:color w:val="000000"/>
              </w:rPr>
              <w:t>79.0</w:t>
            </w:r>
          </w:p>
        </w:tc>
        <w:tc>
          <w:tcPr>
            <w:tcW w:w="500" w:type="pct"/>
            <w:tcBorders>
              <w:top w:val="nil"/>
              <w:left w:val="nil"/>
              <w:bottom w:val="single" w:sz="4" w:space="0" w:color="1F497D"/>
              <w:right w:val="nil"/>
            </w:tcBorders>
            <w:shd w:val="clear" w:color="auto" w:fill="FFFFFF" w:themeFill="background1"/>
            <w:noWrap/>
            <w:vAlign w:val="bottom"/>
            <w:hideMark/>
          </w:tcPr>
          <w:p w:rsidR="0096452E" w:rsidRPr="00C94167" w:rsidRDefault="0096452E" w:rsidP="0096452E">
            <w:pPr>
              <w:spacing w:after="0"/>
              <w:rPr>
                <w:rFonts w:eastAsia="Times New Roman"/>
                <w:color w:val="1F497D"/>
                <w:rtl/>
              </w:rPr>
            </w:pPr>
            <w:r>
              <w:rPr>
                <w:rFonts w:eastAsia="Times New Roman"/>
                <w:color w:val="1F497D"/>
              </w:rPr>
              <w:t>0.3</w:t>
            </w:r>
          </w:p>
        </w:tc>
        <w:tc>
          <w:tcPr>
            <w:tcW w:w="256" w:type="pct"/>
            <w:tcBorders>
              <w:top w:val="nil"/>
              <w:left w:val="nil"/>
              <w:bottom w:val="single" w:sz="4" w:space="0" w:color="1F497D"/>
              <w:right w:val="nil"/>
            </w:tcBorders>
            <w:shd w:val="clear" w:color="auto" w:fill="FFFFFF" w:themeFill="background1"/>
          </w:tcPr>
          <w:p w:rsidR="0096452E" w:rsidRDefault="0096452E" w:rsidP="0096452E">
            <w:pPr>
              <w:spacing w:after="0"/>
              <w:rPr>
                <w:rFonts w:eastAsia="Times New Roman"/>
                <w:color w:val="1F497D"/>
              </w:rPr>
            </w:pPr>
          </w:p>
        </w:tc>
      </w:tr>
      <w:tr w:rsidR="0096452E" w:rsidRPr="00C94167" w:rsidTr="002867DC">
        <w:trPr>
          <w:gridAfter w:val="1"/>
          <w:wAfter w:w="744" w:type="pct"/>
          <w:trHeight w:val="300"/>
          <w:jc w:val="center"/>
        </w:trPr>
        <w:tc>
          <w:tcPr>
            <w:tcW w:w="1994" w:type="pct"/>
            <w:gridSpan w:val="2"/>
            <w:tcBorders>
              <w:top w:val="nil"/>
              <w:left w:val="nil"/>
              <w:bottom w:val="nil"/>
              <w:right w:val="nil"/>
            </w:tcBorders>
            <w:shd w:val="clear" w:color="auto" w:fill="FFFFFF" w:themeFill="background1"/>
            <w:vAlign w:val="center"/>
            <w:hideMark/>
          </w:tcPr>
          <w:p w:rsidR="0096452E" w:rsidRPr="00564538" w:rsidRDefault="0096452E" w:rsidP="0096452E">
            <w:pPr>
              <w:spacing w:after="0"/>
              <w:rPr>
                <w:rFonts w:eastAsia="Times New Roman"/>
              </w:rPr>
            </w:pPr>
            <w:r w:rsidRPr="00564538">
              <w:rPr>
                <w:rFonts w:eastAsia="Times New Roman" w:hint="eastAsia"/>
                <w:rtl/>
              </w:rPr>
              <w:t>גירעון</w:t>
            </w:r>
            <w:r w:rsidRPr="00564538">
              <w:rPr>
                <w:rFonts w:eastAsia="Times New Roman"/>
                <w:rtl/>
              </w:rPr>
              <w:t xml:space="preserve"> </w:t>
            </w:r>
            <w:r w:rsidRPr="00564538">
              <w:rPr>
                <w:rFonts w:eastAsia="Times New Roman" w:hint="eastAsia"/>
                <w:rtl/>
              </w:rPr>
              <w:t>הממשלה</w:t>
            </w:r>
            <w:r w:rsidRPr="00564538">
              <w:rPr>
                <w:rFonts w:eastAsia="Times New Roman"/>
                <w:rtl/>
              </w:rPr>
              <w:t xml:space="preserve"> (אחוזי </w:t>
            </w:r>
            <w:r w:rsidRPr="00564538">
              <w:rPr>
                <w:rFonts w:eastAsia="Times New Roman" w:hint="eastAsia"/>
                <w:rtl/>
              </w:rPr>
              <w:t>תוצר</w:t>
            </w:r>
            <w:r w:rsidRPr="00564538">
              <w:rPr>
                <w:rFonts w:eastAsia="Times New Roman"/>
                <w:rtl/>
              </w:rPr>
              <w:t>)</w:t>
            </w:r>
          </w:p>
        </w:tc>
        <w:tc>
          <w:tcPr>
            <w:tcW w:w="502" w:type="pct"/>
            <w:tcBorders>
              <w:top w:val="nil"/>
              <w:left w:val="nil"/>
              <w:bottom w:val="nil"/>
              <w:right w:val="nil"/>
            </w:tcBorders>
            <w:shd w:val="clear" w:color="auto" w:fill="FFFFFF" w:themeFill="background1"/>
            <w:noWrap/>
            <w:vAlign w:val="bottom"/>
            <w:hideMark/>
          </w:tcPr>
          <w:p w:rsidR="0096452E" w:rsidRPr="00D82C11" w:rsidRDefault="0096452E" w:rsidP="0096452E">
            <w:pPr>
              <w:spacing w:after="0"/>
              <w:rPr>
                <w:rFonts w:eastAsia="Times New Roman"/>
                <w:b/>
                <w:bCs/>
                <w:color w:val="000000" w:themeColor="text1"/>
              </w:rPr>
            </w:pPr>
            <w:r w:rsidRPr="00D82C11">
              <w:rPr>
                <w:rFonts w:eastAsia="Times New Roman" w:hint="cs"/>
                <w:b/>
                <w:bCs/>
                <w:color w:val="000000" w:themeColor="text1"/>
                <w:rtl/>
              </w:rPr>
              <w:t>5.1</w:t>
            </w:r>
          </w:p>
        </w:tc>
        <w:tc>
          <w:tcPr>
            <w:tcW w:w="502" w:type="pct"/>
            <w:tcBorders>
              <w:top w:val="nil"/>
              <w:left w:val="nil"/>
              <w:bottom w:val="nil"/>
              <w:right w:val="nil"/>
            </w:tcBorders>
            <w:shd w:val="clear" w:color="auto" w:fill="FFFFFF" w:themeFill="background1"/>
            <w:noWrap/>
            <w:vAlign w:val="bottom"/>
            <w:hideMark/>
          </w:tcPr>
          <w:p w:rsidR="0096452E" w:rsidRPr="00556EFB" w:rsidRDefault="0096452E" w:rsidP="0096452E">
            <w:pPr>
              <w:spacing w:after="0"/>
              <w:rPr>
                <w:rFonts w:eastAsia="Times New Roman"/>
              </w:rPr>
            </w:pPr>
            <w:r>
              <w:rPr>
                <w:rFonts w:eastAsia="Times New Roman"/>
                <w:color w:val="1F497D"/>
              </w:rPr>
              <w:t>0.2</w:t>
            </w:r>
          </w:p>
        </w:tc>
        <w:tc>
          <w:tcPr>
            <w:tcW w:w="502" w:type="pct"/>
            <w:tcBorders>
              <w:top w:val="nil"/>
              <w:left w:val="nil"/>
              <w:bottom w:val="nil"/>
              <w:right w:val="nil"/>
            </w:tcBorders>
            <w:shd w:val="clear" w:color="auto" w:fill="FFFFFF" w:themeFill="background1"/>
            <w:noWrap/>
            <w:vAlign w:val="bottom"/>
            <w:hideMark/>
          </w:tcPr>
          <w:p w:rsidR="0096452E" w:rsidRPr="00D82C11" w:rsidRDefault="0096452E" w:rsidP="0096452E">
            <w:pPr>
              <w:spacing w:after="0"/>
              <w:rPr>
                <w:rFonts w:eastAsia="Times New Roman"/>
                <w:b/>
                <w:bCs/>
                <w:color w:val="000000" w:themeColor="text1"/>
              </w:rPr>
            </w:pPr>
            <w:r w:rsidRPr="00D82C11">
              <w:rPr>
                <w:rFonts w:eastAsia="Times New Roman" w:hint="cs"/>
                <w:b/>
                <w:bCs/>
                <w:color w:val="000000" w:themeColor="text1"/>
                <w:rtl/>
              </w:rPr>
              <w:t>4.3</w:t>
            </w:r>
          </w:p>
        </w:tc>
        <w:tc>
          <w:tcPr>
            <w:tcW w:w="500" w:type="pct"/>
            <w:tcBorders>
              <w:top w:val="nil"/>
              <w:left w:val="nil"/>
              <w:bottom w:val="nil"/>
              <w:right w:val="nil"/>
            </w:tcBorders>
            <w:shd w:val="clear" w:color="auto" w:fill="FFFFFF" w:themeFill="background1"/>
            <w:noWrap/>
            <w:vAlign w:val="bottom"/>
            <w:hideMark/>
          </w:tcPr>
          <w:p w:rsidR="0096452E" w:rsidRPr="00556EFB" w:rsidRDefault="0096452E" w:rsidP="0096452E">
            <w:pPr>
              <w:spacing w:after="0"/>
              <w:rPr>
                <w:rFonts w:eastAsia="Times New Roman"/>
                <w:rtl/>
              </w:rPr>
            </w:pPr>
            <w:r>
              <w:rPr>
                <w:rFonts w:eastAsia="Times New Roman" w:hint="cs"/>
                <w:color w:val="1F497D"/>
                <w:rtl/>
              </w:rPr>
              <w:t>0.1</w:t>
            </w:r>
          </w:p>
        </w:tc>
        <w:tc>
          <w:tcPr>
            <w:tcW w:w="256" w:type="pct"/>
            <w:tcBorders>
              <w:top w:val="nil"/>
              <w:left w:val="nil"/>
              <w:bottom w:val="nil"/>
              <w:right w:val="nil"/>
            </w:tcBorders>
            <w:shd w:val="clear" w:color="auto" w:fill="FFFFFF" w:themeFill="background1"/>
          </w:tcPr>
          <w:p w:rsidR="0096452E" w:rsidRPr="00556EFB" w:rsidRDefault="0096452E" w:rsidP="0096452E">
            <w:pPr>
              <w:spacing w:after="0"/>
              <w:rPr>
                <w:rFonts w:eastAsia="Times New Roman"/>
                <w:color w:val="1F497D"/>
              </w:rPr>
            </w:pPr>
          </w:p>
        </w:tc>
      </w:tr>
      <w:tr w:rsidR="0096452E" w:rsidRPr="00C94167" w:rsidTr="002867DC">
        <w:trPr>
          <w:gridAfter w:val="1"/>
          <w:wAfter w:w="744" w:type="pct"/>
          <w:trHeight w:val="300"/>
          <w:jc w:val="center"/>
        </w:trPr>
        <w:tc>
          <w:tcPr>
            <w:tcW w:w="1994" w:type="pct"/>
            <w:gridSpan w:val="2"/>
            <w:tcBorders>
              <w:top w:val="nil"/>
              <w:left w:val="nil"/>
              <w:bottom w:val="single" w:sz="4" w:space="0" w:color="1F497D"/>
              <w:right w:val="nil"/>
            </w:tcBorders>
            <w:shd w:val="clear" w:color="auto" w:fill="FFFFFF" w:themeFill="background1"/>
            <w:vAlign w:val="center"/>
            <w:hideMark/>
          </w:tcPr>
          <w:p w:rsidR="0096452E" w:rsidRPr="00C94167" w:rsidRDefault="0096452E" w:rsidP="0096452E">
            <w:pPr>
              <w:spacing w:after="0"/>
              <w:rPr>
                <w:rFonts w:eastAsia="Times New Roman"/>
              </w:rPr>
            </w:pPr>
            <w:r w:rsidRPr="00C94167">
              <w:rPr>
                <w:rFonts w:eastAsia="Times New Roman" w:hint="cs"/>
                <w:rtl/>
              </w:rPr>
              <w:t>יחס החוב לתוצר</w:t>
            </w:r>
            <w:r>
              <w:rPr>
                <w:rFonts w:eastAsia="Times New Roman" w:hint="cs"/>
                <w:rtl/>
              </w:rPr>
              <w:t xml:space="preserve"> </w:t>
            </w:r>
            <w:r w:rsidRPr="00C94167">
              <w:rPr>
                <w:rFonts w:eastAsia="Times New Roman" w:hint="cs"/>
                <w:rtl/>
              </w:rPr>
              <w:t>(אחוזי תוצר)</w:t>
            </w:r>
          </w:p>
        </w:tc>
        <w:tc>
          <w:tcPr>
            <w:tcW w:w="502" w:type="pct"/>
            <w:tcBorders>
              <w:top w:val="nil"/>
              <w:left w:val="nil"/>
              <w:bottom w:val="single" w:sz="4" w:space="0" w:color="1F497D"/>
              <w:right w:val="nil"/>
            </w:tcBorders>
            <w:shd w:val="clear" w:color="auto" w:fill="FFFFFF" w:themeFill="background1"/>
            <w:noWrap/>
            <w:vAlign w:val="bottom"/>
            <w:hideMark/>
          </w:tcPr>
          <w:p w:rsidR="0096452E" w:rsidRPr="00D82C11" w:rsidRDefault="0096452E" w:rsidP="0096452E">
            <w:pPr>
              <w:spacing w:after="0"/>
              <w:rPr>
                <w:rFonts w:eastAsia="Times New Roman"/>
                <w:b/>
                <w:bCs/>
                <w:color w:val="000000" w:themeColor="text1"/>
              </w:rPr>
            </w:pPr>
            <w:r w:rsidRPr="00D82C11">
              <w:rPr>
                <w:rFonts w:eastAsia="Times New Roman" w:hint="cs"/>
                <w:b/>
                <w:bCs/>
                <w:color w:val="000000" w:themeColor="text1"/>
                <w:rtl/>
              </w:rPr>
              <w:t>71</w:t>
            </w:r>
          </w:p>
        </w:tc>
        <w:tc>
          <w:tcPr>
            <w:tcW w:w="502" w:type="pct"/>
            <w:tcBorders>
              <w:top w:val="nil"/>
              <w:left w:val="nil"/>
              <w:bottom w:val="single" w:sz="4" w:space="0" w:color="1F497D"/>
              <w:right w:val="nil"/>
            </w:tcBorders>
            <w:shd w:val="clear" w:color="auto" w:fill="FFFFFF" w:themeFill="background1"/>
            <w:noWrap/>
            <w:vAlign w:val="bottom"/>
            <w:hideMark/>
          </w:tcPr>
          <w:p w:rsidR="0096452E" w:rsidRPr="00556EFB" w:rsidRDefault="0096452E" w:rsidP="0096452E">
            <w:pPr>
              <w:spacing w:after="0"/>
              <w:rPr>
                <w:rFonts w:eastAsia="Times New Roman"/>
                <w:color w:val="1F497D"/>
              </w:rPr>
            </w:pPr>
            <w:r w:rsidRPr="00556EFB">
              <w:rPr>
                <w:rFonts w:eastAsia="Times New Roman"/>
                <w:color w:val="1F497D"/>
              </w:rPr>
              <w:t>1</w:t>
            </w:r>
          </w:p>
        </w:tc>
        <w:tc>
          <w:tcPr>
            <w:tcW w:w="502" w:type="pct"/>
            <w:tcBorders>
              <w:top w:val="nil"/>
              <w:left w:val="nil"/>
              <w:bottom w:val="single" w:sz="4" w:space="0" w:color="1F497D"/>
              <w:right w:val="nil"/>
            </w:tcBorders>
            <w:shd w:val="clear" w:color="auto" w:fill="FFFFFF" w:themeFill="background1"/>
            <w:noWrap/>
            <w:vAlign w:val="bottom"/>
            <w:hideMark/>
          </w:tcPr>
          <w:p w:rsidR="0096452E" w:rsidRPr="00D82C11" w:rsidRDefault="0096452E" w:rsidP="0096452E">
            <w:pPr>
              <w:spacing w:after="0"/>
              <w:rPr>
                <w:rFonts w:eastAsia="Times New Roman"/>
                <w:b/>
                <w:bCs/>
                <w:color w:val="000000" w:themeColor="text1"/>
              </w:rPr>
            </w:pPr>
            <w:r w:rsidRPr="00D82C11">
              <w:rPr>
                <w:rFonts w:eastAsia="Times New Roman" w:hint="cs"/>
                <w:b/>
                <w:bCs/>
                <w:color w:val="000000" w:themeColor="text1"/>
                <w:rtl/>
              </w:rPr>
              <w:t>71</w:t>
            </w:r>
          </w:p>
        </w:tc>
        <w:tc>
          <w:tcPr>
            <w:tcW w:w="500" w:type="pct"/>
            <w:tcBorders>
              <w:top w:val="nil"/>
              <w:left w:val="nil"/>
              <w:bottom w:val="single" w:sz="4" w:space="0" w:color="1F497D"/>
              <w:right w:val="nil"/>
            </w:tcBorders>
            <w:shd w:val="clear" w:color="auto" w:fill="FFFFFF" w:themeFill="background1"/>
            <w:noWrap/>
            <w:vAlign w:val="bottom"/>
            <w:hideMark/>
          </w:tcPr>
          <w:p w:rsidR="0096452E" w:rsidRPr="00556EFB" w:rsidRDefault="0096452E" w:rsidP="0096452E">
            <w:pPr>
              <w:spacing w:after="0"/>
              <w:rPr>
                <w:rFonts w:eastAsia="Times New Roman"/>
                <w:color w:val="1F497D"/>
              </w:rPr>
            </w:pPr>
            <w:r>
              <w:rPr>
                <w:rFonts w:eastAsia="Times New Roman" w:hint="cs"/>
                <w:color w:val="1F497D"/>
                <w:rtl/>
              </w:rPr>
              <w:t>0</w:t>
            </w:r>
          </w:p>
        </w:tc>
        <w:tc>
          <w:tcPr>
            <w:tcW w:w="256" w:type="pct"/>
            <w:tcBorders>
              <w:top w:val="nil"/>
              <w:left w:val="nil"/>
              <w:bottom w:val="single" w:sz="4" w:space="0" w:color="1F497D"/>
              <w:right w:val="nil"/>
            </w:tcBorders>
            <w:shd w:val="clear" w:color="auto" w:fill="FFFFFF" w:themeFill="background1"/>
          </w:tcPr>
          <w:p w:rsidR="0096452E" w:rsidRPr="00556EFB" w:rsidRDefault="0096452E" w:rsidP="0096452E">
            <w:pPr>
              <w:spacing w:after="0"/>
              <w:rPr>
                <w:rFonts w:eastAsia="Times New Roman"/>
                <w:color w:val="1F497D"/>
              </w:rPr>
            </w:pPr>
          </w:p>
        </w:tc>
      </w:tr>
      <w:tr w:rsidR="0096452E" w:rsidRPr="00C94167" w:rsidTr="002867DC">
        <w:trPr>
          <w:gridAfter w:val="1"/>
          <w:wAfter w:w="744" w:type="pct"/>
          <w:trHeight w:val="300"/>
          <w:jc w:val="center"/>
        </w:trPr>
        <w:tc>
          <w:tcPr>
            <w:tcW w:w="1994" w:type="pct"/>
            <w:gridSpan w:val="2"/>
            <w:tcBorders>
              <w:top w:val="nil"/>
              <w:left w:val="nil"/>
              <w:bottom w:val="single" w:sz="4" w:space="0" w:color="1F497D"/>
              <w:right w:val="nil"/>
            </w:tcBorders>
            <w:shd w:val="clear" w:color="auto" w:fill="FFFFFF" w:themeFill="background1"/>
            <w:vAlign w:val="center"/>
            <w:hideMark/>
          </w:tcPr>
          <w:p w:rsidR="0096452E" w:rsidRPr="00C94167" w:rsidRDefault="0096452E" w:rsidP="0096452E">
            <w:pPr>
              <w:spacing w:after="0"/>
              <w:rPr>
                <w:rFonts w:eastAsia="Times New Roman"/>
                <w:color w:val="000000"/>
              </w:rPr>
            </w:pPr>
            <w:r w:rsidRPr="00C94167">
              <w:rPr>
                <w:rFonts w:eastAsia="Times New Roman"/>
                <w:color w:val="000000"/>
                <w:rtl/>
              </w:rPr>
              <w:t>אינפלציה</w:t>
            </w:r>
            <w:r w:rsidRPr="00C94167">
              <w:rPr>
                <w:rFonts w:eastAsia="Times New Roman"/>
                <w:color w:val="000000"/>
                <w:vertAlign w:val="superscript"/>
                <w:rtl/>
              </w:rPr>
              <w:t>3</w:t>
            </w:r>
          </w:p>
        </w:tc>
        <w:tc>
          <w:tcPr>
            <w:tcW w:w="502" w:type="pct"/>
            <w:tcBorders>
              <w:top w:val="nil"/>
              <w:left w:val="nil"/>
              <w:bottom w:val="single" w:sz="4" w:space="0" w:color="1F497D"/>
              <w:right w:val="nil"/>
            </w:tcBorders>
            <w:shd w:val="clear" w:color="auto" w:fill="FFFFFF" w:themeFill="background1"/>
            <w:noWrap/>
            <w:vAlign w:val="bottom"/>
            <w:hideMark/>
          </w:tcPr>
          <w:p w:rsidR="0096452E" w:rsidRPr="002C7CC8" w:rsidRDefault="0096452E" w:rsidP="0096452E">
            <w:pPr>
              <w:spacing w:after="0"/>
              <w:rPr>
                <w:rFonts w:eastAsia="Times New Roman" w:cstheme="minorBidi"/>
                <w:b/>
                <w:bCs/>
                <w:color w:val="000000"/>
              </w:rPr>
            </w:pPr>
            <w:r>
              <w:rPr>
                <w:rFonts w:eastAsia="Times New Roman" w:hint="cs"/>
                <w:b/>
                <w:bCs/>
                <w:color w:val="000000"/>
                <w:rtl/>
              </w:rPr>
              <w:t>3.0</w:t>
            </w:r>
          </w:p>
        </w:tc>
        <w:tc>
          <w:tcPr>
            <w:tcW w:w="502" w:type="pct"/>
            <w:tcBorders>
              <w:top w:val="nil"/>
              <w:left w:val="nil"/>
              <w:bottom w:val="single" w:sz="4" w:space="0" w:color="1F497D"/>
              <w:right w:val="nil"/>
            </w:tcBorders>
            <w:shd w:val="clear" w:color="auto" w:fill="FFFFFF" w:themeFill="background1"/>
            <w:noWrap/>
            <w:vAlign w:val="bottom"/>
            <w:hideMark/>
          </w:tcPr>
          <w:p w:rsidR="0096452E" w:rsidRPr="00C94167" w:rsidRDefault="0096452E" w:rsidP="0096452E">
            <w:pPr>
              <w:spacing w:after="0"/>
              <w:rPr>
                <w:rFonts w:eastAsia="Times New Roman"/>
                <w:color w:val="1F497D"/>
              </w:rPr>
            </w:pPr>
            <w:r>
              <w:rPr>
                <w:rFonts w:eastAsia="Times New Roman"/>
                <w:color w:val="1F497D"/>
              </w:rPr>
              <w:t>0.4</w:t>
            </w:r>
          </w:p>
        </w:tc>
        <w:tc>
          <w:tcPr>
            <w:tcW w:w="502" w:type="pct"/>
            <w:tcBorders>
              <w:top w:val="nil"/>
              <w:left w:val="nil"/>
              <w:bottom w:val="single" w:sz="4" w:space="0" w:color="1F497D"/>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000000"/>
              </w:rPr>
            </w:pPr>
            <w:r>
              <w:rPr>
                <w:rFonts w:eastAsia="Times New Roman"/>
                <w:b/>
                <w:bCs/>
                <w:color w:val="000000"/>
              </w:rPr>
              <w:t>2.2</w:t>
            </w:r>
          </w:p>
        </w:tc>
        <w:tc>
          <w:tcPr>
            <w:tcW w:w="500" w:type="pct"/>
            <w:tcBorders>
              <w:top w:val="nil"/>
              <w:left w:val="nil"/>
              <w:bottom w:val="single" w:sz="4" w:space="0" w:color="1F497D"/>
              <w:right w:val="nil"/>
            </w:tcBorders>
            <w:shd w:val="clear" w:color="auto" w:fill="FFFFFF" w:themeFill="background1"/>
            <w:noWrap/>
            <w:vAlign w:val="bottom"/>
            <w:hideMark/>
          </w:tcPr>
          <w:p w:rsidR="0096452E" w:rsidRPr="00C94167" w:rsidRDefault="0096452E" w:rsidP="0096452E">
            <w:pPr>
              <w:spacing w:after="0"/>
              <w:rPr>
                <w:rFonts w:eastAsia="Times New Roman"/>
                <w:color w:val="1F497D"/>
                <w:rtl/>
              </w:rPr>
            </w:pPr>
            <w:r>
              <w:rPr>
                <w:rFonts w:eastAsia="Times New Roman"/>
                <w:color w:val="1F497D"/>
              </w:rPr>
              <w:t>0.2</w:t>
            </w:r>
          </w:p>
        </w:tc>
        <w:tc>
          <w:tcPr>
            <w:tcW w:w="256" w:type="pct"/>
            <w:tcBorders>
              <w:top w:val="nil"/>
              <w:left w:val="nil"/>
              <w:bottom w:val="single" w:sz="4" w:space="0" w:color="1F497D"/>
              <w:right w:val="nil"/>
            </w:tcBorders>
            <w:shd w:val="clear" w:color="auto" w:fill="FFFFFF" w:themeFill="background1"/>
          </w:tcPr>
          <w:p w:rsidR="0096452E" w:rsidRDefault="0096452E" w:rsidP="0096452E">
            <w:pPr>
              <w:spacing w:after="0"/>
              <w:rPr>
                <w:rFonts w:eastAsia="Times New Roman"/>
                <w:color w:val="1F497D"/>
              </w:rPr>
            </w:pPr>
          </w:p>
        </w:tc>
      </w:tr>
      <w:tr w:rsidR="0096452E" w:rsidRPr="00C94167" w:rsidTr="002867DC">
        <w:trPr>
          <w:trHeight w:val="300"/>
          <w:jc w:val="center"/>
        </w:trPr>
        <w:tc>
          <w:tcPr>
            <w:tcW w:w="331" w:type="pct"/>
            <w:tcBorders>
              <w:top w:val="single" w:sz="4" w:space="0" w:color="1F497D"/>
              <w:left w:val="nil"/>
              <w:bottom w:val="nil"/>
              <w:right w:val="nil"/>
            </w:tcBorders>
            <w:shd w:val="clear" w:color="auto" w:fill="FFFFFF" w:themeFill="background1"/>
          </w:tcPr>
          <w:p w:rsidR="0096452E" w:rsidRPr="00C94167" w:rsidRDefault="0096452E" w:rsidP="0096452E">
            <w:pPr>
              <w:spacing w:after="0"/>
              <w:rPr>
                <w:rFonts w:eastAsia="Times New Roman"/>
                <w:color w:val="000000"/>
                <w:sz w:val="20"/>
                <w:szCs w:val="20"/>
                <w:vertAlign w:val="superscript"/>
                <w:rtl/>
              </w:rPr>
            </w:pPr>
          </w:p>
        </w:tc>
        <w:bookmarkEnd w:id="2"/>
        <w:tc>
          <w:tcPr>
            <w:tcW w:w="4669" w:type="pct"/>
            <w:gridSpan w:val="7"/>
            <w:tcBorders>
              <w:top w:val="single" w:sz="4" w:space="0" w:color="1F497D"/>
              <w:left w:val="nil"/>
              <w:bottom w:val="nil"/>
              <w:right w:val="nil"/>
            </w:tcBorders>
            <w:shd w:val="clear" w:color="auto" w:fill="FFFFFF" w:themeFill="background1"/>
            <w:noWrap/>
            <w:vAlign w:val="center"/>
            <w:hideMark/>
          </w:tcPr>
          <w:p w:rsidR="0096452E" w:rsidRPr="00C94167" w:rsidRDefault="0096452E" w:rsidP="0096452E">
            <w:pPr>
              <w:spacing w:after="0"/>
              <w:rPr>
                <w:rFonts w:eastAsia="Times New Roman"/>
                <w:color w:val="000000"/>
                <w:sz w:val="20"/>
                <w:szCs w:val="20"/>
                <w:rtl/>
              </w:rPr>
            </w:pPr>
            <w:r w:rsidRPr="00C94167">
              <w:rPr>
                <w:rFonts w:eastAsia="Times New Roman"/>
                <w:color w:val="000000"/>
                <w:sz w:val="20"/>
                <w:szCs w:val="20"/>
                <w:vertAlign w:val="superscript"/>
                <w:rtl/>
              </w:rPr>
              <w:t>1</w:t>
            </w:r>
            <w:r w:rsidRPr="00C94167">
              <w:rPr>
                <w:rFonts w:eastAsia="Times New Roman"/>
                <w:color w:val="000000"/>
                <w:sz w:val="20"/>
                <w:szCs w:val="20"/>
                <w:rtl/>
              </w:rPr>
              <w:t xml:space="preserve"> </w:t>
            </w:r>
            <w:r w:rsidRPr="002C7CC8">
              <w:rPr>
                <w:rFonts w:eastAsia="Times New Roman"/>
                <w:color w:val="000000"/>
                <w:sz w:val="20"/>
                <w:szCs w:val="20"/>
                <w:rtl/>
              </w:rPr>
              <w:t>התחזית לרכיבי החשבונאות הלאומית מעוגלת לחצי נקודת אחוז והתחזית לחוב הציבורי מעוגלת ל</w:t>
            </w:r>
            <w:r>
              <w:rPr>
                <w:rFonts w:eastAsia="Times New Roman" w:hint="cs"/>
                <w:color w:val="000000"/>
                <w:sz w:val="20"/>
                <w:szCs w:val="20"/>
                <w:rtl/>
              </w:rPr>
              <w:t>אחוזים שלמים</w:t>
            </w:r>
            <w:r w:rsidRPr="002C7CC8">
              <w:rPr>
                <w:rFonts w:eastAsia="Times New Roman"/>
                <w:color w:val="000000"/>
                <w:sz w:val="20"/>
                <w:szCs w:val="20"/>
                <w:rtl/>
              </w:rPr>
              <w:t>.</w:t>
            </w:r>
          </w:p>
        </w:tc>
      </w:tr>
      <w:tr w:rsidR="0096452E" w:rsidRPr="00C94167" w:rsidTr="002867DC">
        <w:trPr>
          <w:trHeight w:val="765"/>
          <w:jc w:val="center"/>
        </w:trPr>
        <w:tc>
          <w:tcPr>
            <w:tcW w:w="331" w:type="pct"/>
            <w:tcBorders>
              <w:top w:val="nil"/>
              <w:left w:val="nil"/>
              <w:bottom w:val="nil"/>
              <w:right w:val="nil"/>
            </w:tcBorders>
            <w:shd w:val="clear" w:color="auto" w:fill="FFFFFF" w:themeFill="background1"/>
          </w:tcPr>
          <w:p w:rsidR="0096452E" w:rsidRPr="00C94167" w:rsidRDefault="0096452E" w:rsidP="0096452E">
            <w:pPr>
              <w:spacing w:after="0"/>
              <w:rPr>
                <w:rFonts w:eastAsia="Times New Roman"/>
                <w:color w:val="000000"/>
                <w:sz w:val="20"/>
                <w:szCs w:val="20"/>
                <w:vertAlign w:val="superscript"/>
                <w:rtl/>
              </w:rPr>
            </w:pPr>
          </w:p>
        </w:tc>
        <w:tc>
          <w:tcPr>
            <w:tcW w:w="4669" w:type="pct"/>
            <w:gridSpan w:val="7"/>
            <w:tcBorders>
              <w:top w:val="nil"/>
              <w:left w:val="nil"/>
              <w:bottom w:val="nil"/>
              <w:right w:val="nil"/>
            </w:tcBorders>
            <w:shd w:val="clear" w:color="auto" w:fill="FFFFFF" w:themeFill="background1"/>
            <w:vAlign w:val="bottom"/>
            <w:hideMark/>
          </w:tcPr>
          <w:p w:rsidR="0096452E" w:rsidRPr="00C94167" w:rsidRDefault="0096452E" w:rsidP="0096452E">
            <w:pPr>
              <w:spacing w:after="0"/>
              <w:rPr>
                <w:rFonts w:eastAsia="Times New Roman"/>
                <w:color w:val="000000"/>
                <w:sz w:val="20"/>
                <w:szCs w:val="20"/>
                <w:rtl/>
              </w:rPr>
            </w:pPr>
            <w:r w:rsidRPr="00C94167">
              <w:rPr>
                <w:rFonts w:eastAsia="Times New Roman"/>
                <w:color w:val="000000"/>
                <w:sz w:val="20"/>
                <w:szCs w:val="20"/>
                <w:vertAlign w:val="superscript"/>
                <w:rtl/>
              </w:rPr>
              <w:t>2</w:t>
            </w:r>
            <w:r w:rsidRPr="00C94167">
              <w:rPr>
                <w:rFonts w:eastAsia="Times New Roman"/>
                <w:color w:val="000000"/>
                <w:sz w:val="20"/>
                <w:szCs w:val="20"/>
                <w:rtl/>
              </w:rPr>
              <w:t xml:space="preserve"> ממוצע שנתי. בהתאם להגדרה של </w:t>
            </w:r>
            <w:proofErr w:type="spellStart"/>
            <w:r w:rsidRPr="00C94167">
              <w:rPr>
                <w:rFonts w:eastAsia="Times New Roman"/>
                <w:color w:val="000000"/>
                <w:sz w:val="20"/>
                <w:szCs w:val="20"/>
                <w:rtl/>
              </w:rPr>
              <w:t>הלמ"ס</w:t>
            </w:r>
            <w:proofErr w:type="spellEnd"/>
            <w:r w:rsidRPr="00C94167">
              <w:rPr>
                <w:rFonts w:eastAsia="Times New Roman"/>
                <w:color w:val="000000"/>
                <w:sz w:val="20"/>
                <w:szCs w:val="20"/>
                <w:rtl/>
              </w:rPr>
              <w:t>, שיעור האבטלה הרחב</w:t>
            </w:r>
            <w:r>
              <w:rPr>
                <w:rFonts w:eastAsia="Times New Roman" w:hint="cs"/>
                <w:color w:val="000000"/>
                <w:sz w:val="20"/>
                <w:szCs w:val="20"/>
                <w:rtl/>
              </w:rPr>
              <w:t>ה</w:t>
            </w:r>
            <w:r w:rsidRPr="00C94167">
              <w:rPr>
                <w:rFonts w:eastAsia="Times New Roman"/>
                <w:color w:val="000000"/>
                <w:sz w:val="20"/>
                <w:szCs w:val="20"/>
                <w:rtl/>
              </w:rPr>
              <w:t xml:space="preserve"> כולל את המובטלים בהגדרתם הרגילה (מי שלא עבדו, רצו לעבוד, היו פנויים לעבודה, וחיפשו עבודה) ואת המועסקים שנעדרים זמנית מעבודתם מסיבות כלכליות (כולל עובדים בחל"ת). בהתאם, שיעור התעסוקה המותאם אינו כולל את הנעדרים זמנית מסיבות כלכליות.</w:t>
            </w:r>
            <w:r>
              <w:rPr>
                <w:rFonts w:eastAsia="Times New Roman" w:hint="cs"/>
                <w:color w:val="000000"/>
                <w:sz w:val="20"/>
                <w:szCs w:val="20"/>
                <w:rtl/>
              </w:rPr>
              <w:t xml:space="preserve"> הגידול בתחזית לשיעור האבטלה הרחבה, בהשוואה לתחזית מיולי, משקף עלייה משמעותית וזמנית באבטלה במהלך ימי "עם כלביא" ואינו משקף שינוי משמעותי. בהתפתחות האבטלה בהמשך השנה. </w:t>
            </w:r>
          </w:p>
        </w:tc>
      </w:tr>
      <w:tr w:rsidR="0096452E" w:rsidRPr="00C94167" w:rsidTr="002867DC">
        <w:trPr>
          <w:trHeight w:val="300"/>
          <w:jc w:val="center"/>
        </w:trPr>
        <w:tc>
          <w:tcPr>
            <w:tcW w:w="331" w:type="pct"/>
            <w:tcBorders>
              <w:top w:val="nil"/>
              <w:left w:val="nil"/>
              <w:bottom w:val="nil"/>
              <w:right w:val="nil"/>
            </w:tcBorders>
            <w:shd w:val="clear" w:color="auto" w:fill="FFFFFF" w:themeFill="background1"/>
          </w:tcPr>
          <w:p w:rsidR="0096452E" w:rsidRPr="00C94167" w:rsidRDefault="0096452E" w:rsidP="0096452E">
            <w:pPr>
              <w:spacing w:after="0"/>
              <w:rPr>
                <w:rFonts w:eastAsia="Times New Roman"/>
                <w:color w:val="000000"/>
                <w:sz w:val="20"/>
                <w:szCs w:val="20"/>
                <w:vertAlign w:val="superscript"/>
                <w:rtl/>
              </w:rPr>
            </w:pPr>
          </w:p>
        </w:tc>
        <w:tc>
          <w:tcPr>
            <w:tcW w:w="4669" w:type="pct"/>
            <w:gridSpan w:val="7"/>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color w:val="000000"/>
                <w:sz w:val="20"/>
                <w:szCs w:val="20"/>
                <w:rtl/>
              </w:rPr>
            </w:pPr>
            <w:r w:rsidRPr="00C94167">
              <w:rPr>
                <w:rFonts w:eastAsia="Times New Roman"/>
                <w:color w:val="000000"/>
                <w:sz w:val="20"/>
                <w:szCs w:val="20"/>
                <w:vertAlign w:val="superscript"/>
                <w:rtl/>
              </w:rPr>
              <w:t>3</w:t>
            </w:r>
            <w:r w:rsidRPr="00C94167">
              <w:rPr>
                <w:rFonts w:eastAsia="Times New Roman"/>
                <w:color w:val="000000"/>
                <w:sz w:val="20"/>
                <w:szCs w:val="20"/>
                <w:rtl/>
              </w:rPr>
              <w:t xml:space="preserve"> הממוצע של מדד המחירים לצרכן ברבעון האחרון בשנה לעומת הממוצע ברבעון האחרון בשנה הקודמת.</w:t>
            </w:r>
          </w:p>
        </w:tc>
      </w:tr>
    </w:tbl>
    <w:p w:rsidR="0096452E" w:rsidRPr="00202530" w:rsidRDefault="0096452E" w:rsidP="0096452E">
      <w:pPr>
        <w:pStyle w:val="a"/>
        <w:spacing w:line="276" w:lineRule="auto"/>
        <w:rPr>
          <w:rFonts w:ascii="Calibri" w:hAnsi="Calibri" w:cs="Calibri"/>
          <w:sz w:val="24"/>
          <w:rtl/>
        </w:rPr>
      </w:pPr>
      <w:r w:rsidRPr="00202530">
        <w:rPr>
          <w:rFonts w:ascii="Calibri" w:hAnsi="Calibri" w:cs="Calibri"/>
          <w:sz w:val="24"/>
          <w:rtl/>
        </w:rPr>
        <w:t>הפעילות הריאלית בישראל</w:t>
      </w:r>
    </w:p>
    <w:p w:rsidR="0096452E" w:rsidRDefault="0096452E" w:rsidP="0096452E">
      <w:pPr>
        <w:ind w:left="8"/>
        <w:jc w:val="both"/>
        <w:rPr>
          <w:rtl/>
        </w:rPr>
      </w:pPr>
      <w:r w:rsidRPr="00202530">
        <w:rPr>
          <w:b/>
          <w:bCs/>
          <w:rtl/>
        </w:rPr>
        <w:t>התוצר צפוי לצמוח ב</w:t>
      </w:r>
      <w:r w:rsidRPr="007D53DC">
        <w:rPr>
          <w:b/>
          <w:bCs/>
          <w:rtl/>
        </w:rPr>
        <w:t>-</w:t>
      </w:r>
      <w:r>
        <w:rPr>
          <w:rFonts w:hint="cs"/>
          <w:b/>
          <w:bCs/>
          <w:rtl/>
        </w:rPr>
        <w:t xml:space="preserve">2.5% </w:t>
      </w:r>
      <w:r w:rsidRPr="007D53DC">
        <w:rPr>
          <w:b/>
          <w:bCs/>
          <w:rtl/>
        </w:rPr>
        <w:t>בשנת 2025</w:t>
      </w:r>
      <w:r w:rsidRPr="007D53DC">
        <w:rPr>
          <w:rtl/>
        </w:rPr>
        <w:t xml:space="preserve"> </w:t>
      </w:r>
      <w:r w:rsidRPr="007D53DC">
        <w:rPr>
          <w:rFonts w:hint="cs"/>
          <w:b/>
          <w:bCs/>
          <w:rtl/>
        </w:rPr>
        <w:t>ו</w:t>
      </w:r>
      <w:r w:rsidRPr="007D53DC">
        <w:rPr>
          <w:b/>
          <w:bCs/>
          <w:rtl/>
        </w:rPr>
        <w:t>ב-</w:t>
      </w:r>
      <w:r>
        <w:rPr>
          <w:b/>
          <w:bCs/>
        </w:rPr>
        <w:t>4.7%</w:t>
      </w:r>
      <w:r w:rsidRPr="007D53DC">
        <w:rPr>
          <w:rFonts w:hint="cs"/>
          <w:b/>
          <w:bCs/>
          <w:rtl/>
        </w:rPr>
        <w:t xml:space="preserve"> בשנת</w:t>
      </w:r>
      <w:r>
        <w:rPr>
          <w:rFonts w:hint="cs"/>
          <w:b/>
          <w:bCs/>
          <w:rtl/>
        </w:rPr>
        <w:t xml:space="preserve"> 2026</w:t>
      </w:r>
      <w:r w:rsidRPr="00202530">
        <w:rPr>
          <w:rtl/>
        </w:rPr>
        <w:t xml:space="preserve"> (לוח 1)</w:t>
      </w:r>
      <w:r w:rsidRPr="002C7CC8">
        <w:rPr>
          <w:rFonts w:hint="cs"/>
          <w:rtl/>
        </w:rPr>
        <w:t>.</w:t>
      </w:r>
      <w:r w:rsidRPr="004F7307">
        <w:rPr>
          <w:rtl/>
        </w:rPr>
        <w:t xml:space="preserve"> </w:t>
      </w:r>
      <w:r>
        <w:rPr>
          <w:rFonts w:hint="cs"/>
          <w:rtl/>
        </w:rPr>
        <w:t>מאז</w:t>
      </w:r>
      <w:r>
        <w:rPr>
          <w:rtl/>
        </w:rPr>
        <w:t xml:space="preserve"> </w:t>
      </w:r>
      <w:r>
        <w:rPr>
          <w:rFonts w:hint="cs"/>
          <w:rtl/>
        </w:rPr>
        <w:t>פרוץ</w:t>
      </w:r>
      <w:r>
        <w:rPr>
          <w:rtl/>
        </w:rPr>
        <w:t xml:space="preserve"> </w:t>
      </w:r>
      <w:r>
        <w:rPr>
          <w:rFonts w:hint="cs"/>
          <w:rtl/>
        </w:rPr>
        <w:t>המלחמה באוקטובר 2023</w:t>
      </w:r>
      <w:r>
        <w:rPr>
          <w:rtl/>
        </w:rPr>
        <w:t xml:space="preserve">, </w:t>
      </w:r>
      <w:r>
        <w:rPr>
          <w:rFonts w:hint="cs"/>
          <w:rtl/>
        </w:rPr>
        <w:t>רמת</w:t>
      </w:r>
      <w:r>
        <w:rPr>
          <w:rtl/>
        </w:rPr>
        <w:t xml:space="preserve"> </w:t>
      </w:r>
      <w:r>
        <w:rPr>
          <w:rFonts w:hint="cs"/>
          <w:rtl/>
        </w:rPr>
        <w:t>התוצר</w:t>
      </w:r>
      <w:r>
        <w:rPr>
          <w:rtl/>
        </w:rPr>
        <w:t xml:space="preserve"> נמוכה מ</w:t>
      </w:r>
      <w:r>
        <w:rPr>
          <w:rFonts w:hint="cs"/>
          <w:rtl/>
        </w:rPr>
        <w:t>מגמת טרום ה</w:t>
      </w:r>
      <w:r>
        <w:rPr>
          <w:rtl/>
        </w:rPr>
        <w:t>קורונה;</w:t>
      </w:r>
      <w:r>
        <w:rPr>
          <w:rFonts w:hint="cs"/>
          <w:rtl/>
        </w:rPr>
        <w:t xml:space="preserve"> </w:t>
      </w:r>
      <w:r>
        <w:rPr>
          <w:rtl/>
        </w:rPr>
        <w:t xml:space="preserve">ברבעון השני של השנה התכווצה הפעילות בשיעור </w:t>
      </w:r>
      <w:r>
        <w:rPr>
          <w:rFonts w:hint="cs"/>
          <w:rtl/>
        </w:rPr>
        <w:t xml:space="preserve">שנתי </w:t>
      </w:r>
      <w:r>
        <w:rPr>
          <w:rtl/>
        </w:rPr>
        <w:t xml:space="preserve">של 4.0%, </w:t>
      </w:r>
      <w:r>
        <w:rPr>
          <w:rFonts w:hint="cs"/>
          <w:rtl/>
        </w:rPr>
        <w:t>במידה רבה</w:t>
      </w:r>
      <w:r>
        <w:rPr>
          <w:rtl/>
        </w:rPr>
        <w:t xml:space="preserve"> בהשפעת הפגיעה בפעילות בזמן</w:t>
      </w:r>
      <w:r>
        <w:rPr>
          <w:rFonts w:hint="cs"/>
          <w:rtl/>
        </w:rPr>
        <w:t xml:space="preserve"> מבצע</w:t>
      </w:r>
      <w:r>
        <w:rPr>
          <w:rtl/>
        </w:rPr>
        <w:t xml:space="preserve"> "עם כלביא" בחודש יוני. </w:t>
      </w:r>
      <w:r>
        <w:rPr>
          <w:rFonts w:hint="cs"/>
          <w:rtl/>
        </w:rPr>
        <w:t xml:space="preserve">על הפעילות ממשיכות להעיב </w:t>
      </w:r>
      <w:r>
        <w:rPr>
          <w:rtl/>
        </w:rPr>
        <w:t>מגבלות בצד ההיצע</w:t>
      </w:r>
      <w:r>
        <w:rPr>
          <w:rFonts w:hint="cs"/>
          <w:rtl/>
        </w:rPr>
        <w:t xml:space="preserve">, </w:t>
      </w:r>
      <w:r>
        <w:rPr>
          <w:rtl/>
        </w:rPr>
        <w:t>בעיקר בשוק העבודה</w:t>
      </w:r>
      <w:r>
        <w:rPr>
          <w:rFonts w:hint="cs"/>
          <w:rtl/>
        </w:rPr>
        <w:t xml:space="preserve"> </w:t>
      </w:r>
      <w:r>
        <w:rPr>
          <w:rtl/>
        </w:rPr>
        <w:softHyphen/>
        <w:t>– עקב גיוסי מילואים ומחסור בעובדים שאינם ישראלים</w:t>
      </w:r>
      <w:r>
        <w:rPr>
          <w:rFonts w:hint="cs"/>
          <w:rtl/>
        </w:rPr>
        <w:t>. אלו משתקפות, בין השאר, ב</w:t>
      </w:r>
      <w:r>
        <w:rPr>
          <w:rtl/>
        </w:rPr>
        <w:t>שיעור אבטלה נמוך (כ</w:t>
      </w:r>
      <w:r>
        <w:rPr>
          <w:rFonts w:ascii="Cambria Math" w:hAnsi="Cambria Math" w:cs="Cambria Math" w:hint="cs"/>
          <w:rtl/>
        </w:rPr>
        <w:t>‑</w:t>
      </w:r>
      <w:r>
        <w:rPr>
          <w:rtl/>
        </w:rPr>
        <w:t xml:space="preserve">3% </w:t>
      </w:r>
      <w:r>
        <w:rPr>
          <w:rFonts w:hint="cs"/>
          <w:rtl/>
        </w:rPr>
        <w:t>בקרב ג</w:t>
      </w:r>
      <w:r>
        <w:rPr>
          <w:rtl/>
        </w:rPr>
        <w:t>ילאי 25–64)</w:t>
      </w:r>
      <w:r>
        <w:rPr>
          <w:rStyle w:val="af3"/>
          <w:rtl/>
        </w:rPr>
        <w:footnoteReference w:id="2"/>
      </w:r>
      <w:r>
        <w:rPr>
          <w:rtl/>
        </w:rPr>
        <w:t xml:space="preserve">, </w:t>
      </w:r>
      <w:r>
        <w:rPr>
          <w:rFonts w:hint="cs"/>
          <w:rtl/>
        </w:rPr>
        <w:t xml:space="preserve">ברמה גבוהה של </w:t>
      </w:r>
      <w:r>
        <w:rPr>
          <w:rtl/>
        </w:rPr>
        <w:t xml:space="preserve">משרות פנויות (מעל 4%) </w:t>
      </w:r>
      <w:r>
        <w:rPr>
          <w:rFonts w:hint="cs"/>
          <w:rtl/>
        </w:rPr>
        <w:t xml:space="preserve">ובהתרחבות </w:t>
      </w:r>
      <w:r>
        <w:rPr>
          <w:rtl/>
        </w:rPr>
        <w:t>היבוא.</w:t>
      </w:r>
      <w:r>
        <w:rPr>
          <w:rFonts w:hint="cs"/>
          <w:rtl/>
        </w:rPr>
        <w:t xml:space="preserve"> </w:t>
      </w:r>
      <w:r>
        <w:rPr>
          <w:rtl/>
        </w:rPr>
        <w:t xml:space="preserve">נציין כי </w:t>
      </w:r>
      <w:r>
        <w:rPr>
          <w:rFonts w:hint="cs"/>
          <w:rtl/>
        </w:rPr>
        <w:t xml:space="preserve">עדכון תחזית הצריכה הציבורית כלפי מטה (לוח 1) משקף בעיקר התפתחות שכבר התרחשה </w:t>
      </w:r>
      <w:r>
        <w:rPr>
          <w:rtl/>
        </w:rPr>
        <w:t>–</w:t>
      </w:r>
      <w:r>
        <w:rPr>
          <w:rFonts w:hint="cs"/>
          <w:rtl/>
        </w:rPr>
        <w:t xml:space="preserve"> במחצית הראשונה</w:t>
      </w:r>
      <w:r>
        <w:rPr>
          <w:rtl/>
        </w:rPr>
        <w:t xml:space="preserve"> של </w:t>
      </w:r>
      <w:r>
        <w:rPr>
          <w:rFonts w:hint="cs"/>
          <w:rtl/>
        </w:rPr>
        <w:t>2025</w:t>
      </w:r>
      <w:r>
        <w:rPr>
          <w:rtl/>
        </w:rPr>
        <w:t xml:space="preserve"> הצריכה הציבורית </w:t>
      </w:r>
      <w:r>
        <w:rPr>
          <w:rFonts w:hint="cs"/>
          <w:rtl/>
        </w:rPr>
        <w:t xml:space="preserve">הריאלית </w:t>
      </w:r>
      <w:r>
        <w:rPr>
          <w:rtl/>
        </w:rPr>
        <w:t>הייתה נמוכה מן ההערכה הקודמת.</w:t>
      </w:r>
      <w:r>
        <w:rPr>
          <w:rStyle w:val="af3"/>
          <w:rtl/>
        </w:rPr>
        <w:footnoteReference w:id="3"/>
      </w:r>
      <w:r>
        <w:rPr>
          <w:rtl/>
        </w:rPr>
        <w:t xml:space="preserve"> </w:t>
      </w:r>
      <w:r>
        <w:rPr>
          <w:rFonts w:hint="cs"/>
          <w:rtl/>
        </w:rPr>
        <w:t>ה</w:t>
      </w:r>
      <w:r>
        <w:rPr>
          <w:rtl/>
        </w:rPr>
        <w:t>סביבה</w:t>
      </w:r>
      <w:r>
        <w:rPr>
          <w:rFonts w:hint="cs"/>
          <w:rtl/>
        </w:rPr>
        <w:t xml:space="preserve"> הכלכלית </w:t>
      </w:r>
      <w:r>
        <w:rPr>
          <w:rtl/>
        </w:rPr>
        <w:t xml:space="preserve">מאופיינת </w:t>
      </w:r>
      <w:r>
        <w:rPr>
          <w:rFonts w:hint="cs"/>
          <w:rtl/>
        </w:rPr>
        <w:t>מזה זמן רב</w:t>
      </w:r>
      <w:r>
        <w:rPr>
          <w:rtl/>
        </w:rPr>
        <w:t xml:space="preserve"> באי</w:t>
      </w:r>
      <w:r>
        <w:rPr>
          <w:rFonts w:ascii="Cambria Math" w:hAnsi="Cambria Math" w:cs="Cambria Math" w:hint="cs"/>
          <w:rtl/>
        </w:rPr>
        <w:t>‑</w:t>
      </w:r>
      <w:r>
        <w:rPr>
          <w:rFonts w:hint="cs"/>
          <w:rtl/>
        </w:rPr>
        <w:t>ודאות</w:t>
      </w:r>
      <w:r>
        <w:rPr>
          <w:rtl/>
        </w:rPr>
        <w:t xml:space="preserve"> </w:t>
      </w:r>
      <w:r>
        <w:rPr>
          <w:rFonts w:hint="cs"/>
          <w:rtl/>
        </w:rPr>
        <w:t>גבוהה</w:t>
      </w:r>
      <w:r>
        <w:rPr>
          <w:rtl/>
        </w:rPr>
        <w:t xml:space="preserve"> </w:t>
      </w:r>
      <w:r>
        <w:rPr>
          <w:rFonts w:hint="cs"/>
          <w:rtl/>
        </w:rPr>
        <w:t>הנובעת</w:t>
      </w:r>
      <w:r>
        <w:rPr>
          <w:rtl/>
        </w:rPr>
        <w:t xml:space="preserve"> </w:t>
      </w:r>
      <w:r>
        <w:rPr>
          <w:rFonts w:hint="cs"/>
          <w:rtl/>
        </w:rPr>
        <w:t xml:space="preserve">מהמלחמה. ההסלמה בתקופה </w:t>
      </w:r>
      <w:r>
        <w:rPr>
          <w:rFonts w:hint="cs"/>
          <w:rtl/>
        </w:rPr>
        <w:lastRenderedPageBreak/>
        <w:t xml:space="preserve">האחרונה, </w:t>
      </w:r>
      <w:proofErr w:type="spellStart"/>
      <w:r>
        <w:rPr>
          <w:rFonts w:hint="cs"/>
          <w:rtl/>
        </w:rPr>
        <w:t>ועימה</w:t>
      </w:r>
      <w:proofErr w:type="spellEnd"/>
      <w:r>
        <w:rPr>
          <w:rFonts w:hint="cs"/>
          <w:rtl/>
        </w:rPr>
        <w:t xml:space="preserve"> הפגיעה</w:t>
      </w:r>
      <w:r>
        <w:rPr>
          <w:rtl/>
        </w:rPr>
        <w:t xml:space="preserve"> </w:t>
      </w:r>
      <w:r>
        <w:rPr>
          <w:rFonts w:hint="cs"/>
          <w:rtl/>
        </w:rPr>
        <w:t>בקשרי</w:t>
      </w:r>
      <w:r>
        <w:rPr>
          <w:rtl/>
        </w:rPr>
        <w:t xml:space="preserve"> </w:t>
      </w:r>
      <w:r>
        <w:rPr>
          <w:rFonts w:hint="cs"/>
          <w:rtl/>
        </w:rPr>
        <w:t>החוץ</w:t>
      </w:r>
      <w:r>
        <w:rPr>
          <w:rtl/>
        </w:rPr>
        <w:t xml:space="preserve"> </w:t>
      </w:r>
      <w:r>
        <w:rPr>
          <w:rFonts w:hint="cs"/>
          <w:rtl/>
        </w:rPr>
        <w:t>של</w:t>
      </w:r>
      <w:r>
        <w:rPr>
          <w:rtl/>
        </w:rPr>
        <w:t xml:space="preserve"> </w:t>
      </w:r>
      <w:r>
        <w:rPr>
          <w:rFonts w:hint="cs"/>
          <w:rtl/>
        </w:rPr>
        <w:t>ישראל, מחריפים את אי-הוודאות</w:t>
      </w:r>
      <w:r>
        <w:rPr>
          <w:rtl/>
        </w:rPr>
        <w:t>. פרמיית הסיכון של המשק, כפי שהיא משתקפת ברמת ה</w:t>
      </w:r>
      <w:r>
        <w:rPr>
          <w:rFonts w:ascii="Cambria Math" w:hAnsi="Cambria Math" w:cs="Cambria Math" w:hint="cs"/>
          <w:rtl/>
        </w:rPr>
        <w:t>‑</w:t>
      </w:r>
      <w:r>
        <w:t>CDS</w:t>
      </w:r>
      <w:r>
        <w:rPr>
          <w:rtl/>
        </w:rPr>
        <w:t xml:space="preserve"> ובמרווחי התשואה על אג"ח </w:t>
      </w:r>
      <w:r>
        <w:rPr>
          <w:rFonts w:hint="cs"/>
          <w:rtl/>
        </w:rPr>
        <w:t xml:space="preserve">דולריות של </w:t>
      </w:r>
      <w:r>
        <w:rPr>
          <w:rtl/>
        </w:rPr>
        <w:t xml:space="preserve">ממשלת ישראל, </w:t>
      </w:r>
      <w:r>
        <w:rPr>
          <w:rFonts w:hint="cs"/>
          <w:rtl/>
        </w:rPr>
        <w:t xml:space="preserve">אמנם </w:t>
      </w:r>
      <w:r>
        <w:rPr>
          <w:rtl/>
        </w:rPr>
        <w:t xml:space="preserve">ירדה </w:t>
      </w:r>
      <w:r>
        <w:rPr>
          <w:rFonts w:hint="cs"/>
          <w:rtl/>
        </w:rPr>
        <w:t>בשיעור ניכר לאחר</w:t>
      </w:r>
      <w:r>
        <w:rPr>
          <w:rtl/>
        </w:rPr>
        <w:t xml:space="preserve"> מבצע "עם כלביא", אך </w:t>
      </w:r>
      <w:r>
        <w:rPr>
          <w:rFonts w:hint="cs"/>
          <w:rtl/>
        </w:rPr>
        <w:t xml:space="preserve">היא </w:t>
      </w:r>
      <w:r>
        <w:rPr>
          <w:rtl/>
        </w:rPr>
        <w:t xml:space="preserve">עדיין גבוהה מהרמה </w:t>
      </w:r>
      <w:r>
        <w:rPr>
          <w:rFonts w:hint="cs"/>
          <w:rtl/>
        </w:rPr>
        <w:t>ששרר</w:t>
      </w:r>
      <w:r>
        <w:rPr>
          <w:rtl/>
        </w:rPr>
        <w:t>ה ערב מלחמת "חרבות ברזל".</w:t>
      </w:r>
      <w:r>
        <w:rPr>
          <w:rFonts w:hint="cs"/>
          <w:rtl/>
        </w:rPr>
        <w:t xml:space="preserve"> </w:t>
      </w:r>
    </w:p>
    <w:p w:rsidR="0096452E" w:rsidRPr="005D0CAA" w:rsidRDefault="0096452E" w:rsidP="0096452E">
      <w:pPr>
        <w:ind w:left="8"/>
        <w:jc w:val="both"/>
        <w:rPr>
          <w:rtl/>
        </w:rPr>
      </w:pPr>
      <w:r>
        <w:rPr>
          <w:rtl/>
        </w:rPr>
        <w:t xml:space="preserve">התארכות המלחמה מעבר להערכה </w:t>
      </w:r>
      <w:r>
        <w:rPr>
          <w:rFonts w:hint="cs"/>
          <w:rtl/>
        </w:rPr>
        <w:t xml:space="preserve">בבסיס תחזית </w:t>
      </w:r>
      <w:r>
        <w:rPr>
          <w:rtl/>
        </w:rPr>
        <w:t xml:space="preserve">יולי צפויה </w:t>
      </w:r>
      <w:r>
        <w:rPr>
          <w:rFonts w:hint="cs"/>
          <w:rtl/>
        </w:rPr>
        <w:t>לעכב</w:t>
      </w:r>
      <w:r>
        <w:rPr>
          <w:rtl/>
        </w:rPr>
        <w:t xml:space="preserve"> את </w:t>
      </w:r>
      <w:r>
        <w:rPr>
          <w:rFonts w:hint="cs"/>
          <w:rtl/>
        </w:rPr>
        <w:t xml:space="preserve">דעיכת </w:t>
      </w:r>
      <w:r>
        <w:rPr>
          <w:rtl/>
        </w:rPr>
        <w:t>מגבלות ההיצע, להגדיל את הוצאות הממשלה ולהעמיק את הפגיעה בביקוש העולמי לייצוא הישראלי. עדכון תחזית היבוא כלפי מעלה משקף את העיכוב בהתאוששות ההיצע.</w:t>
      </w:r>
      <w:r>
        <w:rPr>
          <w:rFonts w:hint="cs"/>
          <w:rtl/>
        </w:rPr>
        <w:t xml:space="preserve"> במסגרת התחזית המוצגת בלוח 1 הנחנו כי</w:t>
      </w:r>
      <w:r>
        <w:rPr>
          <w:rtl/>
        </w:rPr>
        <w:t xml:space="preserve"> </w:t>
      </w:r>
      <w:r>
        <w:rPr>
          <w:rFonts w:hint="cs"/>
          <w:rtl/>
        </w:rPr>
        <w:t>מהרבעון</w:t>
      </w:r>
      <w:r>
        <w:rPr>
          <w:rtl/>
        </w:rPr>
        <w:t xml:space="preserve"> </w:t>
      </w:r>
      <w:r>
        <w:rPr>
          <w:rFonts w:hint="cs"/>
          <w:rtl/>
        </w:rPr>
        <w:t>הראשון</w:t>
      </w:r>
      <w:r>
        <w:rPr>
          <w:rtl/>
        </w:rPr>
        <w:t xml:space="preserve"> </w:t>
      </w:r>
      <w:r>
        <w:rPr>
          <w:rFonts w:hint="cs"/>
          <w:rtl/>
        </w:rPr>
        <w:t>של</w:t>
      </w:r>
      <w:r>
        <w:rPr>
          <w:rtl/>
        </w:rPr>
        <w:t xml:space="preserve"> 2026 </w:t>
      </w:r>
      <w:r>
        <w:rPr>
          <w:rFonts w:hint="cs"/>
          <w:rtl/>
        </w:rPr>
        <w:t>לא</w:t>
      </w:r>
      <w:r>
        <w:rPr>
          <w:rtl/>
        </w:rPr>
        <w:t xml:space="preserve"> </w:t>
      </w:r>
      <w:r>
        <w:rPr>
          <w:rFonts w:hint="cs"/>
          <w:rtl/>
        </w:rPr>
        <w:t>תימשך</w:t>
      </w:r>
      <w:r>
        <w:rPr>
          <w:rtl/>
        </w:rPr>
        <w:t xml:space="preserve"> </w:t>
      </w:r>
      <w:r>
        <w:rPr>
          <w:rFonts w:hint="cs"/>
          <w:rtl/>
        </w:rPr>
        <w:t>בעזה</w:t>
      </w:r>
      <w:r>
        <w:rPr>
          <w:rtl/>
        </w:rPr>
        <w:t xml:space="preserve"> </w:t>
      </w:r>
      <w:r>
        <w:rPr>
          <w:rFonts w:hint="cs"/>
          <w:rtl/>
        </w:rPr>
        <w:t>לחימה</w:t>
      </w:r>
      <w:r>
        <w:rPr>
          <w:rtl/>
        </w:rPr>
        <w:t xml:space="preserve"> </w:t>
      </w:r>
      <w:r>
        <w:rPr>
          <w:rFonts w:hint="cs"/>
          <w:rtl/>
        </w:rPr>
        <w:t>בעצימות</w:t>
      </w:r>
      <w:r>
        <w:rPr>
          <w:rtl/>
        </w:rPr>
        <w:t xml:space="preserve"> </w:t>
      </w:r>
      <w:r>
        <w:rPr>
          <w:rFonts w:hint="cs"/>
          <w:rtl/>
        </w:rPr>
        <w:t>גבוהה</w:t>
      </w:r>
      <w:r>
        <w:rPr>
          <w:rtl/>
        </w:rPr>
        <w:t xml:space="preserve">, </w:t>
      </w:r>
      <w:r>
        <w:rPr>
          <w:rFonts w:hint="cs"/>
          <w:rtl/>
        </w:rPr>
        <w:t>גיוסי</w:t>
      </w:r>
      <w:r>
        <w:rPr>
          <w:rtl/>
        </w:rPr>
        <w:t xml:space="preserve"> </w:t>
      </w:r>
      <w:r>
        <w:rPr>
          <w:rFonts w:hint="cs"/>
          <w:rtl/>
        </w:rPr>
        <w:t>המילואים</w:t>
      </w:r>
      <w:r>
        <w:rPr>
          <w:rtl/>
        </w:rPr>
        <w:t xml:space="preserve"> </w:t>
      </w:r>
      <w:r>
        <w:rPr>
          <w:rFonts w:hint="cs"/>
          <w:rtl/>
        </w:rPr>
        <w:t>יפחתו</w:t>
      </w:r>
      <w:r>
        <w:rPr>
          <w:rtl/>
        </w:rPr>
        <w:t xml:space="preserve"> ובהתאם יתמתנו </w:t>
      </w:r>
      <w:r>
        <w:rPr>
          <w:rFonts w:hint="cs"/>
          <w:rtl/>
        </w:rPr>
        <w:t>מגבלות</w:t>
      </w:r>
      <w:r>
        <w:rPr>
          <w:rtl/>
        </w:rPr>
        <w:t xml:space="preserve"> </w:t>
      </w:r>
      <w:r>
        <w:rPr>
          <w:rFonts w:hint="cs"/>
          <w:rtl/>
        </w:rPr>
        <w:t>ההיצע</w:t>
      </w:r>
      <w:r>
        <w:rPr>
          <w:rtl/>
        </w:rPr>
        <w:t>.</w:t>
      </w:r>
      <w:r>
        <w:rPr>
          <w:rFonts w:hint="cs"/>
          <w:rtl/>
        </w:rPr>
        <w:t xml:space="preserve"> בתרחיש כזה </w:t>
      </w:r>
      <w:proofErr w:type="spellStart"/>
      <w:r>
        <w:rPr>
          <w:rFonts w:hint="cs"/>
          <w:rtl/>
        </w:rPr>
        <w:t>הביקושים</w:t>
      </w:r>
      <w:proofErr w:type="spellEnd"/>
      <w:r>
        <w:rPr>
          <w:rtl/>
        </w:rPr>
        <w:t xml:space="preserve"> </w:t>
      </w:r>
      <w:r>
        <w:rPr>
          <w:rFonts w:hint="cs"/>
          <w:rtl/>
        </w:rPr>
        <w:t>צפויים</w:t>
      </w:r>
      <w:r>
        <w:rPr>
          <w:rtl/>
        </w:rPr>
        <w:t xml:space="preserve"> </w:t>
      </w:r>
      <w:r>
        <w:rPr>
          <w:rFonts w:hint="cs"/>
          <w:rtl/>
        </w:rPr>
        <w:t>להיוותר</w:t>
      </w:r>
      <w:r>
        <w:rPr>
          <w:rtl/>
        </w:rPr>
        <w:t xml:space="preserve"> יציבים, ושיעור האבטלה </w:t>
      </w:r>
      <w:r>
        <w:rPr>
          <w:rFonts w:hint="cs"/>
          <w:rtl/>
        </w:rPr>
        <w:t xml:space="preserve">צפוי לעלות מעט, </w:t>
      </w:r>
      <w:r>
        <w:rPr>
          <w:rtl/>
        </w:rPr>
        <w:t>לרמ</w:t>
      </w:r>
      <w:r>
        <w:rPr>
          <w:rFonts w:hint="cs"/>
          <w:rtl/>
        </w:rPr>
        <w:t xml:space="preserve">ה של </w:t>
      </w:r>
      <w:r>
        <w:rPr>
          <w:rtl/>
        </w:rPr>
        <w:t>3.</w:t>
      </w:r>
      <w:r>
        <w:rPr>
          <w:rFonts w:hint="cs"/>
          <w:rtl/>
        </w:rPr>
        <w:t>4</w:t>
      </w:r>
      <w:r>
        <w:rPr>
          <w:rtl/>
        </w:rPr>
        <w:t xml:space="preserve">%. ביחס לתחזית </w:t>
      </w:r>
      <w:r>
        <w:rPr>
          <w:rFonts w:hint="cs"/>
          <w:rtl/>
        </w:rPr>
        <w:t>מ</w:t>
      </w:r>
      <w:r>
        <w:rPr>
          <w:rtl/>
        </w:rPr>
        <w:t xml:space="preserve">יולי </w:t>
      </w:r>
      <w:r>
        <w:rPr>
          <w:rFonts w:hint="cs"/>
          <w:rtl/>
        </w:rPr>
        <w:t>אנו מעריכים כעת גידול בצמיחת התוצר והשימושים ב-2026</w:t>
      </w:r>
      <w:r>
        <w:rPr>
          <w:rtl/>
        </w:rPr>
        <w:t>, בין היתר עקב דחיית ההתאוששות מהמחצית השנייה של 2025 לשנת 2026.</w:t>
      </w:r>
    </w:p>
    <w:p w:rsidR="0096452E" w:rsidRDefault="0096452E" w:rsidP="0096452E">
      <w:pPr>
        <w:spacing w:after="360"/>
        <w:ind w:left="6"/>
        <w:jc w:val="both"/>
        <w:rPr>
          <w:rtl/>
        </w:rPr>
      </w:pPr>
      <w:r w:rsidRPr="00D879D0">
        <w:rPr>
          <w:b/>
          <w:bCs/>
          <w:rtl/>
        </w:rPr>
        <w:t xml:space="preserve">הגרעון בתקציב המדינה צפוי </w:t>
      </w:r>
      <w:r w:rsidRPr="007D71C7">
        <w:rPr>
          <w:b/>
          <w:bCs/>
          <w:rtl/>
        </w:rPr>
        <w:t xml:space="preserve">לעמוד על </w:t>
      </w:r>
      <w:r>
        <w:rPr>
          <w:rFonts w:hint="cs"/>
          <w:b/>
          <w:bCs/>
          <w:rtl/>
        </w:rPr>
        <w:t>5.1</w:t>
      </w:r>
      <w:r w:rsidRPr="007D71C7">
        <w:rPr>
          <w:b/>
          <w:bCs/>
          <w:rtl/>
        </w:rPr>
        <w:t xml:space="preserve"> </w:t>
      </w:r>
      <w:r w:rsidRPr="007D71C7">
        <w:rPr>
          <w:rFonts w:hint="eastAsia"/>
          <w:b/>
          <w:bCs/>
          <w:rtl/>
        </w:rPr>
        <w:t>ו</w:t>
      </w:r>
      <w:r w:rsidRPr="007D71C7">
        <w:rPr>
          <w:b/>
          <w:bCs/>
          <w:rtl/>
        </w:rPr>
        <w:t>-</w:t>
      </w:r>
      <w:r>
        <w:rPr>
          <w:rFonts w:hint="cs"/>
          <w:b/>
          <w:bCs/>
          <w:rtl/>
        </w:rPr>
        <w:t>4.3</w:t>
      </w:r>
      <w:r w:rsidRPr="007D71C7">
        <w:rPr>
          <w:b/>
          <w:bCs/>
          <w:rtl/>
        </w:rPr>
        <w:t xml:space="preserve"> </w:t>
      </w:r>
      <w:r>
        <w:rPr>
          <w:rFonts w:hint="cs"/>
          <w:b/>
          <w:bCs/>
          <w:rtl/>
        </w:rPr>
        <w:t xml:space="preserve">אחוזי </w:t>
      </w:r>
      <w:r w:rsidRPr="007D71C7">
        <w:rPr>
          <w:rFonts w:hint="eastAsia"/>
          <w:b/>
          <w:bCs/>
          <w:rtl/>
        </w:rPr>
        <w:t>תוצר</w:t>
      </w:r>
      <w:r w:rsidRPr="007D71C7">
        <w:rPr>
          <w:b/>
          <w:bCs/>
          <w:rtl/>
        </w:rPr>
        <w:t xml:space="preserve"> </w:t>
      </w:r>
      <w:r w:rsidRPr="007D71C7">
        <w:rPr>
          <w:rFonts w:hint="eastAsia"/>
          <w:b/>
          <w:bCs/>
          <w:rtl/>
        </w:rPr>
        <w:t>בשנים</w:t>
      </w:r>
      <w:r w:rsidRPr="007D71C7">
        <w:rPr>
          <w:b/>
          <w:bCs/>
          <w:rtl/>
        </w:rPr>
        <w:t xml:space="preserve"> 2025 </w:t>
      </w:r>
      <w:r w:rsidRPr="007D71C7">
        <w:rPr>
          <w:rFonts w:hint="eastAsia"/>
          <w:b/>
          <w:bCs/>
          <w:rtl/>
        </w:rPr>
        <w:t>ו</w:t>
      </w:r>
      <w:r w:rsidRPr="007D71C7">
        <w:rPr>
          <w:b/>
          <w:bCs/>
          <w:rtl/>
        </w:rPr>
        <w:t xml:space="preserve">-2026, </w:t>
      </w:r>
      <w:r w:rsidRPr="007D71C7">
        <w:rPr>
          <w:rFonts w:hint="eastAsia"/>
          <w:b/>
          <w:bCs/>
          <w:rtl/>
        </w:rPr>
        <w:t>בהתאמה</w:t>
      </w:r>
      <w:r w:rsidRPr="007D71C7">
        <w:rPr>
          <w:b/>
          <w:bCs/>
          <w:rtl/>
        </w:rPr>
        <w:t xml:space="preserve">. החוב הציבורי צפוי לעמוד על </w:t>
      </w:r>
      <w:r>
        <w:rPr>
          <w:rFonts w:hint="cs"/>
          <w:b/>
          <w:bCs/>
          <w:rtl/>
        </w:rPr>
        <w:t xml:space="preserve">71 אחוזי </w:t>
      </w:r>
      <w:r w:rsidRPr="007D71C7">
        <w:rPr>
          <w:b/>
          <w:bCs/>
          <w:rtl/>
        </w:rPr>
        <w:t>תוצר</w:t>
      </w:r>
      <w:r>
        <w:rPr>
          <w:b/>
          <w:bCs/>
          <w:rtl/>
        </w:rPr>
        <w:t xml:space="preserve"> בשנ</w:t>
      </w:r>
      <w:r>
        <w:rPr>
          <w:rFonts w:hint="cs"/>
          <w:b/>
          <w:bCs/>
          <w:rtl/>
        </w:rPr>
        <w:t>ים</w:t>
      </w:r>
      <w:r w:rsidRPr="007D71C7">
        <w:rPr>
          <w:b/>
          <w:bCs/>
          <w:rtl/>
        </w:rPr>
        <w:t xml:space="preserve"> 2025</w:t>
      </w:r>
      <w:r>
        <w:rPr>
          <w:rFonts w:hint="cs"/>
          <w:b/>
          <w:bCs/>
          <w:rtl/>
        </w:rPr>
        <w:t xml:space="preserve"> ו-</w:t>
      </w:r>
      <w:r w:rsidRPr="007D71C7">
        <w:rPr>
          <w:b/>
          <w:bCs/>
          <w:rtl/>
        </w:rPr>
        <w:t>2026</w:t>
      </w:r>
      <w:r>
        <w:rPr>
          <w:rFonts w:hint="cs"/>
          <w:b/>
          <w:bCs/>
          <w:rtl/>
        </w:rPr>
        <w:t xml:space="preserve">. </w:t>
      </w:r>
      <w:r w:rsidRPr="007D71C7">
        <w:rPr>
          <w:rtl/>
        </w:rPr>
        <w:t>תחזית זו</w:t>
      </w:r>
      <w:r w:rsidRPr="00D879D0">
        <w:rPr>
          <w:b/>
          <w:bCs/>
          <w:rtl/>
        </w:rPr>
        <w:t xml:space="preserve"> </w:t>
      </w:r>
      <w:r w:rsidRPr="00D879D0">
        <w:rPr>
          <w:rtl/>
        </w:rPr>
        <w:t>משקלל</w:t>
      </w:r>
      <w:r w:rsidRPr="00740D76">
        <w:rPr>
          <w:rtl/>
        </w:rPr>
        <w:t xml:space="preserve">ת את הגדלת מסגרת התקציב </w:t>
      </w:r>
      <w:r>
        <w:rPr>
          <w:rtl/>
        </w:rPr>
        <w:t>–</w:t>
      </w:r>
      <w:r>
        <w:rPr>
          <w:rFonts w:hint="cs"/>
          <w:rtl/>
        </w:rPr>
        <w:t xml:space="preserve"> </w:t>
      </w:r>
      <w:r w:rsidRPr="00740D76">
        <w:rPr>
          <w:rtl/>
        </w:rPr>
        <w:t>בעיקר</w:t>
      </w:r>
      <w:r>
        <w:rPr>
          <w:rFonts w:hint="cs"/>
          <w:rtl/>
        </w:rPr>
        <w:t xml:space="preserve"> עקב מבצעי "מרכבות גדעון" ו"עם כלביא" </w:t>
      </w:r>
      <w:r>
        <w:rPr>
          <w:rtl/>
        </w:rPr>
        <w:t>–</w:t>
      </w:r>
      <w:r>
        <w:rPr>
          <w:rFonts w:hint="cs"/>
          <w:rtl/>
        </w:rPr>
        <w:t xml:space="preserve"> והערכות לגבי עלות התארכות המלחמה וצ</w:t>
      </w:r>
      <w:r w:rsidRPr="00740D76">
        <w:rPr>
          <w:rtl/>
        </w:rPr>
        <w:t xml:space="preserve">רכי </w:t>
      </w:r>
      <w:r>
        <w:rPr>
          <w:rFonts w:hint="cs"/>
          <w:rtl/>
        </w:rPr>
        <w:t>ה</w:t>
      </w:r>
      <w:r w:rsidRPr="00740D76">
        <w:rPr>
          <w:rtl/>
        </w:rPr>
        <w:t>ביטחון</w:t>
      </w:r>
      <w:r>
        <w:rPr>
          <w:rFonts w:hint="cs"/>
          <w:rtl/>
        </w:rPr>
        <w:t xml:space="preserve"> המוגברים </w:t>
      </w:r>
      <w:r w:rsidRPr="00740D76">
        <w:rPr>
          <w:rFonts w:hint="cs"/>
          <w:rtl/>
        </w:rPr>
        <w:t>בשנים הקרובות</w:t>
      </w:r>
      <w:r>
        <w:rPr>
          <w:rFonts w:hint="cs"/>
          <w:rtl/>
        </w:rPr>
        <w:t xml:space="preserve">. בנוסף, התחזית לוקחת בחשבון את </w:t>
      </w:r>
      <w:r w:rsidRPr="00740D76">
        <w:rPr>
          <w:rFonts w:hint="cs"/>
          <w:rtl/>
        </w:rPr>
        <w:t>ה</w:t>
      </w:r>
      <w:r w:rsidRPr="00740D76">
        <w:rPr>
          <w:rtl/>
        </w:rPr>
        <w:t xml:space="preserve">גידול </w:t>
      </w:r>
      <w:r>
        <w:rPr>
          <w:rFonts w:hint="cs"/>
          <w:rtl/>
        </w:rPr>
        <w:t xml:space="preserve">שחל בהכנסות בחודשים האחרונים, וצפי להכנסות חריגות ממכירת חברת </w:t>
      </w:r>
      <w:r>
        <w:rPr>
          <w:rFonts w:hint="cs"/>
        </w:rPr>
        <w:t>W</w:t>
      </w:r>
      <w:r>
        <w:t>iz</w:t>
      </w:r>
      <w:r w:rsidRPr="00740D76">
        <w:rPr>
          <w:rtl/>
        </w:rPr>
        <w:t>.</w:t>
      </w:r>
      <w:r>
        <w:rPr>
          <w:rStyle w:val="af3"/>
          <w:rtl/>
        </w:rPr>
        <w:footnoteReference w:id="4"/>
      </w:r>
      <w:r w:rsidRPr="00740D76">
        <w:rPr>
          <w:rFonts w:hint="cs"/>
          <w:rtl/>
        </w:rPr>
        <w:t xml:space="preserve"> </w:t>
      </w:r>
      <w:r w:rsidRPr="00273894">
        <w:rPr>
          <w:rFonts w:hint="eastAsia"/>
          <w:rtl/>
        </w:rPr>
        <w:t>שנת</w:t>
      </w:r>
      <w:r w:rsidRPr="00273894">
        <w:rPr>
          <w:rtl/>
        </w:rPr>
        <w:t xml:space="preserve"> 2026 </w:t>
      </w:r>
      <w:r w:rsidRPr="00273894">
        <w:rPr>
          <w:rFonts w:hint="eastAsia"/>
          <w:rtl/>
        </w:rPr>
        <w:t>צפויה</w:t>
      </w:r>
      <w:r w:rsidRPr="00273894">
        <w:rPr>
          <w:rtl/>
        </w:rPr>
        <w:t xml:space="preserve"> להתחיל עם תקציב המשכי,</w:t>
      </w:r>
      <w:r>
        <w:rPr>
          <w:rFonts w:hint="cs"/>
          <w:rtl/>
        </w:rPr>
        <w:t xml:space="preserve"> </w:t>
      </w:r>
      <w:r w:rsidRPr="00273894">
        <w:rPr>
          <w:rFonts w:hint="eastAsia"/>
          <w:rtl/>
        </w:rPr>
        <w:t>אולם</w:t>
      </w:r>
      <w:r w:rsidRPr="00273894">
        <w:rPr>
          <w:rtl/>
        </w:rPr>
        <w:t xml:space="preserve"> אנו מניחים לצורך התחזית </w:t>
      </w:r>
      <w:r w:rsidRPr="00273894">
        <w:rPr>
          <w:rFonts w:hint="eastAsia"/>
          <w:rtl/>
        </w:rPr>
        <w:t>שהתקציב</w:t>
      </w:r>
      <w:r w:rsidRPr="00273894">
        <w:rPr>
          <w:rtl/>
        </w:rPr>
        <w:t xml:space="preserve"> </w:t>
      </w:r>
      <w:r w:rsidRPr="00273894">
        <w:rPr>
          <w:rFonts w:hint="eastAsia"/>
          <w:rtl/>
        </w:rPr>
        <w:t>יאושר</w:t>
      </w:r>
      <w:r w:rsidRPr="00273894">
        <w:rPr>
          <w:rtl/>
        </w:rPr>
        <w:t xml:space="preserve"> </w:t>
      </w:r>
      <w:r w:rsidRPr="00273894">
        <w:rPr>
          <w:rFonts w:hint="eastAsia"/>
          <w:rtl/>
        </w:rPr>
        <w:t>עד</w:t>
      </w:r>
      <w:r w:rsidRPr="00273894">
        <w:rPr>
          <w:rtl/>
        </w:rPr>
        <w:t xml:space="preserve"> </w:t>
      </w:r>
      <w:r w:rsidRPr="00273894">
        <w:rPr>
          <w:rFonts w:hint="eastAsia"/>
          <w:rtl/>
        </w:rPr>
        <w:t>סוף</w:t>
      </w:r>
      <w:r w:rsidRPr="00273894">
        <w:rPr>
          <w:rtl/>
        </w:rPr>
        <w:t xml:space="preserve"> </w:t>
      </w:r>
      <w:r w:rsidRPr="00273894">
        <w:rPr>
          <w:rFonts w:hint="eastAsia"/>
          <w:rtl/>
        </w:rPr>
        <w:t>הרבעון</w:t>
      </w:r>
      <w:r w:rsidRPr="00273894">
        <w:rPr>
          <w:rtl/>
        </w:rPr>
        <w:t xml:space="preserve"> </w:t>
      </w:r>
      <w:r w:rsidRPr="00273894">
        <w:rPr>
          <w:rFonts w:hint="eastAsia"/>
          <w:rtl/>
        </w:rPr>
        <w:t>הראשון</w:t>
      </w:r>
      <w:r w:rsidRPr="00273894">
        <w:rPr>
          <w:rtl/>
        </w:rPr>
        <w:t xml:space="preserve">, </w:t>
      </w:r>
      <w:r w:rsidRPr="00273894">
        <w:rPr>
          <w:rFonts w:hint="eastAsia"/>
          <w:rtl/>
        </w:rPr>
        <w:t>וזאת</w:t>
      </w:r>
      <w:r w:rsidRPr="00273894">
        <w:rPr>
          <w:rtl/>
        </w:rPr>
        <w:t xml:space="preserve"> </w:t>
      </w:r>
      <w:r w:rsidRPr="00273894">
        <w:rPr>
          <w:rFonts w:hint="eastAsia"/>
          <w:rtl/>
        </w:rPr>
        <w:t>ללא</w:t>
      </w:r>
      <w:r w:rsidRPr="00273894">
        <w:rPr>
          <w:rtl/>
        </w:rPr>
        <w:t xml:space="preserve"> </w:t>
      </w:r>
      <w:r w:rsidRPr="00273894">
        <w:rPr>
          <w:rFonts w:hint="eastAsia"/>
          <w:rtl/>
        </w:rPr>
        <w:t>התאמות</w:t>
      </w:r>
      <w:r w:rsidRPr="00273894">
        <w:rPr>
          <w:rtl/>
        </w:rPr>
        <w:t xml:space="preserve"> </w:t>
      </w:r>
      <w:r w:rsidRPr="00273894">
        <w:rPr>
          <w:rFonts w:hint="eastAsia"/>
          <w:rtl/>
        </w:rPr>
        <w:t>תקציביות</w:t>
      </w:r>
      <w:r w:rsidRPr="00273894">
        <w:rPr>
          <w:rtl/>
        </w:rPr>
        <w:t xml:space="preserve"> </w:t>
      </w:r>
      <w:r w:rsidRPr="00273894">
        <w:rPr>
          <w:rFonts w:hint="eastAsia"/>
          <w:rtl/>
        </w:rPr>
        <w:t>משמעותיות</w:t>
      </w:r>
      <w:r w:rsidRPr="00273894">
        <w:rPr>
          <w:rtl/>
        </w:rPr>
        <w:t>.</w:t>
      </w:r>
      <w:r>
        <w:rPr>
          <w:rFonts w:hint="cs"/>
          <w:rtl/>
        </w:rPr>
        <w:t xml:space="preserve"> התחזית ממחישה שללא התאמות תקציביות (העלאת מסים או צמצום הוצאות אחרות) יחס החוב לתוצר אינו צפוי לרדת ב-2026.</w:t>
      </w:r>
    </w:p>
    <w:p w:rsidR="0096452E" w:rsidRPr="005504EE" w:rsidRDefault="0096452E" w:rsidP="0096452E">
      <w:pPr>
        <w:pStyle w:val="a"/>
        <w:spacing w:line="276" w:lineRule="auto"/>
        <w:rPr>
          <w:rFonts w:ascii="Calibri" w:hAnsi="Calibri" w:cs="Calibri"/>
          <w:sz w:val="24"/>
          <w:rtl/>
        </w:rPr>
      </w:pPr>
      <w:r w:rsidRPr="005504EE">
        <w:rPr>
          <w:rFonts w:ascii="Calibri" w:hAnsi="Calibri" w:cs="Calibri"/>
          <w:sz w:val="24"/>
          <w:rtl/>
        </w:rPr>
        <w:t>האינפלציה והריבית</w:t>
      </w:r>
    </w:p>
    <w:p w:rsidR="0096452E" w:rsidRPr="0014063D" w:rsidRDefault="0096452E" w:rsidP="0096452E">
      <w:pPr>
        <w:jc w:val="both"/>
        <w:rPr>
          <w:b/>
          <w:rtl/>
        </w:rPr>
      </w:pPr>
      <w:bookmarkStart w:id="3" w:name="_Hlk202427787"/>
      <w:r w:rsidRPr="00D7789E">
        <w:rPr>
          <w:bCs/>
          <w:rtl/>
        </w:rPr>
        <w:t xml:space="preserve">שיעור האינפלציה </w:t>
      </w:r>
      <w:r w:rsidRPr="003165D2">
        <w:rPr>
          <w:bCs/>
          <w:rtl/>
        </w:rPr>
        <w:t xml:space="preserve">במהלך ארבעת הרבעונים </w:t>
      </w:r>
      <w:r w:rsidRPr="003165D2">
        <w:rPr>
          <w:rFonts w:hint="cs"/>
          <w:bCs/>
          <w:rtl/>
        </w:rPr>
        <w:t xml:space="preserve">הבאים, </w:t>
      </w:r>
      <w:r w:rsidRPr="003165D2">
        <w:rPr>
          <w:bCs/>
          <w:rtl/>
        </w:rPr>
        <w:t xml:space="preserve">המסתיימים ברבעון </w:t>
      </w:r>
      <w:r>
        <w:rPr>
          <w:rFonts w:hint="cs"/>
          <w:bCs/>
          <w:rtl/>
        </w:rPr>
        <w:t>השלישי</w:t>
      </w:r>
      <w:r w:rsidRPr="003165D2">
        <w:rPr>
          <w:bCs/>
          <w:rtl/>
        </w:rPr>
        <w:t xml:space="preserve"> של שנת 2026</w:t>
      </w:r>
      <w:r w:rsidRPr="003165D2">
        <w:rPr>
          <w:rFonts w:hint="cs"/>
          <w:bCs/>
          <w:rtl/>
        </w:rPr>
        <w:t>,</w:t>
      </w:r>
      <w:r w:rsidRPr="003165D2">
        <w:rPr>
          <w:bCs/>
          <w:rtl/>
        </w:rPr>
        <w:t xml:space="preserve"> צפוי לעמוד על </w:t>
      </w:r>
      <w:r w:rsidRPr="00F85F50">
        <w:rPr>
          <w:bCs/>
          <w:rtl/>
        </w:rPr>
        <w:t>2.</w:t>
      </w:r>
      <w:r w:rsidRPr="00F85F50">
        <w:rPr>
          <w:rFonts w:hint="cs"/>
          <w:bCs/>
          <w:rtl/>
        </w:rPr>
        <w:t>4</w:t>
      </w:r>
      <w:r w:rsidRPr="00F85F50">
        <w:rPr>
          <w:bCs/>
          <w:rtl/>
        </w:rPr>
        <w:t xml:space="preserve">% </w:t>
      </w:r>
      <w:r w:rsidRPr="00F85F50">
        <w:rPr>
          <w:b/>
          <w:rtl/>
        </w:rPr>
        <w:t>(לוח 2).</w:t>
      </w:r>
      <w:r w:rsidRPr="00F85F50">
        <w:rPr>
          <w:bCs/>
          <w:rtl/>
        </w:rPr>
        <w:t xml:space="preserve"> ב</w:t>
      </w:r>
      <w:r w:rsidRPr="00F85F50">
        <w:rPr>
          <w:rFonts w:hint="cs"/>
          <w:bCs/>
          <w:rtl/>
        </w:rPr>
        <w:t xml:space="preserve">מהלך </w:t>
      </w:r>
      <w:r w:rsidRPr="00F85F50">
        <w:rPr>
          <w:bCs/>
          <w:rtl/>
        </w:rPr>
        <w:t xml:space="preserve">שנת 2025 הוא צפוי </w:t>
      </w:r>
      <w:r w:rsidRPr="00F85F50">
        <w:rPr>
          <w:rFonts w:hint="cs"/>
          <w:bCs/>
          <w:rtl/>
        </w:rPr>
        <w:t>להסתכם ב-</w:t>
      </w:r>
      <w:r>
        <w:rPr>
          <w:rFonts w:hint="cs"/>
          <w:bCs/>
          <w:rtl/>
        </w:rPr>
        <w:t>3.0%</w:t>
      </w:r>
      <w:r w:rsidRPr="00F85F50">
        <w:rPr>
          <w:bCs/>
          <w:rtl/>
        </w:rPr>
        <w:t xml:space="preserve"> ו</w:t>
      </w:r>
      <w:r w:rsidRPr="00F85F50">
        <w:rPr>
          <w:rFonts w:hint="cs"/>
          <w:bCs/>
          <w:rtl/>
        </w:rPr>
        <w:t>ב-</w:t>
      </w:r>
      <w:r w:rsidRPr="00F85F50">
        <w:rPr>
          <w:bCs/>
          <w:rtl/>
        </w:rPr>
        <w:t xml:space="preserve">2026 </w:t>
      </w:r>
      <w:r w:rsidRPr="00F85F50">
        <w:rPr>
          <w:rFonts w:hint="cs"/>
          <w:bCs/>
          <w:rtl/>
        </w:rPr>
        <w:t>ב-</w:t>
      </w:r>
      <w:r w:rsidRPr="00F85F50">
        <w:rPr>
          <w:bCs/>
          <w:rtl/>
        </w:rPr>
        <w:t>2.</w:t>
      </w:r>
      <w:r w:rsidRPr="00F85F50">
        <w:rPr>
          <w:rFonts w:hint="cs"/>
          <w:bCs/>
          <w:rtl/>
        </w:rPr>
        <w:t>2</w:t>
      </w:r>
      <w:r w:rsidRPr="00F85F50">
        <w:rPr>
          <w:bCs/>
          <w:rtl/>
        </w:rPr>
        <w:t xml:space="preserve">% </w:t>
      </w:r>
      <w:r w:rsidRPr="00F85F50">
        <w:rPr>
          <w:b/>
          <w:rtl/>
        </w:rPr>
        <w:t>(לוח</w:t>
      </w:r>
      <w:r w:rsidRPr="003165D2">
        <w:rPr>
          <w:b/>
          <w:rtl/>
        </w:rPr>
        <w:t xml:space="preserve"> 1).</w:t>
      </w:r>
      <w:r>
        <w:rPr>
          <w:rtl/>
        </w:rPr>
        <w:t xml:space="preserve"> המדדים שפורסמו מאז פרסום תחזית יולי </w:t>
      </w:r>
      <w:r>
        <w:rPr>
          <w:rFonts w:hint="cs"/>
          <w:rtl/>
        </w:rPr>
        <w:t>תורמים</w:t>
      </w:r>
      <w:r>
        <w:rPr>
          <w:rtl/>
        </w:rPr>
        <w:t xml:space="preserve"> להעלאה קלה בתוואי האינפלציה ברבעונים הקרובים. מנגד, נרשם ייסוף מתון בשקל</w:t>
      </w:r>
      <w:r>
        <w:rPr>
          <w:rFonts w:hint="cs"/>
          <w:rtl/>
        </w:rPr>
        <w:t>,</w:t>
      </w:r>
      <w:r>
        <w:rPr>
          <w:rtl/>
        </w:rPr>
        <w:t xml:space="preserve"> מחירי הנפט נותרו יציבים, ותחזית קרן המטבע לאינפלציה במדינות המפותחות לא השתנתה. הימשכות המלחמה </w:t>
      </w:r>
      <w:r>
        <w:rPr>
          <w:rFonts w:hint="cs"/>
          <w:rtl/>
        </w:rPr>
        <w:t>מעכבת</w:t>
      </w:r>
      <w:r>
        <w:rPr>
          <w:rtl/>
        </w:rPr>
        <w:t xml:space="preserve"> את </w:t>
      </w:r>
      <w:r>
        <w:rPr>
          <w:rFonts w:hint="cs"/>
          <w:rtl/>
        </w:rPr>
        <w:t>דעיכת</w:t>
      </w:r>
      <w:r>
        <w:rPr>
          <w:rtl/>
        </w:rPr>
        <w:t xml:space="preserve"> מגבלות ההיצע, </w:t>
      </w:r>
      <w:r>
        <w:rPr>
          <w:rFonts w:hint="cs"/>
          <w:rtl/>
        </w:rPr>
        <w:t>ולכן מתבטאת בעדכון</w:t>
      </w:r>
      <w:r>
        <w:rPr>
          <w:rtl/>
        </w:rPr>
        <w:t xml:space="preserve"> תחזית האינפלציה כלפי מעלה. עם הפסקת הלחימה וצמצום היקף גיוסי המילואים, הצפויים </w:t>
      </w:r>
      <w:r>
        <w:rPr>
          <w:rFonts w:hint="cs"/>
          <w:rtl/>
        </w:rPr>
        <w:t xml:space="preserve">בתרחיש זה </w:t>
      </w:r>
      <w:r>
        <w:rPr>
          <w:rtl/>
        </w:rPr>
        <w:t xml:space="preserve">ברבעון הראשון של 2026, </w:t>
      </w:r>
      <w:r>
        <w:rPr>
          <w:rFonts w:hint="cs"/>
          <w:rtl/>
        </w:rPr>
        <w:t>צפויה</w:t>
      </w:r>
      <w:r>
        <w:rPr>
          <w:rtl/>
        </w:rPr>
        <w:t xml:space="preserve"> הקלה במגבלות ההיצע בשוק העבודה, בשילוב עם </w:t>
      </w:r>
      <w:r>
        <w:rPr>
          <w:rFonts w:hint="cs"/>
          <w:rtl/>
        </w:rPr>
        <w:t>צמצום ה</w:t>
      </w:r>
      <w:r>
        <w:rPr>
          <w:rtl/>
        </w:rPr>
        <w:t xml:space="preserve">צריכה הציבורית – התפתחויות שצפויות להביא </w:t>
      </w:r>
      <w:r>
        <w:rPr>
          <w:rFonts w:hint="cs"/>
          <w:rtl/>
        </w:rPr>
        <w:t>להתמתנות</w:t>
      </w:r>
      <w:r>
        <w:rPr>
          <w:rtl/>
        </w:rPr>
        <w:t xml:space="preserve"> האינפלציה</w:t>
      </w:r>
      <w:r>
        <w:t>.</w:t>
      </w:r>
    </w:p>
    <w:p w:rsidR="0096452E" w:rsidRDefault="0096452E" w:rsidP="0096452E">
      <w:pPr>
        <w:jc w:val="both"/>
        <w:rPr>
          <w:b/>
          <w:rtl/>
        </w:rPr>
      </w:pPr>
      <w:r w:rsidRPr="00202530">
        <w:rPr>
          <w:bCs/>
          <w:rtl/>
        </w:rPr>
        <w:t xml:space="preserve">ריבית </w:t>
      </w:r>
      <w:r>
        <w:rPr>
          <w:rFonts w:hint="cs"/>
          <w:bCs/>
          <w:rtl/>
        </w:rPr>
        <w:t xml:space="preserve">בנק ישראל </w:t>
      </w:r>
      <w:r w:rsidRPr="00202530">
        <w:rPr>
          <w:bCs/>
          <w:rtl/>
        </w:rPr>
        <w:t xml:space="preserve">צפויה לעמוד </w:t>
      </w:r>
      <w:r w:rsidRPr="000A4A06">
        <w:rPr>
          <w:bCs/>
          <w:rtl/>
        </w:rPr>
        <w:t xml:space="preserve">על </w:t>
      </w:r>
      <w:r>
        <w:rPr>
          <w:rFonts w:hint="cs"/>
          <w:bCs/>
          <w:rtl/>
        </w:rPr>
        <w:t>3</w:t>
      </w:r>
      <w:r w:rsidRPr="000A4A06">
        <w:rPr>
          <w:bCs/>
          <w:rtl/>
        </w:rPr>
        <w:t>.</w:t>
      </w:r>
      <w:r>
        <w:rPr>
          <w:rFonts w:hint="cs"/>
          <w:bCs/>
          <w:rtl/>
        </w:rPr>
        <w:t>75</w:t>
      </w:r>
      <w:r w:rsidRPr="000A4A06">
        <w:rPr>
          <w:bCs/>
          <w:rtl/>
        </w:rPr>
        <w:t>% בממוצע</w:t>
      </w:r>
      <w:r w:rsidRPr="00202530">
        <w:rPr>
          <w:bCs/>
          <w:rtl/>
        </w:rPr>
        <w:t xml:space="preserve"> ברבעון </w:t>
      </w:r>
      <w:r>
        <w:rPr>
          <w:rFonts w:hint="cs"/>
          <w:bCs/>
          <w:rtl/>
        </w:rPr>
        <w:t>השלישי</w:t>
      </w:r>
      <w:r w:rsidRPr="00202530">
        <w:rPr>
          <w:bCs/>
          <w:rtl/>
        </w:rPr>
        <w:t xml:space="preserve"> של 20</w:t>
      </w:r>
      <w:r>
        <w:rPr>
          <w:rFonts w:hint="cs"/>
          <w:bCs/>
          <w:rtl/>
        </w:rPr>
        <w:t>26</w:t>
      </w:r>
      <w:r w:rsidRPr="00202530">
        <w:rPr>
          <w:b/>
          <w:rtl/>
        </w:rPr>
        <w:t xml:space="preserve"> (לוח 2). </w:t>
      </w:r>
      <w:r w:rsidRPr="00D7789E">
        <w:rPr>
          <w:b/>
          <w:rtl/>
        </w:rPr>
        <w:t xml:space="preserve">תחזית זו מגלמת </w:t>
      </w:r>
      <w:r>
        <w:rPr>
          <w:rFonts w:hint="cs"/>
          <w:b/>
          <w:rtl/>
        </w:rPr>
        <w:t>ירידה</w:t>
      </w:r>
      <w:r w:rsidRPr="00D7789E">
        <w:rPr>
          <w:b/>
          <w:rtl/>
        </w:rPr>
        <w:t xml:space="preserve"> הדרגתית של הריבית מרמתה הנוכחית</w:t>
      </w:r>
      <w:r>
        <w:rPr>
          <w:rFonts w:hint="cs"/>
          <w:b/>
          <w:rtl/>
        </w:rPr>
        <w:t xml:space="preserve">, בהתאם לקצב </w:t>
      </w:r>
      <w:r w:rsidRPr="00D7789E">
        <w:rPr>
          <w:b/>
          <w:rtl/>
        </w:rPr>
        <w:t>התכנסות האינפלציה ל</w:t>
      </w:r>
      <w:r>
        <w:rPr>
          <w:rFonts w:hint="cs"/>
          <w:b/>
          <w:rtl/>
        </w:rPr>
        <w:t>מרכז ה</w:t>
      </w:r>
      <w:r w:rsidRPr="00D7789E">
        <w:rPr>
          <w:b/>
          <w:rtl/>
        </w:rPr>
        <w:t>יעד</w:t>
      </w:r>
      <w:r>
        <w:rPr>
          <w:rFonts w:hint="cs"/>
          <w:b/>
          <w:rtl/>
        </w:rPr>
        <w:t xml:space="preserve"> על פי התרחיש בבסיס התחזית</w:t>
      </w:r>
      <w:r w:rsidRPr="00D7789E">
        <w:rPr>
          <w:b/>
          <w:rtl/>
        </w:rPr>
        <w:t>.</w:t>
      </w:r>
    </w:p>
    <w:bookmarkEnd w:id="3"/>
    <w:p w:rsidR="0096452E" w:rsidRDefault="0096452E" w:rsidP="0096452E">
      <w:pPr>
        <w:jc w:val="both"/>
        <w:rPr>
          <w:b/>
          <w:rtl/>
        </w:rPr>
      </w:pPr>
      <w:r w:rsidRPr="00D7789E">
        <w:rPr>
          <w:b/>
          <w:rtl/>
        </w:rPr>
        <w:t xml:space="preserve">מלוח 2 עולה כי תחזית החטיבה לאינפלציה במהלך ארבעת הרביעים הקרובים </w:t>
      </w:r>
      <w:r>
        <w:rPr>
          <w:rFonts w:hint="cs"/>
          <w:b/>
          <w:rtl/>
        </w:rPr>
        <w:t>גבוהה</w:t>
      </w:r>
      <w:r w:rsidRPr="00D7789E">
        <w:rPr>
          <w:b/>
          <w:rtl/>
        </w:rPr>
        <w:t xml:space="preserve"> </w:t>
      </w:r>
      <w:r w:rsidRPr="00884F41">
        <w:rPr>
          <w:rFonts w:hint="cs"/>
          <w:b/>
          <w:rtl/>
        </w:rPr>
        <w:t>מ</w:t>
      </w:r>
      <w:r w:rsidRPr="00884F41">
        <w:rPr>
          <w:b/>
          <w:rtl/>
        </w:rPr>
        <w:t xml:space="preserve">ממוצע תחזיות החזאים הפרטיים ומהתחזית הנגזרת משוק ההון. תחזית החטיבה לריבית בעוד ארבעה רביעים </w:t>
      </w:r>
      <w:r>
        <w:rPr>
          <w:rFonts w:hint="cs"/>
          <w:b/>
          <w:rtl/>
        </w:rPr>
        <w:t>דומה</w:t>
      </w:r>
      <w:r w:rsidRPr="00884F41">
        <w:rPr>
          <w:rFonts w:hint="cs"/>
          <w:b/>
          <w:rtl/>
        </w:rPr>
        <w:t xml:space="preserve"> </w:t>
      </w:r>
      <w:r>
        <w:rPr>
          <w:rFonts w:hint="cs"/>
          <w:b/>
          <w:rtl/>
        </w:rPr>
        <w:t>ל</w:t>
      </w:r>
      <w:r w:rsidRPr="00884F41">
        <w:rPr>
          <w:b/>
          <w:rtl/>
        </w:rPr>
        <w:t>ציפיות הנגזרות</w:t>
      </w:r>
      <w:r w:rsidRPr="00D7789E">
        <w:rPr>
          <w:b/>
          <w:rtl/>
        </w:rPr>
        <w:t xml:space="preserve"> משוק ההון </w:t>
      </w:r>
      <w:r>
        <w:rPr>
          <w:rFonts w:hint="cs"/>
          <w:b/>
          <w:rtl/>
        </w:rPr>
        <w:t>ומ</w:t>
      </w:r>
      <w:r w:rsidRPr="00D7789E">
        <w:rPr>
          <w:b/>
          <w:rtl/>
        </w:rPr>
        <w:t>ממוצע תחזיות החזאים.</w:t>
      </w:r>
    </w:p>
    <w:p w:rsidR="0096452E" w:rsidRDefault="0096452E" w:rsidP="0096452E">
      <w:pPr>
        <w:jc w:val="both"/>
        <w:rPr>
          <w:b/>
          <w:rtl/>
        </w:rPr>
      </w:pPr>
    </w:p>
    <w:p w:rsidR="0096452E" w:rsidRDefault="0096452E" w:rsidP="0096452E">
      <w:pPr>
        <w:jc w:val="both"/>
        <w:rPr>
          <w:b/>
          <w:rtl/>
        </w:rPr>
      </w:pPr>
    </w:p>
    <w:tbl>
      <w:tblPr>
        <w:bidiVisual/>
        <w:tblW w:w="5000" w:type="pct"/>
        <w:jc w:val="center"/>
        <w:tblLook w:val="04A0" w:firstRow="1" w:lastRow="0" w:firstColumn="1" w:lastColumn="0" w:noHBand="0" w:noVBand="1"/>
      </w:tblPr>
      <w:tblGrid>
        <w:gridCol w:w="2879"/>
        <w:gridCol w:w="2370"/>
        <w:gridCol w:w="2370"/>
        <w:gridCol w:w="2127"/>
      </w:tblGrid>
      <w:tr w:rsidR="0096452E" w:rsidRPr="00582BD2" w:rsidTr="002867DC">
        <w:trPr>
          <w:trHeight w:val="280"/>
          <w:jc w:val="center"/>
        </w:trPr>
        <w:tc>
          <w:tcPr>
            <w:tcW w:w="5000" w:type="pct"/>
            <w:gridSpan w:val="4"/>
            <w:tcBorders>
              <w:top w:val="nil"/>
              <w:left w:val="nil"/>
              <w:bottom w:val="nil"/>
              <w:right w:val="nil"/>
            </w:tcBorders>
            <w:shd w:val="clear" w:color="auto" w:fill="auto"/>
            <w:noWrap/>
            <w:vAlign w:val="bottom"/>
            <w:hideMark/>
          </w:tcPr>
          <w:p w:rsidR="0096452E" w:rsidRPr="00582BD2" w:rsidRDefault="0096452E" w:rsidP="0096452E">
            <w:pPr>
              <w:spacing w:after="0"/>
              <w:jc w:val="center"/>
              <w:rPr>
                <w:rFonts w:eastAsia="Times New Roman"/>
                <w:b/>
                <w:bCs/>
                <w:color w:val="000000"/>
                <w:sz w:val="28"/>
                <w:szCs w:val="28"/>
              </w:rPr>
            </w:pPr>
            <w:bookmarkStart w:id="4" w:name="_Hlk202427821"/>
            <w:r w:rsidRPr="00C94167">
              <w:rPr>
                <w:rFonts w:eastAsia="Times New Roman"/>
                <w:b/>
                <w:bCs/>
                <w:color w:val="000000"/>
                <w:sz w:val="24"/>
                <w:szCs w:val="24"/>
                <w:rtl/>
              </w:rPr>
              <w:lastRenderedPageBreak/>
              <w:t>לוח 2 | התחזיות לגבי האינפלציה במהלך הש</w:t>
            </w:r>
            <w:r>
              <w:rPr>
                <w:rFonts w:eastAsia="Times New Roman"/>
                <w:b/>
                <w:bCs/>
                <w:color w:val="000000"/>
                <w:sz w:val="24"/>
                <w:szCs w:val="24"/>
                <w:rtl/>
              </w:rPr>
              <w:t>נה הקרובה ולגבי הריבית בעוד שנה</w:t>
            </w:r>
          </w:p>
        </w:tc>
      </w:tr>
      <w:tr w:rsidR="0096452E" w:rsidRPr="00582BD2" w:rsidTr="002867DC">
        <w:trPr>
          <w:trHeight w:val="315"/>
          <w:jc w:val="center"/>
        </w:trPr>
        <w:tc>
          <w:tcPr>
            <w:tcW w:w="5000" w:type="pct"/>
            <w:gridSpan w:val="4"/>
            <w:tcBorders>
              <w:top w:val="nil"/>
              <w:left w:val="nil"/>
              <w:bottom w:val="single" w:sz="4" w:space="0" w:color="1F497D"/>
              <w:right w:val="nil"/>
            </w:tcBorders>
            <w:shd w:val="clear" w:color="auto" w:fill="auto"/>
            <w:noWrap/>
            <w:vAlign w:val="bottom"/>
            <w:hideMark/>
          </w:tcPr>
          <w:p w:rsidR="0096452E" w:rsidRPr="00582BD2" w:rsidRDefault="0096452E" w:rsidP="0096452E">
            <w:pPr>
              <w:spacing w:after="0"/>
              <w:jc w:val="center"/>
              <w:rPr>
                <w:rFonts w:eastAsia="Times New Roman"/>
                <w:color w:val="000000"/>
                <w:sz w:val="24"/>
                <w:szCs w:val="24"/>
                <w:rtl/>
              </w:rPr>
            </w:pPr>
            <w:r w:rsidRPr="00C94167">
              <w:rPr>
                <w:rFonts w:eastAsia="Times New Roman"/>
                <w:color w:val="000000"/>
                <w:rtl/>
              </w:rPr>
              <w:t>(אחוזים)</w:t>
            </w:r>
          </w:p>
        </w:tc>
      </w:tr>
      <w:tr w:rsidR="0096452E" w:rsidRPr="00582BD2" w:rsidTr="002867DC">
        <w:trPr>
          <w:trHeight w:val="660"/>
          <w:jc w:val="center"/>
        </w:trPr>
        <w:tc>
          <w:tcPr>
            <w:tcW w:w="1483" w:type="pct"/>
            <w:tcBorders>
              <w:top w:val="nil"/>
              <w:left w:val="nil"/>
              <w:bottom w:val="single" w:sz="4" w:space="0" w:color="1F497D"/>
              <w:right w:val="nil"/>
            </w:tcBorders>
            <w:shd w:val="clear" w:color="auto" w:fill="auto"/>
            <w:noWrap/>
            <w:vAlign w:val="bottom"/>
            <w:hideMark/>
          </w:tcPr>
          <w:p w:rsidR="0096452E" w:rsidRPr="00582BD2" w:rsidRDefault="0096452E" w:rsidP="0096452E">
            <w:pPr>
              <w:bidi w:val="0"/>
              <w:spacing w:after="0"/>
              <w:rPr>
                <w:rFonts w:eastAsia="Times New Roman"/>
                <w:color w:val="000000"/>
              </w:rPr>
            </w:pPr>
            <w:r w:rsidRPr="00582BD2">
              <w:rPr>
                <w:rFonts w:eastAsia="Times New Roman"/>
                <w:color w:val="000000"/>
              </w:rPr>
              <w:t> </w:t>
            </w:r>
          </w:p>
        </w:tc>
        <w:tc>
          <w:tcPr>
            <w:tcW w:w="1215" w:type="pct"/>
            <w:tcBorders>
              <w:top w:val="nil"/>
              <w:left w:val="nil"/>
              <w:bottom w:val="nil"/>
              <w:right w:val="nil"/>
            </w:tcBorders>
            <w:shd w:val="clear" w:color="auto" w:fill="auto"/>
            <w:vAlign w:val="center"/>
            <w:hideMark/>
          </w:tcPr>
          <w:p w:rsidR="0096452E" w:rsidRPr="00582BD2" w:rsidRDefault="0096452E" w:rsidP="0096452E">
            <w:pPr>
              <w:spacing w:after="0"/>
              <w:rPr>
                <w:rFonts w:eastAsia="Times New Roman"/>
                <w:color w:val="1F497D"/>
              </w:rPr>
            </w:pPr>
            <w:r w:rsidRPr="00582BD2">
              <w:rPr>
                <w:rFonts w:eastAsia="Times New Roman"/>
                <w:color w:val="1F497D"/>
                <w:rtl/>
              </w:rPr>
              <w:t>חטיבת המחקר של בנק ישראל</w:t>
            </w:r>
            <w:r w:rsidRPr="00582BD2">
              <w:rPr>
                <w:rFonts w:eastAsia="Times New Roman"/>
                <w:color w:val="1F497D"/>
                <w:vertAlign w:val="superscript"/>
                <w:rtl/>
              </w:rPr>
              <w:t>1</w:t>
            </w:r>
          </w:p>
        </w:tc>
        <w:tc>
          <w:tcPr>
            <w:tcW w:w="1215" w:type="pct"/>
            <w:tcBorders>
              <w:top w:val="nil"/>
              <w:left w:val="nil"/>
              <w:bottom w:val="single" w:sz="4" w:space="0" w:color="1F497D"/>
              <w:right w:val="nil"/>
            </w:tcBorders>
            <w:shd w:val="clear" w:color="auto" w:fill="auto"/>
            <w:vAlign w:val="center"/>
            <w:hideMark/>
          </w:tcPr>
          <w:p w:rsidR="0096452E" w:rsidRPr="00582BD2" w:rsidRDefault="0096452E" w:rsidP="0096452E">
            <w:pPr>
              <w:spacing w:after="0"/>
              <w:rPr>
                <w:rFonts w:eastAsia="Times New Roman"/>
                <w:color w:val="1F497D"/>
                <w:rtl/>
              </w:rPr>
            </w:pPr>
            <w:r w:rsidRPr="00582BD2">
              <w:rPr>
                <w:rFonts w:eastAsia="Times New Roman"/>
                <w:color w:val="1F497D"/>
                <w:rtl/>
              </w:rPr>
              <w:t>שוק ההון</w:t>
            </w:r>
            <w:r>
              <w:rPr>
                <w:rFonts w:eastAsia="Times New Roman" w:hint="cs"/>
                <w:color w:val="1F497D"/>
                <w:vertAlign w:val="superscript"/>
                <w:rtl/>
              </w:rPr>
              <w:t>2</w:t>
            </w:r>
          </w:p>
        </w:tc>
        <w:tc>
          <w:tcPr>
            <w:tcW w:w="1087" w:type="pct"/>
            <w:tcBorders>
              <w:top w:val="nil"/>
              <w:left w:val="nil"/>
              <w:bottom w:val="single" w:sz="4" w:space="0" w:color="1F497D"/>
              <w:right w:val="nil"/>
            </w:tcBorders>
            <w:shd w:val="clear" w:color="auto" w:fill="auto"/>
            <w:vAlign w:val="center"/>
            <w:hideMark/>
          </w:tcPr>
          <w:p w:rsidR="0096452E" w:rsidRPr="00582BD2" w:rsidRDefault="0096452E" w:rsidP="0096452E">
            <w:pPr>
              <w:spacing w:after="0"/>
              <w:rPr>
                <w:rFonts w:eastAsia="Times New Roman"/>
                <w:color w:val="1F497D"/>
                <w:rtl/>
              </w:rPr>
            </w:pPr>
            <w:r w:rsidRPr="00582BD2">
              <w:rPr>
                <w:rFonts w:eastAsia="Times New Roman"/>
                <w:color w:val="1F497D"/>
                <w:rtl/>
              </w:rPr>
              <w:t>החזאים הפרטיים</w:t>
            </w:r>
            <w:r>
              <w:rPr>
                <w:rFonts w:eastAsia="Times New Roman" w:hint="cs"/>
                <w:color w:val="1F497D"/>
                <w:vertAlign w:val="superscript"/>
                <w:rtl/>
              </w:rPr>
              <w:t>3</w:t>
            </w:r>
            <w:r w:rsidRPr="00582BD2">
              <w:rPr>
                <w:rFonts w:eastAsia="Times New Roman"/>
                <w:color w:val="1F497D"/>
                <w:rtl/>
              </w:rPr>
              <w:br/>
              <w:t>(טווח התחזיות)</w:t>
            </w:r>
          </w:p>
        </w:tc>
      </w:tr>
      <w:tr w:rsidR="0096452E" w:rsidRPr="00582BD2" w:rsidTr="002867DC">
        <w:trPr>
          <w:trHeight w:val="300"/>
          <w:jc w:val="center"/>
        </w:trPr>
        <w:tc>
          <w:tcPr>
            <w:tcW w:w="1483" w:type="pct"/>
            <w:tcBorders>
              <w:top w:val="nil"/>
              <w:left w:val="nil"/>
              <w:bottom w:val="nil"/>
              <w:right w:val="nil"/>
            </w:tcBorders>
            <w:shd w:val="clear" w:color="auto" w:fill="auto"/>
            <w:vAlign w:val="center"/>
            <w:hideMark/>
          </w:tcPr>
          <w:p w:rsidR="0096452E" w:rsidRPr="00582BD2" w:rsidRDefault="0096452E" w:rsidP="0096452E">
            <w:pPr>
              <w:spacing w:after="0"/>
              <w:rPr>
                <w:rFonts w:eastAsia="Times New Roman"/>
                <w:rtl/>
              </w:rPr>
            </w:pPr>
            <w:r w:rsidRPr="00582BD2">
              <w:rPr>
                <w:rFonts w:eastAsia="Times New Roman"/>
                <w:rtl/>
              </w:rPr>
              <w:t>האינפלציה</w:t>
            </w:r>
          </w:p>
        </w:tc>
        <w:tc>
          <w:tcPr>
            <w:tcW w:w="1215" w:type="pct"/>
            <w:tcBorders>
              <w:top w:val="single" w:sz="4" w:space="0" w:color="1F497D"/>
              <w:left w:val="nil"/>
              <w:bottom w:val="nil"/>
              <w:right w:val="nil"/>
            </w:tcBorders>
            <w:shd w:val="clear" w:color="auto" w:fill="auto"/>
            <w:noWrap/>
            <w:vAlign w:val="bottom"/>
            <w:hideMark/>
          </w:tcPr>
          <w:p w:rsidR="0096452E" w:rsidRPr="00582BD2" w:rsidRDefault="0096452E" w:rsidP="0096452E">
            <w:pPr>
              <w:spacing w:after="0"/>
              <w:rPr>
                <w:rFonts w:eastAsia="Times New Roman"/>
                <w:color w:val="000000"/>
                <w:rtl/>
              </w:rPr>
            </w:pPr>
            <w:r w:rsidRPr="00582BD2">
              <w:rPr>
                <w:rFonts w:eastAsia="Times New Roman" w:hint="cs"/>
                <w:color w:val="000000"/>
                <w:rtl/>
              </w:rPr>
              <w:t>2.</w:t>
            </w:r>
            <w:r>
              <w:rPr>
                <w:rFonts w:eastAsia="Times New Roman" w:hint="cs"/>
                <w:color w:val="000000"/>
                <w:rtl/>
              </w:rPr>
              <w:t>4</w:t>
            </w:r>
          </w:p>
        </w:tc>
        <w:tc>
          <w:tcPr>
            <w:tcW w:w="1215" w:type="pct"/>
            <w:tcBorders>
              <w:top w:val="nil"/>
              <w:left w:val="nil"/>
              <w:bottom w:val="nil"/>
              <w:right w:val="nil"/>
            </w:tcBorders>
            <w:shd w:val="clear" w:color="auto" w:fill="auto"/>
            <w:noWrap/>
            <w:vAlign w:val="bottom"/>
            <w:hideMark/>
          </w:tcPr>
          <w:p w:rsidR="0096452E" w:rsidRPr="00F12741" w:rsidRDefault="0096452E" w:rsidP="0096452E">
            <w:pPr>
              <w:spacing w:after="0"/>
              <w:rPr>
                <w:rFonts w:eastAsia="Times New Roman"/>
                <w:color w:val="000000" w:themeColor="text1"/>
                <w:rtl/>
              </w:rPr>
            </w:pPr>
            <w:r>
              <w:rPr>
                <w:rFonts w:eastAsia="Times New Roman"/>
                <w:color w:val="000000" w:themeColor="text1"/>
              </w:rPr>
              <w:t>2.1</w:t>
            </w:r>
          </w:p>
        </w:tc>
        <w:tc>
          <w:tcPr>
            <w:tcW w:w="1087" w:type="pct"/>
            <w:tcBorders>
              <w:top w:val="nil"/>
              <w:left w:val="nil"/>
              <w:bottom w:val="nil"/>
              <w:right w:val="nil"/>
            </w:tcBorders>
            <w:shd w:val="clear" w:color="auto" w:fill="auto"/>
            <w:noWrap/>
            <w:vAlign w:val="bottom"/>
            <w:hideMark/>
          </w:tcPr>
          <w:p w:rsidR="0096452E" w:rsidRPr="00F12741" w:rsidRDefault="0096452E" w:rsidP="0096452E">
            <w:pPr>
              <w:spacing w:after="0"/>
              <w:rPr>
                <w:rFonts w:eastAsia="Times New Roman"/>
                <w:color w:val="000000" w:themeColor="text1"/>
                <w:rtl/>
              </w:rPr>
            </w:pPr>
            <w:r w:rsidRPr="00F12741">
              <w:rPr>
                <w:rFonts w:eastAsia="Times New Roman" w:hint="cs"/>
                <w:color w:val="000000" w:themeColor="text1"/>
                <w:rtl/>
              </w:rPr>
              <w:t>2.2 (</w:t>
            </w:r>
            <w:r w:rsidRPr="00F12741">
              <w:rPr>
                <w:rFonts w:eastAsia="Times New Roman"/>
                <w:color w:val="000000" w:themeColor="text1"/>
              </w:rPr>
              <w:t>1.9</w:t>
            </w:r>
            <w:r w:rsidRPr="00F12741">
              <w:rPr>
                <w:rFonts w:eastAsia="Times New Roman" w:hint="cs"/>
                <w:color w:val="000000" w:themeColor="text1"/>
                <w:rtl/>
              </w:rPr>
              <w:t>—2.8)</w:t>
            </w:r>
          </w:p>
        </w:tc>
      </w:tr>
      <w:tr w:rsidR="0096452E" w:rsidRPr="00582BD2" w:rsidTr="002867DC">
        <w:trPr>
          <w:trHeight w:val="300"/>
          <w:jc w:val="center"/>
        </w:trPr>
        <w:tc>
          <w:tcPr>
            <w:tcW w:w="1483" w:type="pct"/>
            <w:tcBorders>
              <w:top w:val="nil"/>
              <w:left w:val="nil"/>
              <w:bottom w:val="single" w:sz="4" w:space="0" w:color="1F497D"/>
              <w:right w:val="nil"/>
            </w:tcBorders>
            <w:shd w:val="clear" w:color="auto" w:fill="auto"/>
            <w:vAlign w:val="center"/>
            <w:hideMark/>
          </w:tcPr>
          <w:p w:rsidR="0096452E" w:rsidRPr="00582BD2" w:rsidRDefault="0096452E" w:rsidP="0096452E">
            <w:pPr>
              <w:spacing w:after="0"/>
              <w:rPr>
                <w:rFonts w:eastAsia="Times New Roman"/>
                <w:color w:val="000000"/>
                <w:rtl/>
              </w:rPr>
            </w:pPr>
            <w:r w:rsidRPr="00582BD2">
              <w:rPr>
                <w:rFonts w:eastAsia="Times New Roman"/>
                <w:color w:val="000000"/>
                <w:rtl/>
              </w:rPr>
              <w:t>ריבית בנק ישראל</w:t>
            </w:r>
          </w:p>
        </w:tc>
        <w:tc>
          <w:tcPr>
            <w:tcW w:w="1215" w:type="pct"/>
            <w:tcBorders>
              <w:top w:val="nil"/>
              <w:left w:val="nil"/>
              <w:bottom w:val="single" w:sz="4" w:space="0" w:color="1F497D"/>
              <w:right w:val="nil"/>
            </w:tcBorders>
            <w:shd w:val="clear" w:color="auto" w:fill="auto"/>
            <w:noWrap/>
            <w:vAlign w:val="bottom"/>
            <w:hideMark/>
          </w:tcPr>
          <w:p w:rsidR="0096452E" w:rsidRPr="00582BD2" w:rsidRDefault="0096452E" w:rsidP="0096452E">
            <w:pPr>
              <w:spacing w:after="0"/>
              <w:rPr>
                <w:rFonts w:eastAsia="Times New Roman"/>
                <w:color w:val="000000"/>
              </w:rPr>
            </w:pPr>
            <w:r>
              <w:rPr>
                <w:rFonts w:eastAsia="Times New Roman" w:hint="cs"/>
                <w:color w:val="000000"/>
                <w:rtl/>
              </w:rPr>
              <w:t>3</w:t>
            </w:r>
            <w:r w:rsidRPr="00582BD2">
              <w:rPr>
                <w:rFonts w:eastAsia="Times New Roman" w:hint="cs"/>
                <w:color w:val="000000"/>
                <w:rtl/>
              </w:rPr>
              <w:t>.</w:t>
            </w:r>
            <w:r>
              <w:rPr>
                <w:rFonts w:eastAsia="Times New Roman" w:hint="cs"/>
                <w:color w:val="000000"/>
                <w:rtl/>
              </w:rPr>
              <w:t>75</w:t>
            </w:r>
          </w:p>
        </w:tc>
        <w:tc>
          <w:tcPr>
            <w:tcW w:w="1215" w:type="pct"/>
            <w:tcBorders>
              <w:top w:val="nil"/>
              <w:left w:val="nil"/>
              <w:bottom w:val="single" w:sz="4" w:space="0" w:color="1F497D"/>
              <w:right w:val="nil"/>
            </w:tcBorders>
            <w:shd w:val="clear" w:color="auto" w:fill="auto"/>
            <w:noWrap/>
            <w:vAlign w:val="bottom"/>
            <w:hideMark/>
          </w:tcPr>
          <w:p w:rsidR="0096452E" w:rsidRPr="00F12741" w:rsidRDefault="0096452E" w:rsidP="0096452E">
            <w:pPr>
              <w:spacing w:after="0"/>
              <w:rPr>
                <w:rFonts w:eastAsia="Times New Roman"/>
                <w:color w:val="000000" w:themeColor="text1"/>
                <w:rtl/>
              </w:rPr>
            </w:pPr>
            <w:r w:rsidRPr="00F12741">
              <w:rPr>
                <w:rFonts w:eastAsia="Times New Roman"/>
                <w:color w:val="000000" w:themeColor="text1"/>
              </w:rPr>
              <w:t>3.</w:t>
            </w:r>
            <w:r>
              <w:rPr>
                <w:rFonts w:eastAsia="Times New Roman"/>
                <w:color w:val="000000" w:themeColor="text1"/>
              </w:rPr>
              <w:t>8</w:t>
            </w:r>
          </w:p>
        </w:tc>
        <w:tc>
          <w:tcPr>
            <w:tcW w:w="1087" w:type="pct"/>
            <w:tcBorders>
              <w:top w:val="nil"/>
              <w:left w:val="nil"/>
              <w:bottom w:val="single" w:sz="4" w:space="0" w:color="1F497D"/>
              <w:right w:val="nil"/>
            </w:tcBorders>
            <w:shd w:val="clear" w:color="auto" w:fill="auto"/>
            <w:noWrap/>
            <w:vAlign w:val="bottom"/>
            <w:hideMark/>
          </w:tcPr>
          <w:p w:rsidR="0096452E" w:rsidRPr="00F12741" w:rsidRDefault="0096452E" w:rsidP="0096452E">
            <w:pPr>
              <w:spacing w:after="0"/>
              <w:rPr>
                <w:rFonts w:eastAsia="Times New Roman"/>
                <w:color w:val="000000" w:themeColor="text1"/>
                <w:rtl/>
              </w:rPr>
            </w:pPr>
            <w:r w:rsidRPr="00F12741">
              <w:rPr>
                <w:rFonts w:eastAsia="Times New Roman"/>
                <w:color w:val="000000" w:themeColor="text1"/>
              </w:rPr>
              <w:t>3.7</w:t>
            </w:r>
            <w:r w:rsidRPr="00F12741">
              <w:rPr>
                <w:rFonts w:eastAsia="Times New Roman" w:hint="cs"/>
                <w:color w:val="000000" w:themeColor="text1"/>
                <w:rtl/>
              </w:rPr>
              <w:t xml:space="preserve"> </w:t>
            </w:r>
            <w:r w:rsidRPr="00F12741">
              <w:rPr>
                <w:rFonts w:eastAsia="Times New Roman"/>
                <w:color w:val="000000" w:themeColor="text1"/>
              </w:rPr>
              <w:t>(4.0—3.25)</w:t>
            </w:r>
          </w:p>
        </w:tc>
      </w:tr>
      <w:tr w:rsidR="0096452E" w:rsidRPr="00582BD2" w:rsidTr="002867DC">
        <w:trPr>
          <w:trHeight w:val="285"/>
          <w:jc w:val="center"/>
        </w:trPr>
        <w:tc>
          <w:tcPr>
            <w:tcW w:w="5000" w:type="pct"/>
            <w:gridSpan w:val="4"/>
            <w:tcBorders>
              <w:top w:val="nil"/>
              <w:left w:val="nil"/>
              <w:bottom w:val="nil"/>
              <w:right w:val="nil"/>
            </w:tcBorders>
            <w:shd w:val="clear" w:color="auto" w:fill="auto"/>
            <w:noWrap/>
            <w:vAlign w:val="bottom"/>
          </w:tcPr>
          <w:p w:rsidR="0096452E" w:rsidRPr="00C94167" w:rsidRDefault="0096452E" w:rsidP="0096452E">
            <w:pPr>
              <w:spacing w:after="0"/>
              <w:rPr>
                <w:rFonts w:eastAsia="Times New Roman"/>
                <w:color w:val="000000"/>
                <w:sz w:val="20"/>
                <w:szCs w:val="20"/>
                <w:rtl/>
              </w:rPr>
            </w:pPr>
            <w:r>
              <w:rPr>
                <w:rFonts w:eastAsia="Times New Roman" w:hint="cs"/>
                <w:color w:val="000000"/>
                <w:sz w:val="20"/>
                <w:szCs w:val="20"/>
                <w:vertAlign w:val="superscript"/>
                <w:rtl/>
              </w:rPr>
              <w:t>1</w:t>
            </w:r>
            <w:r w:rsidRPr="00C94167">
              <w:rPr>
                <w:rFonts w:eastAsia="Times New Roman"/>
                <w:color w:val="000000"/>
                <w:sz w:val="20"/>
                <w:szCs w:val="20"/>
                <w:rtl/>
              </w:rPr>
              <w:t xml:space="preserve"> </w:t>
            </w:r>
            <w:r>
              <w:rPr>
                <w:rFonts w:eastAsia="Times New Roman" w:hint="cs"/>
                <w:color w:val="000000"/>
                <w:sz w:val="20"/>
                <w:szCs w:val="20"/>
                <w:rtl/>
              </w:rPr>
              <w:t>תחזית לאינפלציה ב</w:t>
            </w:r>
            <w:r w:rsidRPr="00C94167">
              <w:rPr>
                <w:rFonts w:eastAsia="Times New Roman"/>
                <w:color w:val="000000"/>
                <w:sz w:val="20"/>
                <w:szCs w:val="20"/>
                <w:rtl/>
              </w:rPr>
              <w:t xml:space="preserve">ארבעת הרבעונים המסתיימים ברבעון </w:t>
            </w:r>
            <w:r>
              <w:rPr>
                <w:rFonts w:eastAsia="Times New Roman" w:hint="cs"/>
                <w:color w:val="000000"/>
                <w:sz w:val="20"/>
                <w:szCs w:val="20"/>
                <w:rtl/>
              </w:rPr>
              <w:t xml:space="preserve">השלישי </w:t>
            </w:r>
            <w:r w:rsidRPr="00C94167">
              <w:rPr>
                <w:rFonts w:eastAsia="Times New Roman"/>
                <w:color w:val="000000"/>
                <w:sz w:val="20"/>
                <w:szCs w:val="20"/>
                <w:rtl/>
              </w:rPr>
              <w:t>של 202</w:t>
            </w:r>
            <w:r>
              <w:rPr>
                <w:rFonts w:eastAsia="Times New Roman" w:hint="cs"/>
                <w:color w:val="000000"/>
                <w:sz w:val="20"/>
                <w:szCs w:val="20"/>
                <w:rtl/>
              </w:rPr>
              <w:t>6 ול</w:t>
            </w:r>
            <w:r w:rsidRPr="00C94167">
              <w:rPr>
                <w:rFonts w:eastAsia="Times New Roman"/>
                <w:color w:val="000000"/>
                <w:sz w:val="20"/>
                <w:szCs w:val="20"/>
                <w:rtl/>
              </w:rPr>
              <w:t xml:space="preserve">ריבית הממוצעת ברבעון </w:t>
            </w:r>
            <w:r>
              <w:rPr>
                <w:rFonts w:eastAsia="Times New Roman" w:hint="cs"/>
                <w:color w:val="000000"/>
                <w:sz w:val="20"/>
                <w:szCs w:val="20"/>
                <w:rtl/>
              </w:rPr>
              <w:t>השלישי</w:t>
            </w:r>
            <w:r w:rsidRPr="00C94167">
              <w:rPr>
                <w:rFonts w:eastAsia="Times New Roman"/>
                <w:color w:val="000000"/>
                <w:sz w:val="20"/>
                <w:szCs w:val="20"/>
                <w:rtl/>
              </w:rPr>
              <w:t xml:space="preserve"> של 202</w:t>
            </w:r>
            <w:r>
              <w:rPr>
                <w:rFonts w:eastAsia="Times New Roman" w:hint="cs"/>
                <w:color w:val="000000"/>
                <w:sz w:val="20"/>
                <w:szCs w:val="20"/>
                <w:rtl/>
              </w:rPr>
              <w:t>6</w:t>
            </w:r>
            <w:r w:rsidRPr="00C94167">
              <w:rPr>
                <w:rFonts w:eastAsia="Times New Roman"/>
                <w:color w:val="000000"/>
                <w:sz w:val="20"/>
                <w:szCs w:val="20"/>
                <w:rtl/>
              </w:rPr>
              <w:t>.</w:t>
            </w:r>
          </w:p>
        </w:tc>
      </w:tr>
      <w:tr w:rsidR="0096452E" w:rsidRPr="00582BD2" w:rsidTr="002867DC">
        <w:trPr>
          <w:trHeight w:val="285"/>
          <w:jc w:val="center"/>
        </w:trPr>
        <w:tc>
          <w:tcPr>
            <w:tcW w:w="5000" w:type="pct"/>
            <w:gridSpan w:val="4"/>
            <w:tcBorders>
              <w:top w:val="nil"/>
              <w:left w:val="nil"/>
              <w:bottom w:val="nil"/>
              <w:right w:val="nil"/>
            </w:tcBorders>
            <w:shd w:val="clear" w:color="auto" w:fill="auto"/>
            <w:noWrap/>
            <w:vAlign w:val="center"/>
            <w:hideMark/>
          </w:tcPr>
          <w:p w:rsidR="0096452E" w:rsidRPr="00C94167" w:rsidRDefault="0096452E" w:rsidP="0096452E">
            <w:pPr>
              <w:spacing w:after="0"/>
              <w:rPr>
                <w:rFonts w:eastAsia="Times New Roman"/>
                <w:color w:val="000000"/>
                <w:sz w:val="20"/>
                <w:szCs w:val="20"/>
                <w:rtl/>
              </w:rPr>
            </w:pPr>
            <w:r>
              <w:rPr>
                <w:rFonts w:eastAsia="Times New Roman" w:hint="cs"/>
                <w:color w:val="000000"/>
                <w:sz w:val="20"/>
                <w:szCs w:val="20"/>
                <w:vertAlign w:val="superscript"/>
                <w:rtl/>
              </w:rPr>
              <w:t>2</w:t>
            </w:r>
            <w:r w:rsidRPr="00C94167">
              <w:rPr>
                <w:rFonts w:eastAsia="Times New Roman"/>
                <w:color w:val="000000"/>
                <w:sz w:val="20"/>
                <w:szCs w:val="20"/>
                <w:rtl/>
              </w:rPr>
              <w:t xml:space="preserve"> </w:t>
            </w:r>
            <w:r>
              <w:rPr>
                <w:rFonts w:eastAsia="Times New Roman"/>
                <w:color w:val="000000"/>
                <w:sz w:val="20"/>
                <w:szCs w:val="20"/>
                <w:rtl/>
              </w:rPr>
              <w:t xml:space="preserve">נכון </w:t>
            </w:r>
            <w:r>
              <w:rPr>
                <w:rFonts w:eastAsia="Times New Roman"/>
                <w:color w:val="000000" w:themeColor="text1"/>
                <w:sz w:val="20"/>
                <w:szCs w:val="20"/>
                <w:rtl/>
              </w:rPr>
              <w:t>לנתוני ה</w:t>
            </w:r>
            <w:r>
              <w:rPr>
                <w:rFonts w:eastAsia="Times New Roman" w:hint="cs"/>
                <w:color w:val="000000" w:themeColor="text1"/>
                <w:sz w:val="20"/>
                <w:szCs w:val="20"/>
                <w:rtl/>
              </w:rPr>
              <w:t xml:space="preserve">-28/09/2025. </w:t>
            </w:r>
            <w:r w:rsidRPr="00F12741">
              <w:rPr>
                <w:rFonts w:eastAsia="Times New Roman"/>
                <w:color w:val="000000" w:themeColor="text1"/>
                <w:sz w:val="20"/>
                <w:szCs w:val="20"/>
                <w:rtl/>
              </w:rPr>
              <w:t xml:space="preserve">ציפיות </w:t>
            </w:r>
            <w:r w:rsidRPr="00C94167">
              <w:rPr>
                <w:rFonts w:eastAsia="Times New Roman"/>
                <w:color w:val="000000"/>
                <w:sz w:val="20"/>
                <w:szCs w:val="20"/>
                <w:rtl/>
              </w:rPr>
              <w:t xml:space="preserve">האינפלציה מנוכות עונתיות </w:t>
            </w:r>
            <w:r>
              <w:rPr>
                <w:rFonts w:eastAsia="Times New Roman" w:hint="cs"/>
                <w:color w:val="000000"/>
                <w:sz w:val="20"/>
                <w:szCs w:val="20"/>
                <w:rtl/>
              </w:rPr>
              <w:t xml:space="preserve">ומתייחסות לשנה קדימה </w:t>
            </w:r>
            <w:r>
              <w:rPr>
                <w:rFonts w:eastAsia="Times New Roman" w:hint="cs"/>
                <w:color w:val="000000" w:themeColor="text1"/>
                <w:sz w:val="20"/>
                <w:szCs w:val="20"/>
                <w:rtl/>
              </w:rPr>
              <w:t>מה-28/09/2025</w:t>
            </w:r>
            <w:r w:rsidRPr="00F12741">
              <w:rPr>
                <w:rFonts w:eastAsia="Times New Roman" w:hint="cs"/>
                <w:color w:val="000000" w:themeColor="text1"/>
                <w:sz w:val="20"/>
                <w:szCs w:val="20"/>
                <w:rtl/>
              </w:rPr>
              <w:t xml:space="preserve"> והציפיות </w:t>
            </w:r>
            <w:r>
              <w:rPr>
                <w:rFonts w:eastAsia="Times New Roman" w:hint="cs"/>
                <w:color w:val="000000"/>
                <w:sz w:val="20"/>
                <w:szCs w:val="20"/>
                <w:rtl/>
              </w:rPr>
              <w:t>לריבית</w:t>
            </w:r>
            <w:r w:rsidRPr="00C94167">
              <w:rPr>
                <w:rFonts w:eastAsia="Times New Roman"/>
                <w:color w:val="000000"/>
                <w:sz w:val="20"/>
                <w:szCs w:val="20"/>
                <w:rtl/>
              </w:rPr>
              <w:t xml:space="preserve"> מבוססות </w:t>
            </w:r>
            <w:r>
              <w:rPr>
                <w:rFonts w:eastAsia="Times New Roman" w:hint="cs"/>
                <w:color w:val="000000"/>
                <w:sz w:val="20"/>
                <w:szCs w:val="20"/>
                <w:rtl/>
              </w:rPr>
              <w:t xml:space="preserve">על </w:t>
            </w:r>
            <w:r w:rsidRPr="00DD4D13">
              <w:rPr>
                <w:rFonts w:eastAsia="Times New Roman"/>
                <w:color w:val="000000"/>
                <w:sz w:val="20"/>
                <w:szCs w:val="20"/>
                <w:rtl/>
              </w:rPr>
              <w:t xml:space="preserve">ממוצע ציטוטי </w:t>
            </w:r>
            <w:r w:rsidRPr="00C94167">
              <w:rPr>
                <w:rFonts w:eastAsia="Times New Roman"/>
                <w:color w:val="000000"/>
                <w:sz w:val="20"/>
                <w:szCs w:val="20"/>
                <w:rtl/>
              </w:rPr>
              <w:t xml:space="preserve">שוק </w:t>
            </w:r>
            <w:r>
              <w:rPr>
                <w:rFonts w:eastAsia="Times New Roman"/>
                <w:color w:val="000000"/>
                <w:sz w:val="20"/>
                <w:szCs w:val="20"/>
                <w:rtl/>
              </w:rPr>
              <w:t>ה</w:t>
            </w:r>
            <w:r>
              <w:rPr>
                <w:rFonts w:eastAsia="Times New Roman" w:hint="cs"/>
                <w:color w:val="000000"/>
                <w:sz w:val="20"/>
                <w:szCs w:val="20"/>
                <w:rtl/>
              </w:rPr>
              <w:t>-</w:t>
            </w:r>
            <w:r>
              <w:rPr>
                <w:rFonts w:eastAsia="Times New Roman" w:hint="cs"/>
                <w:color w:val="000000"/>
                <w:sz w:val="20"/>
                <w:szCs w:val="20"/>
              </w:rPr>
              <w:t>SHIR</w:t>
            </w:r>
            <w:r w:rsidRPr="00DD4D13">
              <w:rPr>
                <w:rFonts w:eastAsia="Times New Roman"/>
                <w:color w:val="000000"/>
                <w:sz w:val="20"/>
                <w:szCs w:val="20"/>
                <w:rtl/>
              </w:rPr>
              <w:t xml:space="preserve"> ועיבודי בנק ישראל</w:t>
            </w:r>
            <w:r>
              <w:rPr>
                <w:rFonts w:eastAsia="Times New Roman" w:hint="cs"/>
                <w:color w:val="000000"/>
                <w:sz w:val="20"/>
                <w:szCs w:val="20"/>
                <w:rtl/>
              </w:rPr>
              <w:t xml:space="preserve">. </w:t>
            </w:r>
          </w:p>
        </w:tc>
      </w:tr>
      <w:tr w:rsidR="0096452E" w:rsidRPr="00582BD2" w:rsidTr="002867DC">
        <w:trPr>
          <w:trHeight w:val="285"/>
          <w:jc w:val="center"/>
        </w:trPr>
        <w:tc>
          <w:tcPr>
            <w:tcW w:w="5000" w:type="pct"/>
            <w:gridSpan w:val="4"/>
            <w:tcBorders>
              <w:top w:val="nil"/>
              <w:left w:val="nil"/>
              <w:bottom w:val="nil"/>
              <w:right w:val="nil"/>
            </w:tcBorders>
            <w:shd w:val="clear" w:color="auto" w:fill="auto"/>
            <w:noWrap/>
            <w:vAlign w:val="bottom"/>
            <w:hideMark/>
          </w:tcPr>
          <w:p w:rsidR="0096452E" w:rsidRPr="00C94167" w:rsidRDefault="0096452E" w:rsidP="0096452E">
            <w:pPr>
              <w:spacing w:after="0"/>
              <w:rPr>
                <w:rFonts w:eastAsia="Times New Roman"/>
                <w:color w:val="000000"/>
                <w:sz w:val="20"/>
                <w:szCs w:val="20"/>
                <w:rtl/>
              </w:rPr>
            </w:pPr>
            <w:r>
              <w:rPr>
                <w:rFonts w:eastAsia="Times New Roman" w:hint="cs"/>
                <w:color w:val="000000"/>
                <w:sz w:val="20"/>
                <w:szCs w:val="20"/>
                <w:vertAlign w:val="superscript"/>
                <w:rtl/>
              </w:rPr>
              <w:t>3</w:t>
            </w:r>
            <w:r w:rsidRPr="00C94167">
              <w:rPr>
                <w:rFonts w:eastAsia="Times New Roman"/>
                <w:color w:val="000000"/>
                <w:sz w:val="20"/>
                <w:szCs w:val="20"/>
                <w:rtl/>
              </w:rPr>
              <w:t xml:space="preserve"> נכון לנתוני ה-</w:t>
            </w:r>
            <w:r w:rsidRPr="00F12741">
              <w:rPr>
                <w:rFonts w:eastAsia="Times New Roman" w:hint="cs"/>
                <w:color w:val="000000" w:themeColor="text1"/>
                <w:sz w:val="20"/>
                <w:szCs w:val="20"/>
                <w:rtl/>
              </w:rPr>
              <w:t>2</w:t>
            </w:r>
            <w:r>
              <w:rPr>
                <w:rFonts w:eastAsia="Times New Roman" w:hint="cs"/>
                <w:color w:val="000000" w:themeColor="text1"/>
                <w:sz w:val="20"/>
                <w:szCs w:val="20"/>
                <w:rtl/>
              </w:rPr>
              <w:t>8</w:t>
            </w:r>
            <w:r w:rsidRPr="00F12741">
              <w:rPr>
                <w:rFonts w:eastAsia="Times New Roman" w:hint="cs"/>
                <w:color w:val="000000" w:themeColor="text1"/>
                <w:sz w:val="20"/>
                <w:szCs w:val="20"/>
                <w:rtl/>
              </w:rPr>
              <w:t>/09/2025</w:t>
            </w:r>
            <w:r w:rsidRPr="00C94167">
              <w:rPr>
                <w:rFonts w:eastAsia="Times New Roman"/>
                <w:color w:val="000000"/>
                <w:sz w:val="20"/>
                <w:szCs w:val="20"/>
                <w:rtl/>
              </w:rPr>
              <w:t>.</w:t>
            </w:r>
            <w:r>
              <w:rPr>
                <w:rFonts w:eastAsia="Times New Roman" w:hint="cs"/>
                <w:color w:val="000000"/>
                <w:sz w:val="20"/>
                <w:szCs w:val="20"/>
                <w:rtl/>
              </w:rPr>
              <w:t xml:space="preserve"> תחזיות החזאים מתייחסות ל-12 המדדים </w:t>
            </w:r>
            <w:r w:rsidRPr="00F12741">
              <w:rPr>
                <w:rFonts w:eastAsia="Times New Roman" w:hint="cs"/>
                <w:color w:val="000000" w:themeColor="text1"/>
                <w:sz w:val="20"/>
                <w:szCs w:val="20"/>
                <w:rtl/>
              </w:rPr>
              <w:t>הבאים (</w:t>
            </w:r>
            <w:r>
              <w:rPr>
                <w:rFonts w:eastAsia="Times New Roman" w:hint="cs"/>
                <w:color w:val="000000" w:themeColor="text1"/>
                <w:sz w:val="20"/>
                <w:szCs w:val="20"/>
                <w:rtl/>
              </w:rPr>
              <w:t>ספטמבר</w:t>
            </w:r>
            <w:r w:rsidRPr="00F12741">
              <w:rPr>
                <w:rFonts w:eastAsia="Times New Roman" w:hint="cs"/>
                <w:color w:val="000000" w:themeColor="text1"/>
                <w:sz w:val="20"/>
                <w:szCs w:val="20"/>
                <w:rtl/>
              </w:rPr>
              <w:t xml:space="preserve">2025 עד </w:t>
            </w:r>
            <w:r>
              <w:rPr>
                <w:rFonts w:eastAsia="Times New Roman" w:hint="cs"/>
                <w:color w:val="000000" w:themeColor="text1"/>
                <w:sz w:val="20"/>
                <w:szCs w:val="20"/>
                <w:rtl/>
              </w:rPr>
              <w:t>אוגוסט</w:t>
            </w:r>
            <w:r w:rsidRPr="00F12741">
              <w:rPr>
                <w:rFonts w:eastAsia="Times New Roman" w:hint="cs"/>
                <w:color w:val="000000" w:themeColor="text1"/>
                <w:sz w:val="20"/>
                <w:szCs w:val="20"/>
                <w:rtl/>
              </w:rPr>
              <w:t xml:space="preserve"> 2026</w:t>
            </w:r>
            <w:r>
              <w:rPr>
                <w:rFonts w:eastAsia="Times New Roman" w:hint="cs"/>
                <w:color w:val="000000"/>
                <w:sz w:val="20"/>
                <w:szCs w:val="20"/>
                <w:rtl/>
              </w:rPr>
              <w:t>).</w:t>
            </w:r>
          </w:p>
        </w:tc>
      </w:tr>
      <w:tr w:rsidR="0096452E" w:rsidRPr="00582BD2" w:rsidTr="002867DC">
        <w:trPr>
          <w:trHeight w:val="255"/>
          <w:jc w:val="center"/>
        </w:trPr>
        <w:tc>
          <w:tcPr>
            <w:tcW w:w="5000" w:type="pct"/>
            <w:gridSpan w:val="4"/>
            <w:tcBorders>
              <w:top w:val="nil"/>
              <w:left w:val="nil"/>
              <w:bottom w:val="nil"/>
              <w:right w:val="nil"/>
            </w:tcBorders>
            <w:shd w:val="clear" w:color="auto" w:fill="auto"/>
            <w:noWrap/>
            <w:vAlign w:val="center"/>
            <w:hideMark/>
          </w:tcPr>
          <w:p w:rsidR="0096452E" w:rsidRPr="00C94167" w:rsidRDefault="0096452E" w:rsidP="0096452E">
            <w:pPr>
              <w:spacing w:after="0"/>
              <w:rPr>
                <w:rFonts w:eastAsia="Times New Roman"/>
                <w:color w:val="000000"/>
                <w:sz w:val="20"/>
                <w:szCs w:val="20"/>
                <w:rtl/>
              </w:rPr>
            </w:pPr>
            <w:r w:rsidRPr="00C94167">
              <w:rPr>
                <w:rFonts w:eastAsia="Times New Roman"/>
                <w:b/>
                <w:bCs/>
                <w:color w:val="000000"/>
                <w:sz w:val="20"/>
                <w:szCs w:val="20"/>
                <w:rtl/>
              </w:rPr>
              <w:t>המקור:</w:t>
            </w:r>
            <w:r w:rsidRPr="00C94167">
              <w:rPr>
                <w:rFonts w:eastAsia="Times New Roman"/>
                <w:color w:val="000000"/>
                <w:sz w:val="20"/>
                <w:szCs w:val="20"/>
                <w:rtl/>
              </w:rPr>
              <w:t xml:space="preserve"> בנק ישראל.</w:t>
            </w:r>
          </w:p>
        </w:tc>
      </w:tr>
      <w:bookmarkEnd w:id="4"/>
    </w:tbl>
    <w:p w:rsidR="0096452E" w:rsidRDefault="0096452E" w:rsidP="0096452E">
      <w:pPr>
        <w:jc w:val="both"/>
        <w:rPr>
          <w:b/>
          <w:rtl/>
        </w:rPr>
      </w:pPr>
    </w:p>
    <w:p w:rsidR="0096452E" w:rsidRPr="00202530" w:rsidRDefault="0096452E" w:rsidP="0096452E">
      <w:pPr>
        <w:pStyle w:val="a"/>
        <w:spacing w:line="276" w:lineRule="auto"/>
        <w:rPr>
          <w:rFonts w:ascii="Calibri" w:hAnsi="Calibri" w:cs="Calibri"/>
          <w:sz w:val="24"/>
        </w:rPr>
      </w:pPr>
      <w:r w:rsidRPr="00202530">
        <w:rPr>
          <w:rFonts w:ascii="Calibri" w:hAnsi="Calibri" w:cs="Calibri"/>
          <w:sz w:val="24"/>
          <w:rtl/>
        </w:rPr>
        <w:t>הסיכונים העיקריים לתחזית</w:t>
      </w:r>
    </w:p>
    <w:p w:rsidR="0096452E" w:rsidRDefault="0096452E" w:rsidP="0096452E">
      <w:pPr>
        <w:tabs>
          <w:tab w:val="num" w:pos="720"/>
        </w:tabs>
        <w:ind w:left="8"/>
        <w:jc w:val="both"/>
        <w:rPr>
          <w:rtl/>
        </w:rPr>
      </w:pPr>
      <w:r>
        <w:rPr>
          <w:rtl/>
        </w:rPr>
        <w:t>אי</w:t>
      </w:r>
      <w:r>
        <w:rPr>
          <w:rFonts w:ascii="Cambria Math" w:hAnsi="Cambria Math" w:cs="Cambria Math" w:hint="cs"/>
          <w:rtl/>
        </w:rPr>
        <w:t>‑</w:t>
      </w:r>
      <w:r>
        <w:rPr>
          <w:rFonts w:hint="cs"/>
          <w:rtl/>
        </w:rPr>
        <w:t>הוודאות</w:t>
      </w:r>
      <w:r>
        <w:rPr>
          <w:rtl/>
        </w:rPr>
        <w:t xml:space="preserve"> </w:t>
      </w:r>
      <w:r>
        <w:rPr>
          <w:rFonts w:hint="cs"/>
          <w:rtl/>
        </w:rPr>
        <w:t>סביב</w:t>
      </w:r>
      <w:r>
        <w:rPr>
          <w:rtl/>
        </w:rPr>
        <w:t xml:space="preserve"> </w:t>
      </w:r>
      <w:r>
        <w:rPr>
          <w:rFonts w:hint="cs"/>
          <w:rtl/>
        </w:rPr>
        <w:t>התחזית</w:t>
      </w:r>
      <w:r>
        <w:rPr>
          <w:rtl/>
        </w:rPr>
        <w:t xml:space="preserve"> </w:t>
      </w:r>
      <w:r>
        <w:rPr>
          <w:rFonts w:hint="cs"/>
          <w:rtl/>
        </w:rPr>
        <w:t>גבוהה</w:t>
      </w:r>
      <w:r>
        <w:rPr>
          <w:rtl/>
        </w:rPr>
        <w:t xml:space="preserve"> </w:t>
      </w:r>
      <w:r>
        <w:rPr>
          <w:rFonts w:hint="cs"/>
          <w:rtl/>
        </w:rPr>
        <w:t>וכוללת,</w:t>
      </w:r>
      <w:r>
        <w:rPr>
          <w:rtl/>
        </w:rPr>
        <w:t xml:space="preserve"> </w:t>
      </w:r>
      <w:r>
        <w:rPr>
          <w:rFonts w:hint="cs"/>
          <w:rtl/>
        </w:rPr>
        <w:t>בין היתר, ס</w:t>
      </w:r>
      <w:r>
        <w:rPr>
          <w:rtl/>
        </w:rPr>
        <w:t xml:space="preserve">יכונים </w:t>
      </w:r>
      <w:r>
        <w:rPr>
          <w:rFonts w:hint="cs"/>
          <w:rtl/>
        </w:rPr>
        <w:t>הנובעים מהתעצמות או התארכות של הלחימה</w:t>
      </w:r>
      <w:r>
        <w:rPr>
          <w:rtl/>
        </w:rPr>
        <w:t>, העלולים להתממש יחד או בנפרד: מגבלות ההיצע ימשיכו להעיב על התאוששות הפעילות</w:t>
      </w:r>
      <w:r>
        <w:rPr>
          <w:rFonts w:hint="cs"/>
          <w:rtl/>
        </w:rPr>
        <w:t xml:space="preserve">, </w:t>
      </w:r>
      <w:r>
        <w:rPr>
          <w:rtl/>
        </w:rPr>
        <w:t>ה</w:t>
      </w:r>
      <w:r>
        <w:rPr>
          <w:rFonts w:hint="cs"/>
          <w:rtl/>
        </w:rPr>
        <w:t>וצאות הביטחון יעלו,</w:t>
      </w:r>
      <w:r>
        <w:rPr>
          <w:rtl/>
        </w:rPr>
        <w:t xml:space="preserve"> </w:t>
      </w:r>
      <w:r>
        <w:rPr>
          <w:rFonts w:hint="cs"/>
          <w:rtl/>
        </w:rPr>
        <w:t>וה</w:t>
      </w:r>
      <w:r>
        <w:rPr>
          <w:rtl/>
        </w:rPr>
        <w:t xml:space="preserve">ביקוש לייצוא הישראלי </w:t>
      </w:r>
      <w:r>
        <w:rPr>
          <w:rFonts w:hint="cs"/>
          <w:rtl/>
        </w:rPr>
        <w:t>ירד</w:t>
      </w:r>
      <w:r>
        <w:rPr>
          <w:rtl/>
        </w:rPr>
        <w:t xml:space="preserve"> (בעקבות פגיעה בסנטימנט כלפי ישראל)</w:t>
      </w:r>
      <w:r>
        <w:rPr>
          <w:rFonts w:hint="cs"/>
          <w:rtl/>
        </w:rPr>
        <w:t xml:space="preserve">. כמו כן </w:t>
      </w:r>
      <w:r>
        <w:rPr>
          <w:rtl/>
        </w:rPr>
        <w:t>פרמיית הסיכון</w:t>
      </w:r>
      <w:r w:rsidRPr="00662809">
        <w:rPr>
          <w:rFonts w:hint="cs"/>
          <w:rtl/>
        </w:rPr>
        <w:t xml:space="preserve"> </w:t>
      </w:r>
      <w:r>
        <w:rPr>
          <w:rFonts w:hint="cs"/>
          <w:rtl/>
        </w:rPr>
        <w:t xml:space="preserve">עלולה לעלות ולהוביל לירידה </w:t>
      </w:r>
      <w:r>
        <w:rPr>
          <w:rtl/>
        </w:rPr>
        <w:t>בהשקעות</w:t>
      </w:r>
      <w:r>
        <w:rPr>
          <w:rFonts w:hint="cs"/>
          <w:rtl/>
        </w:rPr>
        <w:t xml:space="preserve"> במשק. מנגד, </w:t>
      </w:r>
      <w:r w:rsidRPr="00E84F6A">
        <w:rPr>
          <w:rtl/>
        </w:rPr>
        <w:t>ככל שהמלחמה תסתיים מוקדם יותר</w:t>
      </w:r>
      <w:r>
        <w:rPr>
          <w:rFonts w:hint="cs"/>
          <w:rtl/>
        </w:rPr>
        <w:t xml:space="preserve"> מהרביע הראשון של 2026</w:t>
      </w:r>
      <w:r w:rsidRPr="00E84F6A">
        <w:rPr>
          <w:rtl/>
        </w:rPr>
        <w:t xml:space="preserve">, </w:t>
      </w:r>
      <w:r>
        <w:rPr>
          <w:rFonts w:hint="cs"/>
          <w:rtl/>
        </w:rPr>
        <w:t>ניתן לצפות להקלה מוקדמת יותר ב</w:t>
      </w:r>
      <w:r w:rsidRPr="00E84F6A">
        <w:rPr>
          <w:rtl/>
        </w:rPr>
        <w:t>מגבלות הה</w:t>
      </w:r>
      <w:r>
        <w:rPr>
          <w:rFonts w:hint="cs"/>
          <w:rtl/>
        </w:rPr>
        <w:t>י</w:t>
      </w:r>
      <w:r w:rsidRPr="00E84F6A">
        <w:rPr>
          <w:rtl/>
        </w:rPr>
        <w:t>צע</w:t>
      </w:r>
      <w:r>
        <w:rPr>
          <w:rFonts w:hint="cs"/>
          <w:rtl/>
        </w:rPr>
        <w:t>,</w:t>
      </w:r>
      <w:r w:rsidRPr="00E84F6A">
        <w:rPr>
          <w:rtl/>
        </w:rPr>
        <w:t xml:space="preserve"> </w:t>
      </w:r>
      <w:r>
        <w:rPr>
          <w:rFonts w:hint="cs"/>
          <w:rtl/>
        </w:rPr>
        <w:t xml:space="preserve"> ולפיכך ל</w:t>
      </w:r>
      <w:r w:rsidRPr="00E84F6A">
        <w:rPr>
          <w:rtl/>
        </w:rPr>
        <w:t>התאוששות מוקדמת יותר של הפעילות</w:t>
      </w:r>
      <w:r>
        <w:rPr>
          <w:rFonts w:hint="cs"/>
          <w:rtl/>
        </w:rPr>
        <w:t>; תרחיש כזה גם ימתן את הוצאות הביטחון כמובן</w:t>
      </w:r>
      <w:r w:rsidRPr="00E84F6A">
        <w:rPr>
          <w:rtl/>
        </w:rPr>
        <w:t>.</w:t>
      </w:r>
      <w:r>
        <w:rPr>
          <w:rFonts w:hint="cs"/>
          <w:rtl/>
        </w:rPr>
        <w:t xml:space="preserve"> </w:t>
      </w:r>
    </w:p>
    <w:p w:rsidR="0096452E" w:rsidRDefault="0096452E" w:rsidP="0096452E">
      <w:pPr>
        <w:tabs>
          <w:tab w:val="num" w:pos="720"/>
        </w:tabs>
        <w:ind w:left="8"/>
        <w:jc w:val="both"/>
        <w:rPr>
          <w:rtl/>
        </w:rPr>
      </w:pPr>
      <w:r>
        <w:rPr>
          <w:rFonts w:hint="cs"/>
          <w:rtl/>
        </w:rPr>
        <w:t>רבעון בודד נוסף של התארכות המלחמה בעזה, מעבר למה שהונח במסגרת התחזית, צפוי להתבטא</w:t>
      </w:r>
      <w:r w:rsidRPr="00056494">
        <w:rPr>
          <w:rFonts w:hint="cs"/>
          <w:rtl/>
        </w:rPr>
        <w:t xml:space="preserve"> </w:t>
      </w:r>
      <w:r>
        <w:rPr>
          <w:rFonts w:hint="cs"/>
          <w:rtl/>
        </w:rPr>
        <w:t>ב</w:t>
      </w:r>
      <w:r w:rsidRPr="00056494">
        <w:rPr>
          <w:rFonts w:hint="cs"/>
          <w:rtl/>
        </w:rPr>
        <w:t xml:space="preserve">החרפת מגבלות </w:t>
      </w:r>
      <w:proofErr w:type="spellStart"/>
      <w:r w:rsidRPr="00056494">
        <w:rPr>
          <w:rFonts w:hint="cs"/>
          <w:rtl/>
        </w:rPr>
        <w:t>ההצע</w:t>
      </w:r>
      <w:proofErr w:type="spellEnd"/>
      <w:r w:rsidRPr="00056494">
        <w:rPr>
          <w:rFonts w:hint="cs"/>
          <w:rtl/>
        </w:rPr>
        <w:t xml:space="preserve"> במשק </w:t>
      </w:r>
      <w:r>
        <w:rPr>
          <w:rFonts w:hint="cs"/>
          <w:rtl/>
        </w:rPr>
        <w:t>וב</w:t>
      </w:r>
      <w:r>
        <w:rPr>
          <w:rtl/>
        </w:rPr>
        <w:t>פגיעה של כ-0.25% בתוצר השנתי</w:t>
      </w:r>
      <w:r>
        <w:rPr>
          <w:rFonts w:hint="cs"/>
          <w:rtl/>
        </w:rPr>
        <w:t xml:space="preserve"> לצד המשך הפגיעה בביקוש ליצוא מישראל. זאת </w:t>
      </w:r>
      <w:r w:rsidRPr="00C425C9">
        <w:rPr>
          <w:rFonts w:hint="eastAsia"/>
          <w:rtl/>
        </w:rPr>
        <w:t>לצד</w:t>
      </w:r>
      <w:r w:rsidRPr="00C425C9">
        <w:rPr>
          <w:rtl/>
        </w:rPr>
        <w:t xml:space="preserve"> עלייה בהוצאות הממשלה בשיעור של כ-0.15% מהתוצר</w:t>
      </w:r>
      <w:r>
        <w:rPr>
          <w:rtl/>
        </w:rPr>
        <w:t xml:space="preserve"> וגידול מקביל בגירעון באותו רבעון</w:t>
      </w:r>
      <w:r>
        <w:rPr>
          <w:rFonts w:hint="cs"/>
          <w:rtl/>
        </w:rPr>
        <w:t>.</w:t>
      </w:r>
      <w:r w:rsidRPr="00056494">
        <w:rPr>
          <w:rFonts w:hint="cs"/>
          <w:rtl/>
        </w:rPr>
        <w:t xml:space="preserve"> </w:t>
      </w:r>
      <w:r>
        <w:rPr>
          <w:rFonts w:hint="cs"/>
          <w:rtl/>
        </w:rPr>
        <w:t>כל אלו צפויים להתבטא ב</w:t>
      </w:r>
      <w:r>
        <w:rPr>
          <w:rtl/>
        </w:rPr>
        <w:t>עלייה באינפלציה</w:t>
      </w:r>
      <w:r>
        <w:rPr>
          <w:rFonts w:hint="cs"/>
          <w:rtl/>
        </w:rPr>
        <w:t xml:space="preserve"> במהלך השנה</w:t>
      </w:r>
      <w:r>
        <w:rPr>
          <w:rtl/>
        </w:rPr>
        <w:t xml:space="preserve">, </w:t>
      </w:r>
      <w:r>
        <w:rPr>
          <w:rFonts w:hint="cs"/>
          <w:rtl/>
        </w:rPr>
        <w:t>ביותר מ-0.1</w:t>
      </w:r>
      <w:r>
        <w:rPr>
          <w:rtl/>
        </w:rPr>
        <w:t xml:space="preserve"> נקודות אחוז</w:t>
      </w:r>
      <w:r>
        <w:rPr>
          <w:rFonts w:hint="cs"/>
          <w:rtl/>
        </w:rPr>
        <w:t>, ובהאטת קצב ההפחתה של הריבית</w:t>
      </w:r>
      <w:r>
        <w:rPr>
          <w:rtl/>
        </w:rPr>
        <w:t xml:space="preserve">. </w:t>
      </w:r>
      <w:r>
        <w:rPr>
          <w:rFonts w:hint="cs"/>
          <w:rtl/>
        </w:rPr>
        <w:t xml:space="preserve">ההשלכות של התארכות המלחמה מעבר לרבעון אחד הן קשות לחיזוי. בפרט, קיים סיכון שלכל התארכות נוספת במלחמה תהיה השפעה נוספת חמורה </w:t>
      </w:r>
      <w:r w:rsidRPr="00D52F58">
        <w:rPr>
          <w:rtl/>
        </w:rPr>
        <w:t>יותר</w:t>
      </w:r>
      <w:r>
        <w:rPr>
          <w:rFonts w:hint="cs"/>
          <w:rtl/>
        </w:rPr>
        <w:t>, הולכת וגדלה, ועם השלכות מתמשכות על פעילות המשק</w:t>
      </w:r>
      <w:r w:rsidRPr="00D52F58">
        <w:rPr>
          <w:rtl/>
        </w:rPr>
        <w:t>.</w:t>
      </w:r>
    </w:p>
    <w:p w:rsidR="0096452E" w:rsidRDefault="0096452E" w:rsidP="0096452E">
      <w:pPr>
        <w:tabs>
          <w:tab w:val="num" w:pos="720"/>
        </w:tabs>
        <w:ind w:left="8"/>
        <w:jc w:val="both"/>
        <w:rPr>
          <w:rtl/>
        </w:rPr>
      </w:pPr>
      <w:r>
        <w:rPr>
          <w:rFonts w:hint="cs"/>
          <w:rtl/>
        </w:rPr>
        <w:t>נוסף על סיכוני המלחמה קיימים כמובן סיכונים נוספים, לרבות החרפה במלחמת הסחר על השלכותיה הגלובליות והמקומיות.</w:t>
      </w:r>
    </w:p>
    <w:p w:rsidR="00542E3A" w:rsidRPr="0096452E" w:rsidRDefault="00542E3A" w:rsidP="0096452E">
      <w:pPr>
        <w:rPr>
          <w:rtl/>
        </w:rPr>
      </w:pPr>
    </w:p>
    <w:sectPr w:rsidR="00542E3A" w:rsidRPr="0096452E" w:rsidSect="001D340E">
      <w:footerReference w:type="first" r:id="rId12"/>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F2C" w:rsidRDefault="00F97F2C" w:rsidP="008755E3">
      <w:pPr>
        <w:spacing w:after="0" w:line="240" w:lineRule="auto"/>
      </w:pPr>
      <w:r>
        <w:separator/>
      </w:r>
    </w:p>
  </w:endnote>
  <w:endnote w:type="continuationSeparator" w:id="0">
    <w:p w:rsidR="00F97F2C" w:rsidRDefault="00F97F2C"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ssistant">
    <w:panose1 w:val="00000500000000000000"/>
    <w:charset w:val="00"/>
    <w:family w:val="auto"/>
    <w:pitch w:val="variable"/>
    <w:sig w:usb0="00000807" w:usb1="40000000" w:usb2="00000000" w:usb3="00000000" w:csb0="0000002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f"/>
      <w:rPr>
        <w:rtl/>
      </w:rPr>
    </w:pPr>
    <w:r w:rsidRPr="00571971">
      <w:rPr>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36" name="תמונה 36"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37" name="תמונה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38"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39"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sz w:val="16"/>
                              <w:szCs w:val="16"/>
                              <w:rtl/>
                            </w:rPr>
                          </w:pPr>
                          <w:r w:rsidRPr="00031A9D">
                            <w:rPr>
                              <w:noProof/>
                              <w:sz w:val="16"/>
                              <w:szCs w:val="16"/>
                              <w:rtl/>
                            </w:rPr>
                            <w:t>פודקאסט  בנק ישראל</w:t>
                          </w:r>
                          <w:r w:rsidRPr="00031A9D">
                            <w:rPr>
                              <w:noProof/>
                              <w:sz w:val="16"/>
                              <w:szCs w:val="16"/>
                              <w:rtl/>
                            </w:rPr>
                            <w:br/>
                          </w:r>
                          <w:hyperlink r:id="rId8" w:history="1">
                            <w:r w:rsidRPr="00031A9D">
                              <w:rPr>
                                <w:rStyle w:val="Hyperlink"/>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sz w:val="16"/>
                        <w:szCs w:val="16"/>
                        <w:rtl/>
                      </w:rPr>
                    </w:pPr>
                    <w:r w:rsidRPr="00031A9D">
                      <w:rPr>
                        <w:noProof/>
                        <w:sz w:val="16"/>
                        <w:szCs w:val="16"/>
                        <w:rtl/>
                      </w:rPr>
                      <w:t>פודקאסט  בנק ישראל</w:t>
                    </w:r>
                    <w:r w:rsidRPr="00031A9D">
                      <w:rPr>
                        <w:noProof/>
                        <w:sz w:val="16"/>
                        <w:szCs w:val="16"/>
                        <w:rtl/>
                      </w:rPr>
                      <w:br/>
                    </w:r>
                    <w:hyperlink r:id="rId9" w:history="1">
                      <w:r w:rsidRPr="00031A9D">
                        <w:rPr>
                          <w:rStyle w:val="Hyperlink"/>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noProof/>
                              <w:sz w:val="16"/>
                              <w:szCs w:val="16"/>
                              <w:rtl/>
                            </w:rPr>
                          </w:pPr>
                          <w:r w:rsidRPr="00031A9D">
                            <w:rPr>
                              <w:noProof/>
                              <w:sz w:val="16"/>
                              <w:szCs w:val="16"/>
                              <w:rtl/>
                            </w:rPr>
                            <w:t>יוטיוב - בנק ישראל</w:t>
                          </w:r>
                          <w:r w:rsidRPr="00031A9D">
                            <w:rPr>
                              <w:noProof/>
                              <w:sz w:val="16"/>
                              <w:szCs w:val="16"/>
                              <w:rtl/>
                            </w:rPr>
                            <w:br/>
                          </w:r>
                          <w:hyperlink r:id="rId10" w:history="1">
                            <w:r w:rsidRPr="00031A9D">
                              <w:rPr>
                                <w:rStyle w:val="Hyperlink"/>
                                <w:noProof/>
                                <w:sz w:val="14"/>
                                <w:szCs w:val="14"/>
                              </w:rPr>
                              <w:t>https://www.youtube.com/user/thebankofisrael</w:t>
                            </w:r>
                          </w:hyperlink>
                          <w:r w:rsidRPr="00031A9D">
                            <w:rPr>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noProof/>
                        <w:sz w:val="16"/>
                        <w:szCs w:val="16"/>
                        <w:rtl/>
                      </w:rPr>
                    </w:pPr>
                    <w:r w:rsidRPr="00031A9D">
                      <w:rPr>
                        <w:noProof/>
                        <w:sz w:val="16"/>
                        <w:szCs w:val="16"/>
                        <w:rtl/>
                      </w:rPr>
                      <w:t>יוטיוב - בנק ישראל</w:t>
                    </w:r>
                    <w:r w:rsidRPr="00031A9D">
                      <w:rPr>
                        <w:noProof/>
                        <w:sz w:val="16"/>
                        <w:szCs w:val="16"/>
                        <w:rtl/>
                      </w:rPr>
                      <w:br/>
                    </w:r>
                    <w:hyperlink r:id="rId11" w:history="1">
                      <w:r w:rsidRPr="00031A9D">
                        <w:rPr>
                          <w:rStyle w:val="Hyperlink"/>
                          <w:noProof/>
                          <w:sz w:val="14"/>
                          <w:szCs w:val="14"/>
                        </w:rPr>
                        <w:t>https://www.youtube.com/user/thebankofisrael</w:t>
                      </w:r>
                    </w:hyperlink>
                    <w:r w:rsidRPr="00031A9D">
                      <w:rPr>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sz w:val="14"/>
                                <w:szCs w:val="14"/>
                              </w:rPr>
                              <w:t>https://www.boi.org.il</w:t>
                            </w:r>
                            <w:r w:rsidRPr="00031A9D">
                              <w:rPr>
                                <w:rStyle w:val="Hyperlink"/>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sz w:val="14"/>
                          <w:szCs w:val="14"/>
                        </w:rPr>
                        <w:t>https://www.boi.org.il</w:t>
                      </w:r>
                      <w:r w:rsidRPr="00031A9D">
                        <w:rPr>
                          <w:rStyle w:val="Hyperlink"/>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F39B9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noProof/>
        <w:rtl/>
      </w:rPr>
      <w:t xml:space="preserve"> </w:t>
    </w:r>
  </w:p>
  <w:p w:rsidR="001D340E" w:rsidRPr="009005BA" w:rsidRDefault="001D340E" w:rsidP="001D340E">
    <w:pPr>
      <w:pStyle w:val="af"/>
    </w:pPr>
  </w:p>
  <w:p w:rsidR="001D340E" w:rsidRDefault="001D340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F2C" w:rsidRDefault="00F97F2C" w:rsidP="008755E3">
      <w:pPr>
        <w:spacing w:after="0" w:line="240" w:lineRule="auto"/>
      </w:pPr>
      <w:r>
        <w:separator/>
      </w:r>
    </w:p>
  </w:footnote>
  <w:footnote w:type="continuationSeparator" w:id="0">
    <w:p w:rsidR="00F97F2C" w:rsidRDefault="00F97F2C" w:rsidP="008755E3">
      <w:pPr>
        <w:spacing w:after="0" w:line="240" w:lineRule="auto"/>
      </w:pPr>
      <w:r>
        <w:continuationSeparator/>
      </w:r>
    </w:p>
  </w:footnote>
  <w:footnote w:id="1">
    <w:p w:rsidR="0096452E" w:rsidRPr="00202530" w:rsidRDefault="0096452E" w:rsidP="0096452E">
      <w:pPr>
        <w:pStyle w:val="af1"/>
        <w:spacing w:before="60"/>
        <w:ind w:left="19"/>
        <w:rPr>
          <w:sz w:val="18"/>
          <w:szCs w:val="18"/>
          <w:rtl/>
        </w:rPr>
      </w:pPr>
      <w:r w:rsidRPr="00202530">
        <w:rPr>
          <w:rStyle w:val="af3"/>
        </w:rPr>
        <w:footnoteRef/>
      </w:r>
      <w:r w:rsidRPr="00202530">
        <w:rPr>
          <w:rtl/>
        </w:rPr>
        <w:t xml:space="preserve"> התחזית הוצגה לוועדה המוניטרית ב-</w:t>
      </w:r>
      <w:r>
        <w:rPr>
          <w:rFonts w:hint="cs"/>
          <w:rtl/>
        </w:rPr>
        <w:t>28</w:t>
      </w:r>
      <w:r w:rsidRPr="00202530">
        <w:rPr>
          <w:rtl/>
        </w:rPr>
        <w:t>/</w:t>
      </w:r>
      <w:r>
        <w:rPr>
          <w:rFonts w:hint="cs"/>
          <w:rtl/>
        </w:rPr>
        <w:t>9</w:t>
      </w:r>
      <w:r w:rsidRPr="00202530">
        <w:rPr>
          <w:rtl/>
        </w:rPr>
        <w:t>/2025, לקראת החלטת הריבית שהתקבלה ב-</w:t>
      </w:r>
      <w:r>
        <w:rPr>
          <w:rFonts w:hint="cs"/>
          <w:rtl/>
        </w:rPr>
        <w:t>29</w:t>
      </w:r>
      <w:r w:rsidRPr="00202530">
        <w:rPr>
          <w:rtl/>
        </w:rPr>
        <w:t>/</w:t>
      </w:r>
      <w:r>
        <w:rPr>
          <w:rFonts w:hint="cs"/>
          <w:rtl/>
        </w:rPr>
        <w:t>9</w:t>
      </w:r>
      <w:r w:rsidRPr="00202530">
        <w:rPr>
          <w:rtl/>
        </w:rPr>
        <w:t>/2025.</w:t>
      </w:r>
    </w:p>
  </w:footnote>
  <w:footnote w:id="2">
    <w:p w:rsidR="0096452E" w:rsidRDefault="0096452E" w:rsidP="0096452E">
      <w:pPr>
        <w:ind w:left="8"/>
        <w:jc w:val="both"/>
      </w:pPr>
      <w:r>
        <w:rPr>
          <w:rStyle w:val="af3"/>
        </w:rPr>
        <w:footnoteRef/>
      </w:r>
      <w:r>
        <w:rPr>
          <w:rFonts w:cs="Times New Roman"/>
          <w:rtl/>
        </w:rPr>
        <w:t xml:space="preserve"> </w:t>
      </w:r>
      <w:r>
        <w:rPr>
          <w:rFonts w:hint="cs"/>
          <w:rtl/>
        </w:rPr>
        <w:t>בימי מבצע</w:t>
      </w:r>
      <w:r>
        <w:rPr>
          <w:rtl/>
        </w:rPr>
        <w:t xml:space="preserve"> "עם כלביא" נרשמה אבטלה גבוהה במיוחד, אשר השפיעה על הממוצע השנתי (להערכתנו, ברבעון הרביעי שיעור האבטלה הרחבה </w:t>
      </w:r>
      <w:r>
        <w:rPr>
          <w:rFonts w:hint="cs"/>
          <w:rtl/>
        </w:rPr>
        <w:t xml:space="preserve">בקרב גילאי 64-25 </w:t>
      </w:r>
      <w:r>
        <w:rPr>
          <w:rtl/>
        </w:rPr>
        <w:t>יעמוד על 3%).</w:t>
      </w:r>
    </w:p>
  </w:footnote>
  <w:footnote w:id="3">
    <w:p w:rsidR="0096452E" w:rsidRPr="00EF60A0" w:rsidRDefault="0096452E" w:rsidP="0096452E">
      <w:pPr>
        <w:rPr>
          <w:rtl/>
        </w:rPr>
      </w:pPr>
      <w:r>
        <w:rPr>
          <w:rStyle w:val="af3"/>
        </w:rPr>
        <w:footnoteRef/>
      </w:r>
      <w:r>
        <w:rPr>
          <w:rtl/>
        </w:rPr>
        <w:t xml:space="preserve"> </w:t>
      </w:r>
      <w:r w:rsidRPr="00D22CD7">
        <w:rPr>
          <w:rFonts w:hint="cs"/>
          <w:rtl/>
        </w:rPr>
        <w:t>הערכות אלו התבססו על הגידול של ההוצאה הביטחונית בתקציב המדינה כתוצאה מהיציאה למבצעים "מרכבות גדעון א' " ו"עם כלביא" במהלך הרבעון השני לשנת 2025. עם זאת, מחירי הצריכה הציבורית היו גבוהים מהצפוי ולכן בחלוקת ההוצאה הביטחונית בין השקעה ביטחונית, צריכה שוטפת ריאלית ומחירים, ייחסנו משקל יתר לצריכה הציבורית הריאלית שהתבררה כנמוכה יותר בדיעבד.</w:t>
      </w:r>
    </w:p>
  </w:footnote>
  <w:footnote w:id="4">
    <w:p w:rsidR="0096452E" w:rsidRDefault="0096452E" w:rsidP="0096452E">
      <w:pPr>
        <w:pStyle w:val="af1"/>
        <w:rPr>
          <w:rtl/>
        </w:rPr>
      </w:pPr>
      <w:r>
        <w:rPr>
          <w:rStyle w:val="af3"/>
        </w:rPr>
        <w:footnoteRef/>
      </w:r>
      <w:r>
        <w:rPr>
          <w:rtl/>
        </w:rPr>
        <w:t xml:space="preserve"> </w:t>
      </w:r>
      <w:r w:rsidRPr="00D22CD7">
        <w:rPr>
          <w:rFonts w:hint="cs"/>
          <w:sz w:val="22"/>
          <w:szCs w:val="22"/>
          <w:rtl/>
        </w:rPr>
        <w:t>ככל שהכנסות אלה לא יתקבלו בשנת 2026, אנו מעריכים שהן יתקבלו בשנת 2027, ולכן השפעתן על רמת החוב הציבורי בטווח הבינוני לא תשתנה.</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E701312"/>
    <w:multiLevelType w:val="hybridMultilevel"/>
    <w:tmpl w:val="48600200"/>
    <w:lvl w:ilvl="0" w:tplc="359AAEBE">
      <w:start w:val="1"/>
      <w:numFmt w:val="hebrew1"/>
      <w:pStyle w:val="a"/>
      <w:lvlText w:val="%1."/>
      <w:lvlJc w:val="center"/>
      <w:pPr>
        <w:ind w:left="720" w:hanging="360"/>
      </w:pPr>
      <w:rPr>
        <w:rFonts w:asciiTheme="minorHAnsi" w:hAnsiTheme="minorHAnsi" w:cstheme="minorHAns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E15FE7"/>
    <w:multiLevelType w:val="hybridMultilevel"/>
    <w:tmpl w:val="706659AC"/>
    <w:lvl w:ilvl="0" w:tplc="838E7DF4">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5"/>
  </w:num>
  <w:num w:numId="6">
    <w:abstractNumId w:val="1"/>
  </w:num>
  <w:num w:numId="7">
    <w:abstractNumId w:val="12"/>
  </w:num>
  <w:num w:numId="8">
    <w:abstractNumId w:val="16"/>
  </w:num>
  <w:num w:numId="9">
    <w:abstractNumId w:val="17"/>
  </w:num>
  <w:num w:numId="10">
    <w:abstractNumId w:val="13"/>
  </w:num>
  <w:num w:numId="11">
    <w:abstractNumId w:val="10"/>
  </w:num>
  <w:num w:numId="12">
    <w:abstractNumId w:val="14"/>
  </w:num>
  <w:num w:numId="13">
    <w:abstractNumId w:val="8"/>
  </w:num>
  <w:num w:numId="14">
    <w:abstractNumId w:val="2"/>
  </w:num>
  <w:num w:numId="15">
    <w:abstractNumId w:val="15"/>
  </w:num>
  <w:num w:numId="16">
    <w:abstractNumId w:val="0"/>
  </w:num>
  <w:num w:numId="17">
    <w:abstractNumId w:val="11"/>
  </w:num>
  <w:num w:numId="1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trackedChange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1F87"/>
    <w:rsid w:val="00052F10"/>
    <w:rsid w:val="00054E73"/>
    <w:rsid w:val="00056420"/>
    <w:rsid w:val="00060928"/>
    <w:rsid w:val="00064D3C"/>
    <w:rsid w:val="0006606D"/>
    <w:rsid w:val="00066BDB"/>
    <w:rsid w:val="00067953"/>
    <w:rsid w:val="000706BA"/>
    <w:rsid w:val="00070B92"/>
    <w:rsid w:val="000718EE"/>
    <w:rsid w:val="00075AC0"/>
    <w:rsid w:val="0007674B"/>
    <w:rsid w:val="0007707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200F"/>
    <w:rsid w:val="00153235"/>
    <w:rsid w:val="001537BC"/>
    <w:rsid w:val="0015483F"/>
    <w:rsid w:val="00156E60"/>
    <w:rsid w:val="00157873"/>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14AEE"/>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3AED"/>
    <w:rsid w:val="00244686"/>
    <w:rsid w:val="002454AE"/>
    <w:rsid w:val="00245CA7"/>
    <w:rsid w:val="00245D31"/>
    <w:rsid w:val="00251589"/>
    <w:rsid w:val="00253EEE"/>
    <w:rsid w:val="00254496"/>
    <w:rsid w:val="00256327"/>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22C"/>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5439A"/>
    <w:rsid w:val="0036092C"/>
    <w:rsid w:val="00360A85"/>
    <w:rsid w:val="003612BC"/>
    <w:rsid w:val="0036176A"/>
    <w:rsid w:val="00363AF8"/>
    <w:rsid w:val="003645BD"/>
    <w:rsid w:val="00364F24"/>
    <w:rsid w:val="003650AF"/>
    <w:rsid w:val="00365995"/>
    <w:rsid w:val="00367272"/>
    <w:rsid w:val="0036733B"/>
    <w:rsid w:val="0036771D"/>
    <w:rsid w:val="00371131"/>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80BCE"/>
    <w:rsid w:val="004813D2"/>
    <w:rsid w:val="0048245F"/>
    <w:rsid w:val="00482E9C"/>
    <w:rsid w:val="004843DB"/>
    <w:rsid w:val="00490CD9"/>
    <w:rsid w:val="00491926"/>
    <w:rsid w:val="00492C50"/>
    <w:rsid w:val="00494949"/>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70"/>
    <w:rsid w:val="00532693"/>
    <w:rsid w:val="005326A1"/>
    <w:rsid w:val="00535ED0"/>
    <w:rsid w:val="005367FF"/>
    <w:rsid w:val="00536843"/>
    <w:rsid w:val="0053743C"/>
    <w:rsid w:val="00542A34"/>
    <w:rsid w:val="00542E3A"/>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1DE2"/>
    <w:rsid w:val="005D5659"/>
    <w:rsid w:val="005D7D47"/>
    <w:rsid w:val="005E09FF"/>
    <w:rsid w:val="005E0F7E"/>
    <w:rsid w:val="005E11D5"/>
    <w:rsid w:val="005E2116"/>
    <w:rsid w:val="005E344F"/>
    <w:rsid w:val="005E5C7E"/>
    <w:rsid w:val="005E670C"/>
    <w:rsid w:val="005F1C21"/>
    <w:rsid w:val="005F3BFA"/>
    <w:rsid w:val="005F5870"/>
    <w:rsid w:val="0060118D"/>
    <w:rsid w:val="00603182"/>
    <w:rsid w:val="00603F47"/>
    <w:rsid w:val="006056E2"/>
    <w:rsid w:val="0060746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4FB2"/>
    <w:rsid w:val="008755E3"/>
    <w:rsid w:val="008758DB"/>
    <w:rsid w:val="00876019"/>
    <w:rsid w:val="00876F94"/>
    <w:rsid w:val="00877746"/>
    <w:rsid w:val="00877B56"/>
    <w:rsid w:val="00881214"/>
    <w:rsid w:val="00881A07"/>
    <w:rsid w:val="00881A46"/>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7C6"/>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452E"/>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6A2"/>
    <w:rsid w:val="00A11890"/>
    <w:rsid w:val="00A11E73"/>
    <w:rsid w:val="00A1456A"/>
    <w:rsid w:val="00A14C14"/>
    <w:rsid w:val="00A1569A"/>
    <w:rsid w:val="00A16568"/>
    <w:rsid w:val="00A168EC"/>
    <w:rsid w:val="00A209EA"/>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0E30"/>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4983"/>
    <w:rsid w:val="00CA5F10"/>
    <w:rsid w:val="00CA7AF2"/>
    <w:rsid w:val="00CB1495"/>
    <w:rsid w:val="00CB1ECB"/>
    <w:rsid w:val="00CB479F"/>
    <w:rsid w:val="00CB5618"/>
    <w:rsid w:val="00CB5C75"/>
    <w:rsid w:val="00CB65B6"/>
    <w:rsid w:val="00CB6D81"/>
    <w:rsid w:val="00CB7BBB"/>
    <w:rsid w:val="00CC18ED"/>
    <w:rsid w:val="00CC51A2"/>
    <w:rsid w:val="00CC6E3B"/>
    <w:rsid w:val="00CC78A4"/>
    <w:rsid w:val="00CC7989"/>
    <w:rsid w:val="00CD1822"/>
    <w:rsid w:val="00CD1DFB"/>
    <w:rsid w:val="00CD2312"/>
    <w:rsid w:val="00CD3AFE"/>
    <w:rsid w:val="00CD4B9F"/>
    <w:rsid w:val="00CD4BE4"/>
    <w:rsid w:val="00CD5226"/>
    <w:rsid w:val="00CD5B2C"/>
    <w:rsid w:val="00CD5D4F"/>
    <w:rsid w:val="00CD6374"/>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948"/>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398"/>
    <w:rsid w:val="00DA0961"/>
    <w:rsid w:val="00DA1198"/>
    <w:rsid w:val="00DA2078"/>
    <w:rsid w:val="00DA4804"/>
    <w:rsid w:val="00DA540C"/>
    <w:rsid w:val="00DA5C6D"/>
    <w:rsid w:val="00DB0EE4"/>
    <w:rsid w:val="00DB1AEE"/>
    <w:rsid w:val="00DB2121"/>
    <w:rsid w:val="00DB3F4C"/>
    <w:rsid w:val="00DB4E4A"/>
    <w:rsid w:val="00DB6653"/>
    <w:rsid w:val="00DC138D"/>
    <w:rsid w:val="00DC16A7"/>
    <w:rsid w:val="00DC464E"/>
    <w:rsid w:val="00DC53A4"/>
    <w:rsid w:val="00DC6480"/>
    <w:rsid w:val="00DC6DE0"/>
    <w:rsid w:val="00DC6F14"/>
    <w:rsid w:val="00DD59E1"/>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989"/>
    <w:rsid w:val="00E15FB6"/>
    <w:rsid w:val="00E17F21"/>
    <w:rsid w:val="00E2102D"/>
    <w:rsid w:val="00E21733"/>
    <w:rsid w:val="00E21B62"/>
    <w:rsid w:val="00E21BBA"/>
    <w:rsid w:val="00E2634A"/>
    <w:rsid w:val="00E314DC"/>
    <w:rsid w:val="00E326F3"/>
    <w:rsid w:val="00E32CFE"/>
    <w:rsid w:val="00E33A1C"/>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2D8A"/>
    <w:rsid w:val="00EB3AA0"/>
    <w:rsid w:val="00EB43F7"/>
    <w:rsid w:val="00EB7F0D"/>
    <w:rsid w:val="00EC2054"/>
    <w:rsid w:val="00EC561F"/>
    <w:rsid w:val="00EC57DC"/>
    <w:rsid w:val="00EC628A"/>
    <w:rsid w:val="00ED01C3"/>
    <w:rsid w:val="00ED3320"/>
    <w:rsid w:val="00ED3873"/>
    <w:rsid w:val="00ED72B4"/>
    <w:rsid w:val="00EE28BA"/>
    <w:rsid w:val="00EE34E1"/>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97F2C"/>
    <w:rsid w:val="00FA429E"/>
    <w:rsid w:val="00FB748C"/>
    <w:rsid w:val="00FC1FBB"/>
    <w:rsid w:val="00FC2E50"/>
    <w:rsid w:val="00FC2F10"/>
    <w:rsid w:val="00FC75C5"/>
    <w:rsid w:val="00FD1E91"/>
    <w:rsid w:val="00FD2074"/>
    <w:rsid w:val="00FD52AB"/>
    <w:rsid w:val="00FD5926"/>
    <w:rsid w:val="00FD6A78"/>
    <w:rsid w:val="00FE1C1F"/>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6452E"/>
    <w:pPr>
      <w:bidi/>
    </w:pPr>
    <w:rPr>
      <w:rFonts w:ascii="Calibri" w:hAnsi="Calibri" w:cs="Calibri"/>
    </w:rPr>
  </w:style>
  <w:style w:type="paragraph" w:styleId="1">
    <w:name w:val="heading 1"/>
    <w:basedOn w:val="a0"/>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680703"/>
    <w:pPr>
      <w:spacing w:after="0" w:line="240" w:lineRule="auto"/>
    </w:pPr>
    <w:rPr>
      <w:rFonts w:ascii="Tahoma" w:hAnsi="Tahoma" w:cs="Tahoma"/>
      <w:sz w:val="16"/>
      <w:szCs w:val="16"/>
    </w:rPr>
  </w:style>
  <w:style w:type="character" w:customStyle="1" w:styleId="a5">
    <w:name w:val="טקסט בלונים תו"/>
    <w:basedOn w:val="a1"/>
    <w:link w:val="a4"/>
    <w:uiPriority w:val="99"/>
    <w:semiHidden/>
    <w:rsid w:val="00680703"/>
    <w:rPr>
      <w:rFonts w:ascii="Tahoma" w:hAnsi="Tahoma" w:cs="Tahoma"/>
      <w:sz w:val="16"/>
      <w:szCs w:val="16"/>
    </w:rPr>
  </w:style>
  <w:style w:type="paragraph" w:styleId="a6">
    <w:name w:val="List Paragraph"/>
    <w:basedOn w:val="a0"/>
    <w:link w:val="a7"/>
    <w:uiPriority w:val="34"/>
    <w:qFormat/>
    <w:rsid w:val="00167449"/>
    <w:pPr>
      <w:ind w:left="720"/>
      <w:contextualSpacing/>
    </w:pPr>
  </w:style>
  <w:style w:type="character" w:styleId="a8">
    <w:name w:val="annotation reference"/>
    <w:basedOn w:val="a1"/>
    <w:unhideWhenUsed/>
    <w:rsid w:val="00EB43F7"/>
    <w:rPr>
      <w:sz w:val="16"/>
      <w:szCs w:val="16"/>
    </w:rPr>
  </w:style>
  <w:style w:type="paragraph" w:styleId="a9">
    <w:name w:val="annotation text"/>
    <w:basedOn w:val="a0"/>
    <w:link w:val="aa"/>
    <w:unhideWhenUsed/>
    <w:rsid w:val="00EB43F7"/>
    <w:pPr>
      <w:spacing w:line="240" w:lineRule="auto"/>
    </w:pPr>
    <w:rPr>
      <w:sz w:val="20"/>
      <w:szCs w:val="20"/>
    </w:rPr>
  </w:style>
  <w:style w:type="character" w:customStyle="1" w:styleId="aa">
    <w:name w:val="טקסט הערה תו"/>
    <w:basedOn w:val="a1"/>
    <w:link w:val="a9"/>
    <w:rsid w:val="00EB43F7"/>
    <w:rPr>
      <w:sz w:val="20"/>
      <w:szCs w:val="20"/>
    </w:rPr>
  </w:style>
  <w:style w:type="paragraph" w:styleId="ab">
    <w:name w:val="annotation subject"/>
    <w:basedOn w:val="a9"/>
    <w:next w:val="a9"/>
    <w:link w:val="ac"/>
    <w:uiPriority w:val="99"/>
    <w:semiHidden/>
    <w:unhideWhenUsed/>
    <w:rsid w:val="00EB43F7"/>
    <w:rPr>
      <w:b/>
      <w:bCs/>
    </w:rPr>
  </w:style>
  <w:style w:type="character" w:customStyle="1" w:styleId="ac">
    <w:name w:val="נושא הערה תו"/>
    <w:basedOn w:val="aa"/>
    <w:link w:val="ab"/>
    <w:uiPriority w:val="99"/>
    <w:semiHidden/>
    <w:rsid w:val="00EB43F7"/>
    <w:rPr>
      <w:b/>
      <w:bCs/>
      <w:sz w:val="20"/>
      <w:szCs w:val="20"/>
    </w:rPr>
  </w:style>
  <w:style w:type="character" w:styleId="Hyperlink">
    <w:name w:val="Hyperlink"/>
    <w:basedOn w:val="a1"/>
    <w:uiPriority w:val="99"/>
    <w:unhideWhenUsed/>
    <w:rsid w:val="00242CED"/>
    <w:rPr>
      <w:color w:val="0000FF" w:themeColor="hyperlink"/>
      <w:u w:val="single"/>
    </w:rPr>
  </w:style>
  <w:style w:type="paragraph" w:styleId="ad">
    <w:name w:val="header"/>
    <w:basedOn w:val="a0"/>
    <w:link w:val="ae"/>
    <w:uiPriority w:val="99"/>
    <w:unhideWhenUsed/>
    <w:rsid w:val="008755E3"/>
    <w:pPr>
      <w:tabs>
        <w:tab w:val="center" w:pos="4153"/>
        <w:tab w:val="right" w:pos="8306"/>
      </w:tabs>
      <w:spacing w:after="0" w:line="240" w:lineRule="auto"/>
    </w:pPr>
  </w:style>
  <w:style w:type="character" w:customStyle="1" w:styleId="ae">
    <w:name w:val="כותרת עליונה תו"/>
    <w:basedOn w:val="a1"/>
    <w:link w:val="ad"/>
    <w:uiPriority w:val="99"/>
    <w:rsid w:val="008755E3"/>
  </w:style>
  <w:style w:type="paragraph" w:styleId="af">
    <w:name w:val="footer"/>
    <w:basedOn w:val="a0"/>
    <w:link w:val="af0"/>
    <w:uiPriority w:val="99"/>
    <w:unhideWhenUsed/>
    <w:rsid w:val="008755E3"/>
    <w:pPr>
      <w:tabs>
        <w:tab w:val="center" w:pos="4153"/>
        <w:tab w:val="right" w:pos="8306"/>
      </w:tabs>
      <w:spacing w:after="0" w:line="240" w:lineRule="auto"/>
    </w:pPr>
  </w:style>
  <w:style w:type="character" w:customStyle="1" w:styleId="af0">
    <w:name w:val="כותרת תחתונה תו"/>
    <w:basedOn w:val="a1"/>
    <w:link w:val="af"/>
    <w:uiPriority w:val="99"/>
    <w:rsid w:val="008755E3"/>
  </w:style>
  <w:style w:type="character" w:styleId="FollowedHyperlink">
    <w:name w:val="FollowedHyperlink"/>
    <w:basedOn w:val="a1"/>
    <w:uiPriority w:val="99"/>
    <w:semiHidden/>
    <w:unhideWhenUsed/>
    <w:rsid w:val="00AC5D5B"/>
    <w:rPr>
      <w:color w:val="800080" w:themeColor="followedHyperlink"/>
      <w:u w:val="single"/>
    </w:rPr>
  </w:style>
  <w:style w:type="paragraph" w:styleId="af1">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0"/>
    <w:link w:val="af2"/>
    <w:uiPriority w:val="99"/>
    <w:unhideWhenUsed/>
    <w:qFormat/>
    <w:rsid w:val="006E5D28"/>
    <w:pPr>
      <w:spacing w:after="0" w:line="240" w:lineRule="auto"/>
    </w:pPr>
    <w:rPr>
      <w:sz w:val="20"/>
      <w:szCs w:val="20"/>
    </w:rPr>
  </w:style>
  <w:style w:type="character" w:customStyle="1" w:styleId="af2">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1"/>
    <w:link w:val="af1"/>
    <w:uiPriority w:val="99"/>
    <w:rsid w:val="006E5D28"/>
    <w:rPr>
      <w:sz w:val="20"/>
      <w:szCs w:val="20"/>
    </w:rPr>
  </w:style>
  <w:style w:type="character" w:styleId="af3">
    <w:name w:val="footnote reference"/>
    <w:aliases w:val="Footnote Reference Superscript,Footnote symbol,Footnote Reference Number,Footnote Reference_LVL6,Footnote Reference_LVL61,Footnote Reference_LVL62,Footnote Reference_LVL63,Footnote Reference_LVL64,fr,SUPERS,EN Footnote Reference"/>
    <w:basedOn w:val="a1"/>
    <w:unhideWhenUsed/>
    <w:rsid w:val="006E5D28"/>
    <w:rPr>
      <w:vertAlign w:val="superscript"/>
    </w:rPr>
  </w:style>
  <w:style w:type="table" w:styleId="af4">
    <w:name w:val="Table Grid"/>
    <w:basedOn w:val="a2"/>
    <w:uiPriority w:val="5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A71B6D"/>
    <w:rPr>
      <w:color w:val="605E5C"/>
      <w:shd w:val="clear" w:color="auto" w:fill="E1DFDD"/>
    </w:rPr>
  </w:style>
  <w:style w:type="paragraph" w:styleId="af5">
    <w:name w:val="Revision"/>
    <w:hidden/>
    <w:uiPriority w:val="99"/>
    <w:semiHidden/>
    <w:rsid w:val="0074544F"/>
    <w:pPr>
      <w:spacing w:after="0" w:line="240" w:lineRule="auto"/>
    </w:pPr>
  </w:style>
  <w:style w:type="paragraph" w:styleId="NormalWeb">
    <w:name w:val="Normal (Web)"/>
    <w:basedOn w:val="a0"/>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פיסקת רשימה תו"/>
    <w:basedOn w:val="a1"/>
    <w:link w:val="a6"/>
    <w:uiPriority w:val="34"/>
    <w:locked/>
    <w:rsid w:val="00C95FE4"/>
  </w:style>
  <w:style w:type="character" w:styleId="af6">
    <w:name w:val="Strong"/>
    <w:basedOn w:val="a1"/>
    <w:uiPriority w:val="22"/>
    <w:qFormat/>
    <w:rsid w:val="00DC16A7"/>
    <w:rPr>
      <w:b/>
      <w:bCs/>
    </w:rPr>
  </w:style>
  <w:style w:type="character" w:customStyle="1" w:styleId="ui-provider">
    <w:name w:val="ui-provider"/>
    <w:basedOn w:val="a1"/>
    <w:rsid w:val="00CA1D8B"/>
  </w:style>
  <w:style w:type="character" w:customStyle="1" w:styleId="10">
    <w:name w:val="כותרת 1 תו"/>
    <w:basedOn w:val="a1"/>
    <w:link w:val="1"/>
    <w:uiPriority w:val="9"/>
    <w:rsid w:val="00482E9C"/>
    <w:rPr>
      <w:rFonts w:ascii="Times New Roman" w:eastAsia="Times New Roman" w:hAnsi="Times New Roman" w:cs="Times New Roman"/>
      <w:b/>
      <w:bCs/>
      <w:kern w:val="36"/>
      <w:sz w:val="48"/>
      <w:szCs w:val="48"/>
    </w:rPr>
  </w:style>
  <w:style w:type="paragraph" w:customStyle="1" w:styleId="af7">
    <w:name w:val="כותרת ראשית"/>
    <w:basedOn w:val="a0"/>
    <w:next w:val="a0"/>
    <w:link w:val="af8"/>
    <w:qFormat/>
    <w:rsid w:val="0096452E"/>
    <w:pPr>
      <w:spacing w:before="120" w:after="240" w:line="360" w:lineRule="auto"/>
      <w:ind w:left="23"/>
      <w:contextualSpacing/>
      <w:jc w:val="center"/>
      <w:outlineLvl w:val="0"/>
    </w:pPr>
    <w:rPr>
      <w:rFonts w:ascii="David" w:hAnsi="David" w:cs="David"/>
      <w:b/>
      <w:bCs/>
      <w:spacing w:val="5"/>
      <w:kern w:val="28"/>
      <w:sz w:val="28"/>
      <w:szCs w:val="28"/>
    </w:rPr>
  </w:style>
  <w:style w:type="paragraph" w:customStyle="1" w:styleId="a">
    <w:name w:val="כותרת משנה ממוספרת"/>
    <w:basedOn w:val="a0"/>
    <w:next w:val="a0"/>
    <w:link w:val="af9"/>
    <w:qFormat/>
    <w:rsid w:val="0096452E"/>
    <w:pPr>
      <w:keepNext/>
      <w:numPr>
        <w:numId w:val="18"/>
      </w:numPr>
      <w:spacing w:before="240" w:after="120" w:line="360" w:lineRule="auto"/>
      <w:contextualSpacing/>
      <w:jc w:val="both"/>
    </w:pPr>
    <w:rPr>
      <w:rFonts w:asciiTheme="minorHAnsi" w:eastAsiaTheme="minorEastAsia" w:hAnsiTheme="minorHAnsi" w:cstheme="minorHAnsi"/>
      <w:bCs/>
      <w:sz w:val="28"/>
      <w:szCs w:val="24"/>
    </w:rPr>
  </w:style>
  <w:style w:type="character" w:customStyle="1" w:styleId="af8">
    <w:name w:val="כותרת ראשית תו"/>
    <w:basedOn w:val="a1"/>
    <w:link w:val="af7"/>
    <w:rsid w:val="0096452E"/>
    <w:rPr>
      <w:rFonts w:ascii="David" w:hAnsi="David" w:cs="David"/>
      <w:b/>
      <w:bCs/>
      <w:spacing w:val="5"/>
      <w:kern w:val="28"/>
      <w:sz w:val="28"/>
      <w:szCs w:val="28"/>
    </w:rPr>
  </w:style>
  <w:style w:type="paragraph" w:customStyle="1" w:styleId="11">
    <w:name w:val="כותרת משנה רמה 1"/>
    <w:basedOn w:val="a0"/>
    <w:next w:val="a0"/>
    <w:link w:val="12"/>
    <w:qFormat/>
    <w:rsid w:val="0096452E"/>
    <w:pPr>
      <w:keepNext/>
      <w:spacing w:before="240" w:after="120" w:line="360" w:lineRule="auto"/>
      <w:ind w:left="23"/>
      <w:contextualSpacing/>
      <w:jc w:val="both"/>
      <w:outlineLvl w:val="0"/>
    </w:pPr>
    <w:rPr>
      <w:rFonts w:ascii="David" w:eastAsia="Calibri" w:hAnsi="David" w:cs="David"/>
      <w:b/>
      <w:bCs/>
      <w:sz w:val="24"/>
      <w:szCs w:val="24"/>
    </w:rPr>
  </w:style>
  <w:style w:type="character" w:customStyle="1" w:styleId="af9">
    <w:name w:val="כותרת משנה ממוספרת תו"/>
    <w:basedOn w:val="a1"/>
    <w:link w:val="a"/>
    <w:rsid w:val="0096452E"/>
    <w:rPr>
      <w:rFonts w:eastAsiaTheme="minorEastAsia" w:cstheme="minorHAnsi"/>
      <w:bCs/>
      <w:sz w:val="28"/>
      <w:szCs w:val="24"/>
    </w:rPr>
  </w:style>
  <w:style w:type="character" w:customStyle="1" w:styleId="12">
    <w:name w:val="כותרת משנה רמה 1 תו"/>
    <w:basedOn w:val="a1"/>
    <w:link w:val="11"/>
    <w:rsid w:val="0096452E"/>
    <w:rPr>
      <w:rFonts w:ascii="David" w:eastAsia="Calibri" w:hAnsi="David" w:cs="Davi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06ACB-2FD9-475C-ADCE-2D7128EDCE64}">
  <ds:schemaRefs>
    <ds:schemaRef ds:uri="http://schemas.microsoft.com/sharepoint/v3/contenttype/forms"/>
  </ds:schemaRefs>
</ds:datastoreItem>
</file>

<file path=customXml/itemProps2.xml><?xml version="1.0" encoding="utf-8"?>
<ds:datastoreItem xmlns:ds="http://schemas.openxmlformats.org/officeDocument/2006/customXml" ds:itemID="{DBFBCADE-083D-4AC3-A135-DB1B1A4E1AF6}">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6E2D6384-D868-4D7A-8DF9-80753EA30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B7DD11-F17A-4D36-AB28-6AC46595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1518</Words>
  <Characters>7595</Characters>
  <Application>Microsoft Office Word</Application>
  <DocSecurity>4</DocSecurity>
  <Lines>63</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2025-09-30T04:50:00Z</dcterms:created>
  <dcterms:modified xsi:type="dcterms:W3CDTF">2025-09-30T04:50:00Z</dcterms:modified>
</cp:coreProperties>
</file>