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202530" w:rsidTr="0029736D">
        <w:tc>
          <w:tcPr>
            <w:tcW w:w="3343" w:type="dxa"/>
            <w:tcBorders>
              <w:top w:val="nil"/>
              <w:left w:val="nil"/>
              <w:bottom w:val="nil"/>
              <w:right w:val="nil"/>
            </w:tcBorders>
            <w:vAlign w:val="center"/>
          </w:tcPr>
          <w:p w:rsidR="009005BA" w:rsidRPr="00202530" w:rsidRDefault="009005BA" w:rsidP="0029736D">
            <w:pPr>
              <w:rPr>
                <w:b/>
                <w:bCs/>
                <w:sz w:val="24"/>
                <w:szCs w:val="24"/>
                <w:rtl/>
              </w:rPr>
            </w:pPr>
            <w:r w:rsidRPr="00202530">
              <w:rPr>
                <w:b/>
                <w:bCs/>
                <w:sz w:val="24"/>
                <w:szCs w:val="24"/>
                <w:rtl/>
              </w:rPr>
              <w:t>בנק ישראל</w:t>
            </w:r>
          </w:p>
          <w:p w:rsidR="009005BA" w:rsidRPr="00202530" w:rsidRDefault="009005BA" w:rsidP="0029736D">
            <w:pPr>
              <w:rPr>
                <w:b/>
                <w:bCs/>
                <w:sz w:val="28"/>
                <w:szCs w:val="28"/>
              </w:rPr>
            </w:pPr>
            <w:r w:rsidRPr="00202530">
              <w:rPr>
                <w:rtl/>
              </w:rPr>
              <w:t>דוברות והסברה כלכלית</w:t>
            </w:r>
          </w:p>
        </w:tc>
        <w:tc>
          <w:tcPr>
            <w:tcW w:w="2596" w:type="dxa"/>
            <w:tcBorders>
              <w:top w:val="nil"/>
              <w:left w:val="nil"/>
              <w:bottom w:val="nil"/>
              <w:right w:val="nil"/>
            </w:tcBorders>
            <w:shd w:val="clear" w:color="auto" w:fill="FFFFFF"/>
          </w:tcPr>
          <w:p w:rsidR="009005BA" w:rsidRPr="00202530" w:rsidRDefault="009005BA" w:rsidP="0029736D">
            <w:pPr>
              <w:jc w:val="center"/>
            </w:pPr>
            <w:r w:rsidRPr="00202530">
              <w:rPr>
                <w:noProof/>
              </w:rPr>
              <w:drawing>
                <wp:anchor distT="0" distB="0" distL="114300" distR="114300" simplePos="0" relativeHeight="251659264" behindDoc="0" locked="0" layoutInCell="1" allowOverlap="1" wp14:anchorId="5C542762" wp14:editId="2377C3A7">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A1A7A" w:rsidRDefault="009005BA" w:rsidP="000A1A7A">
            <w:pPr>
              <w:jc w:val="right"/>
              <w:rPr>
                <w:rtl/>
              </w:rPr>
            </w:pPr>
            <w:r w:rsidRPr="00202530">
              <w:rPr>
                <w:highlight w:val="green"/>
                <w:rtl/>
              </w:rPr>
              <w:t>‏</w:t>
            </w:r>
            <w:r w:rsidRPr="00202530">
              <w:rPr>
                <w:rtl/>
              </w:rPr>
              <w:t>ירושלים</w:t>
            </w:r>
            <w:r w:rsidR="000A1A7A">
              <w:rPr>
                <w:rFonts w:hint="cs"/>
                <w:rtl/>
              </w:rPr>
              <w:t>, י"א תמוז, תשפ"ה</w:t>
            </w:r>
          </w:p>
          <w:p w:rsidR="009005BA" w:rsidRPr="00662BB8" w:rsidRDefault="000A1A7A" w:rsidP="00662BB8">
            <w:pPr>
              <w:jc w:val="right"/>
            </w:pPr>
            <w:r>
              <w:rPr>
                <w:rFonts w:hint="cs"/>
                <w:rtl/>
              </w:rPr>
              <w:t>7 יולי, 2025</w:t>
            </w:r>
          </w:p>
        </w:tc>
      </w:tr>
    </w:tbl>
    <w:p w:rsidR="009005BA" w:rsidRPr="00202530" w:rsidRDefault="009005BA" w:rsidP="007B0741">
      <w:pPr>
        <w:tabs>
          <w:tab w:val="left" w:pos="2315"/>
        </w:tabs>
        <w:rPr>
          <w:sz w:val="24"/>
          <w:szCs w:val="24"/>
          <w:rtl/>
        </w:rPr>
      </w:pPr>
    </w:p>
    <w:p w:rsidR="00D66255" w:rsidRDefault="008E761A" w:rsidP="009005BA">
      <w:pPr>
        <w:tabs>
          <w:tab w:val="left" w:pos="2315"/>
        </w:tabs>
        <w:rPr>
          <w:sz w:val="24"/>
          <w:szCs w:val="24"/>
          <w:rtl/>
        </w:rPr>
      </w:pPr>
      <w:r w:rsidRPr="00202530">
        <w:rPr>
          <w:sz w:val="24"/>
          <w:szCs w:val="24"/>
          <w:rtl/>
        </w:rPr>
        <w:t>הודעה לעיתונות:</w:t>
      </w:r>
    </w:p>
    <w:p w:rsidR="008A28D3" w:rsidRPr="008A28D3" w:rsidRDefault="008A28D3" w:rsidP="008A28D3">
      <w:pPr>
        <w:spacing w:after="0" w:line="240" w:lineRule="auto"/>
        <w:jc w:val="center"/>
        <w:rPr>
          <w:rFonts w:eastAsia="Times New Roman" w:cstheme="minorHAnsi"/>
          <w:b/>
          <w:bCs/>
          <w:sz w:val="28"/>
          <w:szCs w:val="28"/>
        </w:rPr>
      </w:pPr>
      <w:bookmarkStart w:id="0" w:name="_GoBack"/>
      <w:r w:rsidRPr="008A28D3">
        <w:rPr>
          <w:rFonts w:eastAsia="Times New Roman" w:cstheme="minorHAnsi" w:hint="cs"/>
          <w:b/>
          <w:bCs/>
          <w:sz w:val="28"/>
          <w:szCs w:val="28"/>
          <w:rtl/>
        </w:rPr>
        <w:t>הוועדה המוניטרית החליטה ב-7/7/2025 להותיר א</w:t>
      </w:r>
      <w:r>
        <w:rPr>
          <w:rFonts w:eastAsia="Times New Roman" w:cstheme="minorHAnsi" w:hint="cs"/>
          <w:b/>
          <w:bCs/>
          <w:sz w:val="28"/>
          <w:szCs w:val="28"/>
          <w:rtl/>
        </w:rPr>
        <w:t>ת הריבית ללא שינוי ברמה של 4.5%</w:t>
      </w:r>
    </w:p>
    <w:bookmarkEnd w:id="0"/>
    <w:p w:rsidR="008A28D3" w:rsidRPr="008A28D3" w:rsidRDefault="008A28D3" w:rsidP="009005BA">
      <w:pPr>
        <w:tabs>
          <w:tab w:val="left" w:pos="2315"/>
        </w:tabs>
        <w:rPr>
          <w:sz w:val="24"/>
          <w:szCs w:val="24"/>
          <w:rtl/>
        </w:rPr>
      </w:pPr>
    </w:p>
    <w:p w:rsidR="008A28D3" w:rsidRPr="00E31E72" w:rsidRDefault="008A28D3" w:rsidP="008A28D3">
      <w:pPr>
        <w:pStyle w:val="a6"/>
        <w:numPr>
          <w:ilvl w:val="0"/>
          <w:numId w:val="25"/>
        </w:numPr>
        <w:spacing w:after="0" w:line="360" w:lineRule="auto"/>
        <w:jc w:val="both"/>
        <w:rPr>
          <w:b/>
          <w:bCs/>
          <w:sz w:val="24"/>
          <w:szCs w:val="24"/>
          <w:rtl/>
        </w:rPr>
      </w:pPr>
      <w:r w:rsidRPr="00E31E72">
        <w:rPr>
          <w:b/>
          <w:bCs/>
          <w:sz w:val="24"/>
          <w:szCs w:val="24"/>
          <w:rtl/>
        </w:rPr>
        <w:t xml:space="preserve">הפעילות הכלכלית במשק מוסיפה להתאושש בקצב מתון על רקע </w:t>
      </w:r>
      <w:r>
        <w:rPr>
          <w:rFonts w:hint="cs"/>
          <w:b/>
          <w:bCs/>
          <w:sz w:val="24"/>
          <w:szCs w:val="24"/>
          <w:rtl/>
        </w:rPr>
        <w:t>ה</w:t>
      </w:r>
      <w:r w:rsidRPr="00E31E72">
        <w:rPr>
          <w:b/>
          <w:bCs/>
          <w:sz w:val="24"/>
          <w:szCs w:val="24"/>
          <w:rtl/>
        </w:rPr>
        <w:t>אי וודאות המקומית והגלובלית הגבוהה.</w:t>
      </w:r>
      <w:r>
        <w:rPr>
          <w:rFonts w:hint="cs"/>
          <w:b/>
          <w:bCs/>
          <w:sz w:val="24"/>
          <w:szCs w:val="24"/>
          <w:rtl/>
        </w:rPr>
        <w:t xml:space="preserve"> </w:t>
      </w:r>
      <w:r w:rsidRPr="00E31E72">
        <w:rPr>
          <w:b/>
          <w:bCs/>
          <w:sz w:val="24"/>
          <w:szCs w:val="24"/>
          <w:rtl/>
        </w:rPr>
        <w:t xml:space="preserve">המשק צמח ב-3.7% ברבעון הראשון, קרוב למגמת הצמיחה ארוכת הטווח. </w:t>
      </w:r>
      <w:r>
        <w:rPr>
          <w:rFonts w:hint="cs"/>
          <w:b/>
          <w:bCs/>
          <w:sz w:val="24"/>
          <w:szCs w:val="24"/>
          <w:rtl/>
        </w:rPr>
        <w:t>אך</w:t>
      </w:r>
      <w:r w:rsidRPr="00E31E72">
        <w:rPr>
          <w:b/>
          <w:bCs/>
          <w:sz w:val="24"/>
          <w:szCs w:val="24"/>
          <w:rtl/>
        </w:rPr>
        <w:t xml:space="preserve"> רמת הפעילות במשק נמוכה בכ-4% מקו מגמה זה</w:t>
      </w:r>
      <w:r>
        <w:rPr>
          <w:rFonts w:hint="cs"/>
          <w:b/>
          <w:bCs/>
          <w:sz w:val="24"/>
          <w:szCs w:val="24"/>
          <w:rtl/>
        </w:rPr>
        <w:t>.</w:t>
      </w:r>
    </w:p>
    <w:p w:rsidR="008A28D3" w:rsidRPr="00E31E72" w:rsidRDefault="008A28D3" w:rsidP="008A28D3">
      <w:pPr>
        <w:pStyle w:val="a6"/>
        <w:numPr>
          <w:ilvl w:val="0"/>
          <w:numId w:val="25"/>
        </w:numPr>
        <w:spacing w:after="0" w:line="360" w:lineRule="auto"/>
        <w:jc w:val="both"/>
        <w:rPr>
          <w:b/>
          <w:bCs/>
          <w:sz w:val="24"/>
          <w:szCs w:val="24"/>
        </w:rPr>
      </w:pPr>
      <w:r w:rsidRPr="00E31E72">
        <w:rPr>
          <w:b/>
          <w:bCs/>
          <w:sz w:val="24"/>
          <w:szCs w:val="24"/>
          <w:rtl/>
        </w:rPr>
        <w:t xml:space="preserve">קצב האינפלציה השנתי </w:t>
      </w:r>
      <w:r w:rsidRPr="00E31E72">
        <w:rPr>
          <w:rFonts w:hint="eastAsia"/>
          <w:b/>
          <w:bCs/>
          <w:sz w:val="24"/>
          <w:szCs w:val="24"/>
          <w:rtl/>
        </w:rPr>
        <w:t>ירד</w:t>
      </w:r>
      <w:r w:rsidRPr="00E31E72">
        <w:rPr>
          <w:b/>
          <w:bCs/>
          <w:sz w:val="24"/>
          <w:szCs w:val="24"/>
          <w:rtl/>
        </w:rPr>
        <w:t xml:space="preserve"> ל-3.1%, מעל לגבול העליון של היעד. </w:t>
      </w:r>
    </w:p>
    <w:p w:rsidR="008A28D3" w:rsidRPr="00E31E72" w:rsidRDefault="008A28D3" w:rsidP="008A28D3">
      <w:pPr>
        <w:pStyle w:val="a6"/>
        <w:numPr>
          <w:ilvl w:val="0"/>
          <w:numId w:val="25"/>
        </w:numPr>
        <w:spacing w:after="0" w:line="360" w:lineRule="auto"/>
        <w:jc w:val="both"/>
        <w:rPr>
          <w:b/>
          <w:bCs/>
          <w:sz w:val="24"/>
          <w:szCs w:val="24"/>
          <w:rtl/>
        </w:rPr>
      </w:pPr>
      <w:r w:rsidRPr="00E31E72">
        <w:rPr>
          <w:b/>
          <w:bCs/>
          <w:sz w:val="24"/>
          <w:szCs w:val="24"/>
          <w:rtl/>
        </w:rPr>
        <w:t>שוק העבודה עודנו הדוק. היחס בין מספר המשרות הפנויות למובטלים עדיין נמצא ברמה גבוהה.</w:t>
      </w:r>
    </w:p>
    <w:p w:rsidR="008A28D3" w:rsidRPr="00E31E72" w:rsidRDefault="008A28D3" w:rsidP="008A28D3">
      <w:pPr>
        <w:pStyle w:val="a6"/>
        <w:numPr>
          <w:ilvl w:val="0"/>
          <w:numId w:val="25"/>
        </w:numPr>
        <w:spacing w:after="0" w:line="360" w:lineRule="auto"/>
        <w:rPr>
          <w:b/>
          <w:bCs/>
          <w:sz w:val="24"/>
          <w:szCs w:val="24"/>
          <w:rtl/>
        </w:rPr>
      </w:pPr>
      <w:r w:rsidRPr="00E31E72">
        <w:rPr>
          <w:b/>
          <w:bCs/>
          <w:sz w:val="24"/>
          <w:szCs w:val="24"/>
          <w:rtl/>
        </w:rPr>
        <w:t>הפעילות בענף הבינוי התמתנה ברביע הראשון של השנה אך נותרה ברמה גבוהה.</w:t>
      </w:r>
      <w:r w:rsidRPr="00E31E72">
        <w:rPr>
          <w:rtl/>
        </w:rPr>
        <w:t xml:space="preserve"> </w:t>
      </w:r>
    </w:p>
    <w:p w:rsidR="008A28D3" w:rsidRPr="00E31E72" w:rsidRDefault="008A28D3" w:rsidP="008A28D3">
      <w:pPr>
        <w:pStyle w:val="a6"/>
        <w:numPr>
          <w:ilvl w:val="0"/>
          <w:numId w:val="25"/>
        </w:numPr>
        <w:spacing w:after="0" w:line="360" w:lineRule="auto"/>
        <w:jc w:val="both"/>
        <w:rPr>
          <w:b/>
          <w:bCs/>
          <w:sz w:val="24"/>
          <w:szCs w:val="24"/>
        </w:rPr>
      </w:pPr>
      <w:r w:rsidRPr="00E31E72">
        <w:rPr>
          <w:b/>
          <w:bCs/>
          <w:sz w:val="24"/>
          <w:szCs w:val="24"/>
          <w:rtl/>
        </w:rPr>
        <w:t xml:space="preserve">מאז החלטת הריבית האחרונה, נרשם ייסוף חד בשיעור של כ-7.3% בערכו של השקל מול הדולר ו-3.8% מול האירו. במונחים נומינליים אפקטיביים יוסף השקל ב-6.1%. </w:t>
      </w:r>
    </w:p>
    <w:p w:rsidR="008A28D3" w:rsidRPr="00E31E72" w:rsidRDefault="008A28D3" w:rsidP="008A28D3">
      <w:pPr>
        <w:pStyle w:val="a6"/>
        <w:numPr>
          <w:ilvl w:val="0"/>
          <w:numId w:val="25"/>
        </w:numPr>
        <w:spacing w:after="0" w:line="360" w:lineRule="auto"/>
        <w:jc w:val="both"/>
        <w:rPr>
          <w:b/>
          <w:bCs/>
          <w:sz w:val="24"/>
          <w:szCs w:val="24"/>
        </w:rPr>
      </w:pPr>
      <w:r w:rsidRPr="00E31E72">
        <w:rPr>
          <w:b/>
          <w:bCs/>
          <w:sz w:val="24"/>
          <w:szCs w:val="24"/>
          <w:rtl/>
        </w:rPr>
        <w:t>פרמיית הסיכון של ישראל, כפי שבאה לידי ביטוי במרווח ה-</w:t>
      </w:r>
      <w:r w:rsidRPr="00E31E72">
        <w:rPr>
          <w:b/>
          <w:bCs/>
          <w:sz w:val="24"/>
          <w:szCs w:val="24"/>
        </w:rPr>
        <w:t>CDS</w:t>
      </w:r>
      <w:r w:rsidRPr="00E31E72">
        <w:rPr>
          <w:b/>
          <w:bCs/>
          <w:sz w:val="24"/>
          <w:szCs w:val="24"/>
          <w:rtl/>
        </w:rPr>
        <w:t xml:space="preserve"> ובמרווח הדולרי מול אג"ח של ממשלת ארה"ב ירדה באופן משמעותי, אך עדיין גבוהה מרמתה טרם מלחמת "חרבות ברזל". </w:t>
      </w:r>
    </w:p>
    <w:p w:rsidR="008A28D3" w:rsidRDefault="008A28D3" w:rsidP="008A28D3">
      <w:pPr>
        <w:pStyle w:val="a6"/>
        <w:numPr>
          <w:ilvl w:val="0"/>
          <w:numId w:val="25"/>
        </w:numPr>
        <w:spacing w:after="0" w:line="360" w:lineRule="auto"/>
        <w:jc w:val="both"/>
        <w:rPr>
          <w:b/>
          <w:bCs/>
          <w:sz w:val="24"/>
          <w:szCs w:val="24"/>
        </w:rPr>
      </w:pPr>
      <w:r w:rsidRPr="00E31E72">
        <w:rPr>
          <w:b/>
          <w:bCs/>
          <w:sz w:val="24"/>
          <w:szCs w:val="24"/>
          <w:rtl/>
        </w:rPr>
        <w:t>תחזית חטיבת המחקר מעריכה כי בתרחיש הבסיס התוצר צפוי לצמוח ב-3.3% וב-4.6</w:t>
      </w:r>
      <w:r>
        <w:rPr>
          <w:rFonts w:hint="cs"/>
          <w:b/>
          <w:bCs/>
          <w:sz w:val="24"/>
          <w:szCs w:val="24"/>
          <w:rtl/>
        </w:rPr>
        <w:t>%</w:t>
      </w:r>
      <w:r w:rsidRPr="00E31E72">
        <w:rPr>
          <w:b/>
          <w:bCs/>
          <w:sz w:val="24"/>
          <w:szCs w:val="24"/>
          <w:rtl/>
        </w:rPr>
        <w:t xml:space="preserve"> בשנים 2025 ו-2026 בהתאמה. יחס החוב לתוצר צפוי לעמוד על כ-70 אחוזי</w:t>
      </w:r>
      <w:r>
        <w:rPr>
          <w:rFonts w:hint="cs"/>
          <w:b/>
          <w:bCs/>
          <w:sz w:val="24"/>
          <w:szCs w:val="24"/>
          <w:rtl/>
        </w:rPr>
        <w:t>ם</w:t>
      </w:r>
      <w:r w:rsidRPr="00E31E72">
        <w:rPr>
          <w:b/>
          <w:bCs/>
          <w:sz w:val="24"/>
          <w:szCs w:val="24"/>
          <w:rtl/>
        </w:rPr>
        <w:t xml:space="preserve"> בסוף 2025 ועל כ-71 אחוזי</w:t>
      </w:r>
      <w:r>
        <w:rPr>
          <w:rFonts w:hint="cs"/>
          <w:b/>
          <w:bCs/>
          <w:sz w:val="24"/>
          <w:szCs w:val="24"/>
          <w:rtl/>
        </w:rPr>
        <w:t>ם</w:t>
      </w:r>
      <w:r w:rsidRPr="00E31E72">
        <w:rPr>
          <w:b/>
          <w:bCs/>
          <w:sz w:val="24"/>
          <w:szCs w:val="24"/>
          <w:rtl/>
        </w:rPr>
        <w:t xml:space="preserve"> ב-2026. </w:t>
      </w:r>
    </w:p>
    <w:p w:rsidR="008A28D3" w:rsidRPr="00E31E72" w:rsidRDefault="008A28D3" w:rsidP="008A28D3">
      <w:pPr>
        <w:pStyle w:val="a6"/>
        <w:spacing w:after="0" w:line="360" w:lineRule="auto"/>
        <w:jc w:val="both"/>
        <w:rPr>
          <w:b/>
          <w:bCs/>
          <w:sz w:val="24"/>
          <w:szCs w:val="24"/>
        </w:rPr>
      </w:pPr>
    </w:p>
    <w:p w:rsidR="008A28D3" w:rsidRPr="00E31E72" w:rsidRDefault="008A28D3" w:rsidP="008A28D3">
      <w:pPr>
        <w:spacing w:after="0" w:line="360" w:lineRule="auto"/>
        <w:jc w:val="both"/>
        <w:rPr>
          <w:b/>
          <w:bCs/>
          <w:sz w:val="24"/>
          <w:szCs w:val="24"/>
          <w:rtl/>
        </w:rPr>
      </w:pPr>
      <w:r w:rsidRPr="00E31E72">
        <w:rPr>
          <w:sz w:val="24"/>
          <w:szCs w:val="24"/>
          <w:rtl/>
        </w:rPr>
        <w:t xml:space="preserve"> </w:t>
      </w:r>
      <w:r w:rsidRPr="00001B23">
        <w:rPr>
          <w:b/>
          <w:bCs/>
          <w:sz w:val="24"/>
          <w:szCs w:val="24"/>
          <w:rtl/>
        </w:rPr>
        <w:t xml:space="preserve">על רקע אי </w:t>
      </w:r>
      <w:r>
        <w:rPr>
          <w:rFonts w:hint="cs"/>
          <w:b/>
          <w:bCs/>
          <w:sz w:val="24"/>
          <w:szCs w:val="24"/>
          <w:rtl/>
        </w:rPr>
        <w:t>ה</w:t>
      </w:r>
      <w:r w:rsidRPr="00001B23">
        <w:rPr>
          <w:b/>
          <w:bCs/>
          <w:sz w:val="24"/>
          <w:szCs w:val="24"/>
          <w:rtl/>
        </w:rPr>
        <w:t>ודאות הגיאופוליטית</w:t>
      </w:r>
      <w:r w:rsidRPr="00111F82">
        <w:rPr>
          <w:b/>
          <w:bCs/>
          <w:sz w:val="24"/>
          <w:szCs w:val="24"/>
          <w:rtl/>
        </w:rPr>
        <w:t>, תוואי הריבית ייקב</w:t>
      </w:r>
      <w:r w:rsidRPr="00E31E72">
        <w:rPr>
          <w:b/>
          <w:bCs/>
          <w:sz w:val="24"/>
          <w:szCs w:val="24"/>
          <w:rtl/>
        </w:rPr>
        <w:t>ע בהתאם להתכנסות האינפלציה ליעדה, היציבות בשווקים הפיננסיים, הפעילות הכלכלית והמדיניות הפיסקלית.</w:t>
      </w:r>
    </w:p>
    <w:p w:rsidR="008A28D3" w:rsidRPr="00E31E72" w:rsidRDefault="008A28D3" w:rsidP="008A28D3">
      <w:pPr>
        <w:spacing w:after="0" w:line="360" w:lineRule="auto"/>
        <w:jc w:val="both"/>
        <w:rPr>
          <w:sz w:val="24"/>
          <w:szCs w:val="24"/>
          <w:rtl/>
        </w:rPr>
      </w:pPr>
    </w:p>
    <w:p w:rsidR="008A28D3" w:rsidRPr="00E31E72" w:rsidRDefault="008A28D3" w:rsidP="008A28D3">
      <w:pPr>
        <w:spacing w:after="0" w:line="360" w:lineRule="auto"/>
        <w:jc w:val="both"/>
        <w:rPr>
          <w:sz w:val="24"/>
          <w:szCs w:val="24"/>
          <w:rtl/>
        </w:rPr>
      </w:pPr>
      <w:r w:rsidRPr="00E31E72">
        <w:rPr>
          <w:rFonts w:hint="eastAsia"/>
          <w:sz w:val="24"/>
          <w:szCs w:val="24"/>
          <w:rtl/>
        </w:rPr>
        <w:t>הפעילות</w:t>
      </w:r>
      <w:r w:rsidRPr="00E31E72">
        <w:rPr>
          <w:sz w:val="24"/>
          <w:szCs w:val="24"/>
          <w:rtl/>
        </w:rPr>
        <w:t xml:space="preserve"> </w:t>
      </w:r>
      <w:r w:rsidRPr="00E31E72">
        <w:rPr>
          <w:rFonts w:hint="eastAsia"/>
          <w:sz w:val="24"/>
          <w:szCs w:val="24"/>
          <w:rtl/>
        </w:rPr>
        <w:t>הכלכלית</w:t>
      </w:r>
      <w:r w:rsidRPr="00E31E72">
        <w:rPr>
          <w:sz w:val="24"/>
          <w:szCs w:val="24"/>
          <w:rtl/>
        </w:rPr>
        <w:t xml:space="preserve"> </w:t>
      </w:r>
      <w:r w:rsidRPr="00E31E72">
        <w:rPr>
          <w:rFonts w:hint="eastAsia"/>
          <w:sz w:val="24"/>
          <w:szCs w:val="24"/>
          <w:rtl/>
        </w:rPr>
        <w:t>ב</w:t>
      </w:r>
      <w:r w:rsidRPr="00E31E72">
        <w:rPr>
          <w:sz w:val="24"/>
          <w:szCs w:val="24"/>
          <w:rtl/>
        </w:rPr>
        <w:t xml:space="preserve">משק </w:t>
      </w:r>
      <w:r w:rsidRPr="00E31E72">
        <w:rPr>
          <w:rFonts w:hint="eastAsia"/>
          <w:sz w:val="24"/>
          <w:szCs w:val="24"/>
          <w:rtl/>
        </w:rPr>
        <w:t>מוסיפה</w:t>
      </w:r>
      <w:r w:rsidRPr="00E31E72">
        <w:rPr>
          <w:sz w:val="24"/>
          <w:szCs w:val="24"/>
          <w:rtl/>
        </w:rPr>
        <w:t xml:space="preserve"> להתאושש </w:t>
      </w:r>
      <w:r w:rsidRPr="00E31E72">
        <w:rPr>
          <w:rFonts w:hint="eastAsia"/>
          <w:sz w:val="24"/>
          <w:szCs w:val="24"/>
          <w:rtl/>
        </w:rPr>
        <w:t>בקצב</w:t>
      </w:r>
      <w:r w:rsidRPr="00E31E72">
        <w:rPr>
          <w:sz w:val="24"/>
          <w:szCs w:val="24"/>
          <w:rtl/>
        </w:rPr>
        <w:t xml:space="preserve"> </w:t>
      </w:r>
      <w:r w:rsidRPr="00E31E72">
        <w:rPr>
          <w:rFonts w:hint="eastAsia"/>
          <w:sz w:val="24"/>
          <w:szCs w:val="24"/>
          <w:rtl/>
        </w:rPr>
        <w:t>מתון</w:t>
      </w:r>
      <w:r w:rsidRPr="00E31E72">
        <w:rPr>
          <w:sz w:val="24"/>
          <w:szCs w:val="24"/>
          <w:rtl/>
        </w:rPr>
        <w:t xml:space="preserve"> על רקע </w:t>
      </w:r>
      <w:r>
        <w:rPr>
          <w:rFonts w:hint="cs"/>
          <w:sz w:val="24"/>
          <w:szCs w:val="24"/>
          <w:rtl/>
        </w:rPr>
        <w:t>ה</w:t>
      </w:r>
      <w:r w:rsidRPr="00E31E72">
        <w:rPr>
          <w:rFonts w:hint="eastAsia"/>
          <w:sz w:val="24"/>
          <w:szCs w:val="24"/>
          <w:rtl/>
        </w:rPr>
        <w:t>אי</w:t>
      </w:r>
      <w:r w:rsidRPr="00E31E72">
        <w:rPr>
          <w:sz w:val="24"/>
          <w:szCs w:val="24"/>
          <w:rtl/>
        </w:rPr>
        <w:t xml:space="preserve"> </w:t>
      </w:r>
      <w:r w:rsidRPr="00E31E72">
        <w:rPr>
          <w:rFonts w:hint="eastAsia"/>
          <w:sz w:val="24"/>
          <w:szCs w:val="24"/>
          <w:rtl/>
        </w:rPr>
        <w:t>ודאות</w:t>
      </w:r>
      <w:r w:rsidRPr="00E31E72">
        <w:rPr>
          <w:sz w:val="24"/>
          <w:szCs w:val="24"/>
          <w:rtl/>
        </w:rPr>
        <w:t xml:space="preserve"> </w:t>
      </w:r>
      <w:r w:rsidRPr="00E31E72">
        <w:rPr>
          <w:rFonts w:hint="eastAsia"/>
          <w:sz w:val="24"/>
          <w:szCs w:val="24"/>
          <w:rtl/>
        </w:rPr>
        <w:t>המקומית</w:t>
      </w:r>
      <w:r w:rsidRPr="00E31E72">
        <w:rPr>
          <w:sz w:val="24"/>
          <w:szCs w:val="24"/>
          <w:rtl/>
        </w:rPr>
        <w:t xml:space="preserve"> </w:t>
      </w:r>
      <w:r w:rsidRPr="00E31E72">
        <w:rPr>
          <w:rFonts w:hint="eastAsia"/>
          <w:sz w:val="24"/>
          <w:szCs w:val="24"/>
          <w:rtl/>
        </w:rPr>
        <w:t>והגלובלית</w:t>
      </w:r>
      <w:r w:rsidRPr="00E31E72">
        <w:rPr>
          <w:sz w:val="24"/>
          <w:szCs w:val="24"/>
          <w:rtl/>
        </w:rPr>
        <w:t xml:space="preserve"> הגבוהה. האינפלציה השנתי</w:t>
      </w:r>
      <w:r w:rsidRPr="00E31E72">
        <w:rPr>
          <w:rFonts w:hint="eastAsia"/>
          <w:sz w:val="24"/>
          <w:szCs w:val="24"/>
          <w:rtl/>
        </w:rPr>
        <w:t>ת</w:t>
      </w:r>
      <w:r w:rsidRPr="00E31E72">
        <w:rPr>
          <w:sz w:val="24"/>
          <w:szCs w:val="24"/>
          <w:rtl/>
        </w:rPr>
        <w:t xml:space="preserve"> </w:t>
      </w:r>
      <w:r w:rsidRPr="00E31E72">
        <w:rPr>
          <w:rFonts w:hint="eastAsia"/>
          <w:sz w:val="24"/>
          <w:szCs w:val="24"/>
          <w:rtl/>
        </w:rPr>
        <w:t>התמתנה</w:t>
      </w:r>
      <w:r w:rsidRPr="00E31E72">
        <w:rPr>
          <w:sz w:val="24"/>
          <w:szCs w:val="24"/>
          <w:rtl/>
        </w:rPr>
        <w:t xml:space="preserve">, </w:t>
      </w:r>
      <w:r w:rsidRPr="00E31E72">
        <w:rPr>
          <w:rFonts w:hint="eastAsia"/>
          <w:sz w:val="24"/>
          <w:szCs w:val="24"/>
          <w:rtl/>
        </w:rPr>
        <w:t>אך</w:t>
      </w:r>
      <w:r w:rsidRPr="00E31E72">
        <w:rPr>
          <w:sz w:val="24"/>
          <w:szCs w:val="24"/>
          <w:rtl/>
        </w:rPr>
        <w:t xml:space="preserve"> </w:t>
      </w:r>
      <w:r w:rsidRPr="00E31E72">
        <w:rPr>
          <w:rFonts w:hint="eastAsia"/>
          <w:sz w:val="24"/>
          <w:szCs w:val="24"/>
          <w:rtl/>
        </w:rPr>
        <w:t>נמצאת</w:t>
      </w:r>
      <w:r w:rsidRPr="00E31E72">
        <w:rPr>
          <w:sz w:val="24"/>
          <w:szCs w:val="24"/>
          <w:rtl/>
        </w:rPr>
        <w:t xml:space="preserve"> </w:t>
      </w:r>
      <w:r w:rsidRPr="00E31E72">
        <w:rPr>
          <w:rFonts w:hint="eastAsia"/>
          <w:sz w:val="24"/>
          <w:szCs w:val="24"/>
          <w:rtl/>
        </w:rPr>
        <w:t>מעל</w:t>
      </w:r>
      <w:r w:rsidRPr="00E31E72">
        <w:rPr>
          <w:sz w:val="24"/>
          <w:szCs w:val="24"/>
          <w:rtl/>
        </w:rPr>
        <w:t xml:space="preserve"> לגבול העליון של היעד. בעקבות מבצע "עם כלביא" פרמיית הסיכון של ישראל, ירדה </w:t>
      </w:r>
      <w:r>
        <w:rPr>
          <w:rFonts w:hint="cs"/>
          <w:sz w:val="24"/>
          <w:szCs w:val="24"/>
          <w:rtl/>
        </w:rPr>
        <w:t xml:space="preserve">באופן משמעותי </w:t>
      </w:r>
      <w:r w:rsidRPr="00E31E72">
        <w:rPr>
          <w:sz w:val="24"/>
          <w:szCs w:val="24"/>
          <w:rtl/>
        </w:rPr>
        <w:t xml:space="preserve">אך נותרה גבוהה </w:t>
      </w:r>
      <w:r w:rsidRPr="00E31E72">
        <w:rPr>
          <w:rFonts w:hint="eastAsia"/>
          <w:sz w:val="24"/>
          <w:szCs w:val="24"/>
          <w:rtl/>
        </w:rPr>
        <w:t>בהשוואה</w:t>
      </w:r>
      <w:r w:rsidRPr="00E31E72">
        <w:rPr>
          <w:sz w:val="24"/>
          <w:szCs w:val="24"/>
          <w:rtl/>
        </w:rPr>
        <w:t xml:space="preserve"> לרמתה ערב מלחמ</w:t>
      </w:r>
      <w:r w:rsidRPr="00E31E72">
        <w:rPr>
          <w:rFonts w:hint="eastAsia"/>
          <w:sz w:val="24"/>
          <w:szCs w:val="24"/>
          <w:rtl/>
        </w:rPr>
        <w:t>ת</w:t>
      </w:r>
      <w:r w:rsidRPr="00E31E72">
        <w:rPr>
          <w:sz w:val="24"/>
          <w:szCs w:val="24"/>
          <w:rtl/>
        </w:rPr>
        <w:t xml:space="preserve"> "חרבות </w:t>
      </w:r>
      <w:r w:rsidRPr="00E31E72">
        <w:rPr>
          <w:rFonts w:hint="eastAsia"/>
          <w:sz w:val="24"/>
          <w:szCs w:val="24"/>
          <w:rtl/>
        </w:rPr>
        <w:t>ברזל</w:t>
      </w:r>
      <w:r w:rsidRPr="00E31E72">
        <w:rPr>
          <w:sz w:val="24"/>
          <w:szCs w:val="24"/>
          <w:rtl/>
        </w:rPr>
        <w:t xml:space="preserve">", מדדי המניות המקומיים עלו באופן בולט, תשואות האג"ח הממשלתיות ירדו </w:t>
      </w:r>
      <w:r w:rsidRPr="00E31E72">
        <w:rPr>
          <w:rFonts w:hint="eastAsia"/>
          <w:sz w:val="24"/>
          <w:szCs w:val="24"/>
          <w:rtl/>
        </w:rPr>
        <w:t>בחדות</w:t>
      </w:r>
      <w:r w:rsidRPr="00E31E72">
        <w:rPr>
          <w:sz w:val="24"/>
          <w:szCs w:val="24"/>
          <w:rtl/>
        </w:rPr>
        <w:t xml:space="preserve"> והשקל התחזק באופן ניכר. </w:t>
      </w:r>
    </w:p>
    <w:p w:rsidR="008A28D3" w:rsidRPr="00E31E72" w:rsidRDefault="008A28D3" w:rsidP="008A28D3">
      <w:pPr>
        <w:spacing w:after="0" w:line="360" w:lineRule="auto"/>
        <w:jc w:val="both"/>
        <w:rPr>
          <w:sz w:val="24"/>
          <w:szCs w:val="24"/>
          <w:rtl/>
        </w:rPr>
      </w:pPr>
      <w:r w:rsidRPr="00E31E72">
        <w:rPr>
          <w:sz w:val="24"/>
          <w:szCs w:val="24"/>
          <w:rtl/>
        </w:rPr>
        <w:t xml:space="preserve">מדד המחירים לצרכן </w:t>
      </w:r>
      <w:r w:rsidRPr="00E31E72">
        <w:rPr>
          <w:rFonts w:hint="cs"/>
          <w:sz w:val="24"/>
          <w:szCs w:val="24"/>
          <w:rtl/>
        </w:rPr>
        <w:t>ירד בחודש מאי ב</w:t>
      </w:r>
      <w:r w:rsidRPr="00E31E72">
        <w:rPr>
          <w:sz w:val="24"/>
          <w:szCs w:val="24"/>
          <w:rtl/>
        </w:rPr>
        <w:t xml:space="preserve">-0.3%, </w:t>
      </w:r>
      <w:r w:rsidRPr="00E31E72">
        <w:rPr>
          <w:rFonts w:hint="eastAsia"/>
          <w:sz w:val="24"/>
          <w:szCs w:val="24"/>
          <w:rtl/>
        </w:rPr>
        <w:t>ו</w:t>
      </w:r>
      <w:r w:rsidRPr="00E31E72">
        <w:rPr>
          <w:sz w:val="24"/>
          <w:szCs w:val="24"/>
          <w:rtl/>
        </w:rPr>
        <w:t xml:space="preserve">קצב האינפלציה השנתי </w:t>
      </w:r>
      <w:r w:rsidRPr="00E31E72">
        <w:rPr>
          <w:rFonts w:hint="eastAsia"/>
          <w:sz w:val="24"/>
          <w:szCs w:val="24"/>
          <w:rtl/>
        </w:rPr>
        <w:t>ירד</w:t>
      </w:r>
      <w:r w:rsidRPr="00E31E72">
        <w:rPr>
          <w:sz w:val="24"/>
          <w:szCs w:val="24"/>
          <w:rtl/>
        </w:rPr>
        <w:t xml:space="preserve"> ל-3.1%, </w:t>
      </w:r>
      <w:r w:rsidRPr="00E31E72">
        <w:rPr>
          <w:rFonts w:hint="eastAsia"/>
          <w:sz w:val="24"/>
          <w:szCs w:val="24"/>
          <w:rtl/>
        </w:rPr>
        <w:t>מעט</w:t>
      </w:r>
      <w:r w:rsidRPr="00E31E72">
        <w:rPr>
          <w:sz w:val="24"/>
          <w:szCs w:val="24"/>
          <w:rtl/>
        </w:rPr>
        <w:t xml:space="preserve"> </w:t>
      </w:r>
      <w:r w:rsidRPr="00E31E72">
        <w:rPr>
          <w:rFonts w:hint="eastAsia"/>
          <w:sz w:val="24"/>
          <w:szCs w:val="24"/>
          <w:rtl/>
        </w:rPr>
        <w:t>מעל</w:t>
      </w:r>
      <w:r w:rsidRPr="00E31E72">
        <w:rPr>
          <w:sz w:val="24"/>
          <w:szCs w:val="24"/>
          <w:rtl/>
        </w:rPr>
        <w:t xml:space="preserve"> לגבול העליון של היעד </w:t>
      </w:r>
      <w:r w:rsidRPr="00E31E72">
        <w:rPr>
          <w:b/>
          <w:bCs/>
          <w:sz w:val="24"/>
          <w:szCs w:val="24"/>
          <w:rtl/>
        </w:rPr>
        <w:t>(איור 1).</w:t>
      </w:r>
      <w:r w:rsidRPr="00E31E72">
        <w:rPr>
          <w:sz w:val="24"/>
          <w:szCs w:val="24"/>
          <w:rtl/>
        </w:rPr>
        <w:t xml:space="preserve"> </w:t>
      </w:r>
      <w:r w:rsidRPr="00E31E72">
        <w:rPr>
          <w:rFonts w:hint="eastAsia"/>
          <w:sz w:val="24"/>
          <w:szCs w:val="24"/>
          <w:rtl/>
        </w:rPr>
        <w:t>האינפלציה</w:t>
      </w:r>
      <w:r w:rsidRPr="00E31E72">
        <w:rPr>
          <w:sz w:val="24"/>
          <w:szCs w:val="24"/>
          <w:rtl/>
        </w:rPr>
        <w:t xml:space="preserve"> בחודשים האחרונים מתאפיינת בתנודתיות </w:t>
      </w:r>
      <w:r w:rsidRPr="00E31E72">
        <w:rPr>
          <w:rFonts w:hint="eastAsia"/>
          <w:sz w:val="24"/>
          <w:szCs w:val="24"/>
          <w:rtl/>
        </w:rPr>
        <w:t>ואי</w:t>
      </w:r>
      <w:r w:rsidRPr="00E31E72">
        <w:rPr>
          <w:sz w:val="24"/>
          <w:szCs w:val="24"/>
          <w:rtl/>
        </w:rPr>
        <w:t xml:space="preserve"> ודאות </w:t>
      </w:r>
      <w:r w:rsidRPr="00E31E72">
        <w:rPr>
          <w:rFonts w:hint="eastAsia"/>
          <w:sz w:val="24"/>
          <w:szCs w:val="24"/>
          <w:rtl/>
        </w:rPr>
        <w:t>גבוהות</w:t>
      </w:r>
      <w:r w:rsidRPr="00E31E72">
        <w:rPr>
          <w:sz w:val="24"/>
          <w:szCs w:val="24"/>
          <w:rtl/>
        </w:rPr>
        <w:t xml:space="preserve">. בניכוי אנרגיה ופו"י </w:t>
      </w:r>
      <w:r w:rsidRPr="00E31E72">
        <w:rPr>
          <w:rFonts w:hint="eastAsia"/>
          <w:sz w:val="24"/>
          <w:szCs w:val="24"/>
          <w:rtl/>
        </w:rPr>
        <w:t>השיעור</w:t>
      </w:r>
      <w:r w:rsidRPr="00E31E72">
        <w:rPr>
          <w:sz w:val="24"/>
          <w:szCs w:val="24"/>
          <w:rtl/>
        </w:rPr>
        <w:t xml:space="preserve"> השנתי של האינפלציה עמד על 3.5%, מעל הגבול העליון של היעד </w:t>
      </w:r>
      <w:r w:rsidRPr="00E31E72">
        <w:rPr>
          <w:b/>
          <w:bCs/>
          <w:sz w:val="24"/>
          <w:szCs w:val="24"/>
          <w:rtl/>
        </w:rPr>
        <w:t xml:space="preserve">(איור 2). </w:t>
      </w:r>
      <w:r w:rsidRPr="00E31E72">
        <w:rPr>
          <w:rFonts w:hint="eastAsia"/>
          <w:sz w:val="24"/>
          <w:szCs w:val="24"/>
          <w:rtl/>
        </w:rPr>
        <w:t>קצב</w:t>
      </w:r>
      <w:r w:rsidRPr="00E31E72">
        <w:rPr>
          <w:sz w:val="24"/>
          <w:szCs w:val="24"/>
          <w:rtl/>
        </w:rPr>
        <w:t xml:space="preserve"> </w:t>
      </w:r>
      <w:r w:rsidRPr="00E31E72">
        <w:rPr>
          <w:rFonts w:hint="eastAsia"/>
          <w:sz w:val="24"/>
          <w:szCs w:val="24"/>
          <w:rtl/>
        </w:rPr>
        <w:t>ה</w:t>
      </w:r>
      <w:r w:rsidRPr="00E31E72">
        <w:rPr>
          <w:sz w:val="24"/>
          <w:szCs w:val="24"/>
          <w:rtl/>
        </w:rPr>
        <w:t xml:space="preserve">אינפלציה השנתי </w:t>
      </w:r>
      <w:r w:rsidRPr="00E31E72">
        <w:rPr>
          <w:rFonts w:hint="eastAsia"/>
          <w:sz w:val="24"/>
          <w:szCs w:val="24"/>
          <w:rtl/>
        </w:rPr>
        <w:t>במאי</w:t>
      </w:r>
      <w:r w:rsidRPr="00E31E72">
        <w:rPr>
          <w:sz w:val="24"/>
          <w:szCs w:val="24"/>
          <w:rtl/>
        </w:rPr>
        <w:t xml:space="preserve"> </w:t>
      </w:r>
      <w:r w:rsidRPr="00E31E72">
        <w:rPr>
          <w:rFonts w:hint="eastAsia"/>
          <w:sz w:val="24"/>
          <w:szCs w:val="24"/>
          <w:rtl/>
        </w:rPr>
        <w:t>מ</w:t>
      </w:r>
      <w:r w:rsidRPr="00E31E72">
        <w:rPr>
          <w:sz w:val="24"/>
          <w:szCs w:val="24"/>
          <w:rtl/>
        </w:rPr>
        <w:t>שק</w:t>
      </w:r>
      <w:r w:rsidRPr="00E31E72">
        <w:rPr>
          <w:rFonts w:hint="eastAsia"/>
          <w:sz w:val="24"/>
          <w:szCs w:val="24"/>
          <w:rtl/>
        </w:rPr>
        <w:t>ף</w:t>
      </w:r>
      <w:r w:rsidRPr="00E31E72">
        <w:rPr>
          <w:sz w:val="24"/>
          <w:szCs w:val="24"/>
          <w:rtl/>
        </w:rPr>
        <w:t xml:space="preserve"> </w:t>
      </w:r>
      <w:r w:rsidRPr="00E31E72">
        <w:rPr>
          <w:rFonts w:hint="eastAsia"/>
          <w:sz w:val="24"/>
          <w:szCs w:val="24"/>
          <w:rtl/>
        </w:rPr>
        <w:t>ירידה</w:t>
      </w:r>
      <w:r w:rsidRPr="00E31E72">
        <w:rPr>
          <w:sz w:val="24"/>
          <w:szCs w:val="24"/>
          <w:rtl/>
        </w:rPr>
        <w:t xml:space="preserve"> בשיעור האינפלציה של </w:t>
      </w:r>
      <w:r w:rsidRPr="00E31E72">
        <w:rPr>
          <w:rFonts w:hint="eastAsia"/>
          <w:sz w:val="24"/>
          <w:szCs w:val="24"/>
          <w:rtl/>
        </w:rPr>
        <w:t>הרכיבים</w:t>
      </w:r>
      <w:r w:rsidRPr="00E31E72">
        <w:rPr>
          <w:sz w:val="24"/>
          <w:szCs w:val="24"/>
          <w:rtl/>
        </w:rPr>
        <w:t xml:space="preserve"> </w:t>
      </w:r>
      <w:r w:rsidRPr="00E31E72">
        <w:rPr>
          <w:rFonts w:hint="eastAsia"/>
          <w:sz w:val="24"/>
          <w:szCs w:val="24"/>
          <w:rtl/>
        </w:rPr>
        <w:t>הסחירים</w:t>
      </w:r>
      <w:r w:rsidRPr="00E31E72">
        <w:rPr>
          <w:sz w:val="24"/>
          <w:szCs w:val="24"/>
          <w:rtl/>
        </w:rPr>
        <w:t xml:space="preserve"> לרמה של 1.5% </w:t>
      </w:r>
      <w:r w:rsidRPr="00E31E72">
        <w:rPr>
          <w:rFonts w:hint="eastAsia"/>
          <w:sz w:val="24"/>
          <w:szCs w:val="24"/>
          <w:rtl/>
        </w:rPr>
        <w:t>ויציבות</w:t>
      </w:r>
      <w:r w:rsidRPr="00E31E72">
        <w:rPr>
          <w:sz w:val="24"/>
          <w:szCs w:val="24"/>
          <w:rtl/>
        </w:rPr>
        <w:t xml:space="preserve"> </w:t>
      </w:r>
      <w:r w:rsidRPr="00E31E72">
        <w:rPr>
          <w:rFonts w:hint="eastAsia"/>
          <w:sz w:val="24"/>
          <w:szCs w:val="24"/>
          <w:rtl/>
        </w:rPr>
        <w:t>יחסית</w:t>
      </w:r>
      <w:r w:rsidRPr="00E31E72">
        <w:rPr>
          <w:sz w:val="24"/>
          <w:szCs w:val="24"/>
          <w:rtl/>
        </w:rPr>
        <w:t xml:space="preserve"> ברמה גבוהה של 3.9% </w:t>
      </w:r>
      <w:r w:rsidRPr="00E31E72">
        <w:rPr>
          <w:rFonts w:hint="eastAsia"/>
          <w:sz w:val="24"/>
          <w:szCs w:val="24"/>
          <w:rtl/>
        </w:rPr>
        <w:t>ברכיבים</w:t>
      </w:r>
      <w:r w:rsidRPr="00E31E72">
        <w:rPr>
          <w:sz w:val="24"/>
          <w:szCs w:val="24"/>
          <w:rtl/>
        </w:rPr>
        <w:t xml:space="preserve"> </w:t>
      </w:r>
      <w:r w:rsidRPr="00E31E72">
        <w:rPr>
          <w:sz w:val="24"/>
          <w:szCs w:val="24"/>
          <w:rtl/>
        </w:rPr>
        <w:lastRenderedPageBreak/>
        <w:t xml:space="preserve">הבלתי-סחירים </w:t>
      </w:r>
      <w:r w:rsidRPr="00E31E72">
        <w:rPr>
          <w:b/>
          <w:bCs/>
          <w:sz w:val="24"/>
          <w:szCs w:val="24"/>
          <w:rtl/>
        </w:rPr>
        <w:t xml:space="preserve">(איור </w:t>
      </w:r>
      <w:r w:rsidRPr="00E31E72">
        <w:rPr>
          <w:rFonts w:hint="cs"/>
          <w:b/>
          <w:bCs/>
          <w:sz w:val="24"/>
          <w:szCs w:val="24"/>
          <w:rtl/>
        </w:rPr>
        <w:t>3</w:t>
      </w:r>
      <w:r w:rsidRPr="00E31E72">
        <w:rPr>
          <w:b/>
          <w:bCs/>
          <w:sz w:val="24"/>
          <w:szCs w:val="24"/>
          <w:rtl/>
        </w:rPr>
        <w:t>).</w:t>
      </w:r>
      <w:r w:rsidRPr="00E31E72">
        <w:rPr>
          <w:rFonts w:hint="cs"/>
          <w:sz w:val="24"/>
          <w:szCs w:val="24"/>
          <w:rtl/>
        </w:rPr>
        <w:t xml:space="preserve"> ה</w:t>
      </w:r>
      <w:r w:rsidRPr="00E31E72">
        <w:rPr>
          <w:sz w:val="24"/>
          <w:szCs w:val="24"/>
          <w:rtl/>
        </w:rPr>
        <w:t xml:space="preserve">חזאים צופים </w:t>
      </w:r>
      <w:r w:rsidRPr="00E31E72">
        <w:rPr>
          <w:rFonts w:hint="cs"/>
          <w:sz w:val="24"/>
          <w:szCs w:val="24"/>
          <w:rtl/>
        </w:rPr>
        <w:t>שהאינפלציה תתכנס</w:t>
      </w:r>
      <w:r w:rsidRPr="00E31E72">
        <w:rPr>
          <w:sz w:val="24"/>
          <w:szCs w:val="24"/>
          <w:rtl/>
        </w:rPr>
        <w:t xml:space="preserve"> לתחום היעד</w:t>
      </w:r>
      <w:r w:rsidRPr="00E31E72">
        <w:rPr>
          <w:rFonts w:hint="cs"/>
          <w:sz w:val="24"/>
          <w:szCs w:val="24"/>
          <w:rtl/>
        </w:rPr>
        <w:t xml:space="preserve"> בחודשים הקרובים</w:t>
      </w:r>
      <w:r w:rsidRPr="00E31E72">
        <w:rPr>
          <w:sz w:val="24"/>
          <w:szCs w:val="24"/>
          <w:rtl/>
        </w:rPr>
        <w:t xml:space="preserve"> </w:t>
      </w:r>
      <w:r w:rsidRPr="00E31E72">
        <w:rPr>
          <w:b/>
          <w:bCs/>
          <w:sz w:val="24"/>
          <w:szCs w:val="24"/>
          <w:rtl/>
        </w:rPr>
        <w:t xml:space="preserve">(איור </w:t>
      </w:r>
      <w:r w:rsidRPr="00E31E72">
        <w:rPr>
          <w:rFonts w:hint="cs"/>
          <w:b/>
          <w:bCs/>
          <w:sz w:val="24"/>
          <w:szCs w:val="24"/>
          <w:rtl/>
        </w:rPr>
        <w:t>5</w:t>
      </w:r>
      <w:r w:rsidRPr="00E31E72">
        <w:rPr>
          <w:b/>
          <w:bCs/>
          <w:sz w:val="24"/>
          <w:szCs w:val="24"/>
          <w:rtl/>
        </w:rPr>
        <w:t xml:space="preserve">). </w:t>
      </w:r>
      <w:r w:rsidRPr="00E31E72">
        <w:rPr>
          <w:sz w:val="24"/>
          <w:szCs w:val="24"/>
          <w:rtl/>
        </w:rPr>
        <w:t xml:space="preserve">הציפיות לאינפלציה </w:t>
      </w:r>
      <w:r w:rsidRPr="00E31E72">
        <w:rPr>
          <w:rFonts w:hint="eastAsia"/>
          <w:sz w:val="24"/>
          <w:szCs w:val="24"/>
          <w:rtl/>
        </w:rPr>
        <w:t>ל</w:t>
      </w:r>
      <w:r w:rsidRPr="00E31E72">
        <w:rPr>
          <w:sz w:val="24"/>
          <w:szCs w:val="24"/>
          <w:rtl/>
        </w:rPr>
        <w:t xml:space="preserve">שנה קדימה מהמקורות השונים נמצאות </w:t>
      </w:r>
      <w:r w:rsidRPr="00E31E72">
        <w:rPr>
          <w:rFonts w:hint="eastAsia"/>
          <w:sz w:val="24"/>
          <w:szCs w:val="24"/>
          <w:rtl/>
        </w:rPr>
        <w:t>סביב</w:t>
      </w:r>
      <w:r w:rsidRPr="00E31E72">
        <w:rPr>
          <w:sz w:val="24"/>
          <w:szCs w:val="24"/>
          <w:rtl/>
        </w:rPr>
        <w:t xml:space="preserve"> </w:t>
      </w:r>
      <w:r w:rsidRPr="00E31E72">
        <w:rPr>
          <w:rFonts w:hint="eastAsia"/>
          <w:sz w:val="24"/>
          <w:szCs w:val="24"/>
          <w:rtl/>
        </w:rPr>
        <w:t>מרכז</w:t>
      </w:r>
      <w:r w:rsidRPr="00E31E72">
        <w:rPr>
          <w:sz w:val="24"/>
          <w:szCs w:val="24"/>
          <w:rtl/>
        </w:rPr>
        <w:t xml:space="preserve"> תחום היעד </w:t>
      </w:r>
      <w:r w:rsidRPr="00E31E72">
        <w:rPr>
          <w:b/>
          <w:bCs/>
          <w:sz w:val="24"/>
          <w:szCs w:val="24"/>
          <w:rtl/>
        </w:rPr>
        <w:t>(איור 6)</w:t>
      </w:r>
      <w:r w:rsidRPr="00E31E72">
        <w:rPr>
          <w:sz w:val="24"/>
          <w:szCs w:val="24"/>
          <w:rtl/>
        </w:rPr>
        <w:t>.</w:t>
      </w:r>
      <w:r w:rsidRPr="00E31E72">
        <w:rPr>
          <w:b/>
          <w:bCs/>
          <w:sz w:val="24"/>
          <w:szCs w:val="24"/>
          <w:rtl/>
        </w:rPr>
        <w:t xml:space="preserve"> </w:t>
      </w:r>
      <w:r w:rsidRPr="00E31E72">
        <w:rPr>
          <w:sz w:val="24"/>
          <w:szCs w:val="24"/>
          <w:rtl/>
        </w:rPr>
        <w:t xml:space="preserve">הציפיות לשנה השנייה ואילך מוסיפות לשהות </w:t>
      </w:r>
      <w:r w:rsidRPr="00E31E72">
        <w:rPr>
          <w:rFonts w:hint="eastAsia"/>
          <w:sz w:val="24"/>
          <w:szCs w:val="24"/>
          <w:rtl/>
        </w:rPr>
        <w:t>גם</w:t>
      </w:r>
      <w:r w:rsidRPr="00E31E72">
        <w:rPr>
          <w:sz w:val="24"/>
          <w:szCs w:val="24"/>
          <w:rtl/>
        </w:rPr>
        <w:t xml:space="preserve"> הן בקרבת מרכז היעד</w:t>
      </w:r>
      <w:r w:rsidRPr="00E31E72" w:rsidDel="00F51B6D">
        <w:rPr>
          <w:sz w:val="24"/>
          <w:szCs w:val="24"/>
          <w:rtl/>
        </w:rPr>
        <w:t xml:space="preserve"> </w:t>
      </w:r>
      <w:r w:rsidRPr="00E31E72">
        <w:rPr>
          <w:b/>
          <w:bCs/>
          <w:sz w:val="24"/>
          <w:szCs w:val="24"/>
          <w:rtl/>
        </w:rPr>
        <w:t>(איור 7).</w:t>
      </w:r>
      <w:r w:rsidRPr="00E31E72">
        <w:rPr>
          <w:sz w:val="24"/>
          <w:szCs w:val="24"/>
          <w:rtl/>
        </w:rPr>
        <w:t xml:space="preserve"> </w:t>
      </w:r>
    </w:p>
    <w:p w:rsidR="008A28D3" w:rsidRPr="00E31E72" w:rsidRDefault="008A28D3" w:rsidP="008A28D3">
      <w:pPr>
        <w:spacing w:after="0" w:line="360" w:lineRule="auto"/>
        <w:jc w:val="both"/>
        <w:rPr>
          <w:sz w:val="24"/>
          <w:szCs w:val="24"/>
          <w:rtl/>
        </w:rPr>
      </w:pPr>
      <w:r w:rsidRPr="00001B23">
        <w:rPr>
          <w:sz w:val="24"/>
          <w:szCs w:val="24"/>
          <w:rtl/>
        </w:rPr>
        <w:t>להערכת הו</w:t>
      </w:r>
      <w:r w:rsidRPr="00001B23">
        <w:rPr>
          <w:rFonts w:hint="eastAsia"/>
          <w:sz w:val="24"/>
          <w:szCs w:val="24"/>
          <w:rtl/>
        </w:rPr>
        <w:t>ו</w:t>
      </w:r>
      <w:r w:rsidRPr="00001B23">
        <w:rPr>
          <w:sz w:val="24"/>
          <w:szCs w:val="24"/>
          <w:rtl/>
        </w:rPr>
        <w:t xml:space="preserve">עדה קיימים מספר סיכונים להאצה אפשרית באינפלציה או לאי התכנסותה ליעד: ההתפתחויות הגיאופוליטיות והשפעותיהן על הפעילות במשק, </w:t>
      </w:r>
      <w:r w:rsidRPr="00001B23">
        <w:rPr>
          <w:rFonts w:hint="eastAsia"/>
          <w:sz w:val="24"/>
          <w:szCs w:val="24"/>
          <w:rtl/>
        </w:rPr>
        <w:t>עלייה</w:t>
      </w:r>
      <w:r w:rsidRPr="00001B23">
        <w:rPr>
          <w:sz w:val="24"/>
          <w:szCs w:val="24"/>
          <w:rtl/>
        </w:rPr>
        <w:t xml:space="preserve"> בביקושים לצד </w:t>
      </w:r>
      <w:r w:rsidRPr="00001B23">
        <w:rPr>
          <w:rFonts w:hint="eastAsia"/>
          <w:sz w:val="24"/>
          <w:szCs w:val="24"/>
          <w:rtl/>
        </w:rPr>
        <w:t>מגבלות</w:t>
      </w:r>
      <w:r w:rsidRPr="00001B23">
        <w:rPr>
          <w:sz w:val="24"/>
          <w:szCs w:val="24"/>
          <w:rtl/>
        </w:rPr>
        <w:t xml:space="preserve"> </w:t>
      </w:r>
      <w:r w:rsidRPr="00001B23">
        <w:rPr>
          <w:rFonts w:hint="eastAsia"/>
          <w:sz w:val="24"/>
          <w:szCs w:val="24"/>
          <w:rtl/>
        </w:rPr>
        <w:t>היצע</w:t>
      </w:r>
      <w:r w:rsidRPr="00001B23">
        <w:rPr>
          <w:sz w:val="24"/>
          <w:szCs w:val="24"/>
          <w:rtl/>
        </w:rPr>
        <w:t xml:space="preserve"> </w:t>
      </w:r>
      <w:r w:rsidRPr="00001B23">
        <w:rPr>
          <w:rFonts w:hint="eastAsia"/>
          <w:sz w:val="24"/>
          <w:szCs w:val="24"/>
          <w:rtl/>
        </w:rPr>
        <w:t>ו</w:t>
      </w:r>
      <w:r w:rsidRPr="00001B23">
        <w:rPr>
          <w:sz w:val="24"/>
          <w:szCs w:val="24"/>
          <w:rtl/>
        </w:rPr>
        <w:t>הרעה בתנאי הסחר העולמיים.</w:t>
      </w:r>
    </w:p>
    <w:p w:rsidR="008A28D3" w:rsidRPr="00E31E72" w:rsidRDefault="008A28D3" w:rsidP="008A28D3">
      <w:pPr>
        <w:spacing w:before="240" w:line="360" w:lineRule="auto"/>
        <w:jc w:val="both"/>
        <w:rPr>
          <w:sz w:val="24"/>
          <w:szCs w:val="24"/>
          <w:rtl/>
        </w:rPr>
      </w:pPr>
      <w:r w:rsidRPr="00E31E72">
        <w:rPr>
          <w:sz w:val="24"/>
          <w:szCs w:val="24"/>
          <w:rtl/>
        </w:rPr>
        <w:t xml:space="preserve">מאז החלטת הריבית האחרונה, נרשם ייסוף </w:t>
      </w:r>
      <w:r w:rsidRPr="00E31E72">
        <w:rPr>
          <w:rFonts w:hint="eastAsia"/>
          <w:sz w:val="24"/>
          <w:szCs w:val="24"/>
          <w:rtl/>
        </w:rPr>
        <w:t>חד</w:t>
      </w:r>
      <w:r w:rsidRPr="00E31E72">
        <w:rPr>
          <w:sz w:val="24"/>
          <w:szCs w:val="24"/>
          <w:rtl/>
        </w:rPr>
        <w:t xml:space="preserve"> בשיעור של כ-7.3% בערכו של השקל מול הדולר ו-3.8% מול האירו. במונחים נומינליים אפקטיביים יוסף השקל ב-6.1%</w:t>
      </w:r>
      <w:r w:rsidRPr="00E31E72">
        <w:rPr>
          <w:sz w:val="24"/>
          <w:szCs w:val="24"/>
        </w:rPr>
        <w:t>.</w:t>
      </w:r>
      <w:r w:rsidRPr="00E31E72">
        <w:rPr>
          <w:sz w:val="24"/>
          <w:szCs w:val="24"/>
          <w:rtl/>
        </w:rPr>
        <w:t xml:space="preserve"> </w:t>
      </w:r>
    </w:p>
    <w:p w:rsidR="008A28D3" w:rsidRPr="00E31E72" w:rsidRDefault="008A28D3" w:rsidP="008A28D3">
      <w:pPr>
        <w:spacing w:line="360" w:lineRule="auto"/>
        <w:jc w:val="both"/>
        <w:rPr>
          <w:sz w:val="24"/>
          <w:szCs w:val="24"/>
          <w:rtl/>
        </w:rPr>
      </w:pPr>
      <w:r w:rsidRPr="00E31E72">
        <w:rPr>
          <w:sz w:val="24"/>
          <w:szCs w:val="24"/>
          <w:rtl/>
        </w:rPr>
        <w:t xml:space="preserve">חטיבת המחקר עדכנה את התחזית המקרו-כלכלית שלה. </w:t>
      </w:r>
      <w:r w:rsidRPr="007869FC">
        <w:rPr>
          <w:sz w:val="24"/>
          <w:szCs w:val="24"/>
          <w:rtl/>
        </w:rPr>
        <w:t xml:space="preserve">באשר ללחימה בעזה, התחזית גובשה תחת ההנחה שההסכם הנידון כעת להפסקת אש בעזה יביא לכך שבאופק התחזית, החל מחודש יולי, לא תהיה בעזה לחימה עצימה. </w:t>
      </w:r>
      <w:r w:rsidRPr="00E31E72">
        <w:rPr>
          <w:rFonts w:hint="eastAsia"/>
          <w:sz w:val="24"/>
          <w:szCs w:val="24"/>
          <w:rtl/>
        </w:rPr>
        <w:t>התחזית</w:t>
      </w:r>
      <w:r w:rsidRPr="00E31E72">
        <w:rPr>
          <w:sz w:val="24"/>
          <w:szCs w:val="24"/>
          <w:rtl/>
        </w:rPr>
        <w:t xml:space="preserve"> </w:t>
      </w:r>
      <w:r w:rsidRPr="00E31E72">
        <w:rPr>
          <w:rFonts w:hint="eastAsia"/>
          <w:sz w:val="24"/>
          <w:szCs w:val="24"/>
          <w:rtl/>
        </w:rPr>
        <w:t>גם</w:t>
      </w:r>
      <w:r w:rsidRPr="00E31E72">
        <w:rPr>
          <w:sz w:val="24"/>
          <w:szCs w:val="24"/>
          <w:rtl/>
        </w:rPr>
        <w:t xml:space="preserve"> </w:t>
      </w:r>
      <w:r w:rsidRPr="00E31E72">
        <w:rPr>
          <w:rFonts w:hint="eastAsia"/>
          <w:sz w:val="24"/>
          <w:szCs w:val="24"/>
          <w:rtl/>
        </w:rPr>
        <w:t>מניחה</w:t>
      </w:r>
      <w:r w:rsidRPr="00E31E72">
        <w:rPr>
          <w:sz w:val="24"/>
          <w:szCs w:val="24"/>
          <w:rtl/>
        </w:rPr>
        <w:t xml:space="preserve"> </w:t>
      </w:r>
      <w:r w:rsidRPr="00E31E72">
        <w:rPr>
          <w:rFonts w:hint="eastAsia"/>
          <w:sz w:val="24"/>
          <w:szCs w:val="24"/>
          <w:rtl/>
        </w:rPr>
        <w:t>שהפסקת</w:t>
      </w:r>
      <w:r w:rsidRPr="00E31E72">
        <w:rPr>
          <w:sz w:val="24"/>
          <w:szCs w:val="24"/>
          <w:rtl/>
        </w:rPr>
        <w:t xml:space="preserve"> </w:t>
      </w:r>
      <w:r w:rsidRPr="00E31E72">
        <w:rPr>
          <w:rFonts w:hint="eastAsia"/>
          <w:sz w:val="24"/>
          <w:szCs w:val="24"/>
          <w:rtl/>
        </w:rPr>
        <w:t>האש</w:t>
      </w:r>
      <w:r w:rsidRPr="00E31E72">
        <w:rPr>
          <w:sz w:val="24"/>
          <w:szCs w:val="24"/>
          <w:rtl/>
        </w:rPr>
        <w:t xml:space="preserve"> </w:t>
      </w:r>
      <w:r w:rsidRPr="00E31E72">
        <w:rPr>
          <w:rFonts w:hint="eastAsia"/>
          <w:sz w:val="24"/>
          <w:szCs w:val="24"/>
          <w:rtl/>
        </w:rPr>
        <w:t>עם</w:t>
      </w:r>
      <w:r w:rsidRPr="00E31E72">
        <w:rPr>
          <w:sz w:val="24"/>
          <w:szCs w:val="24"/>
          <w:rtl/>
        </w:rPr>
        <w:t xml:space="preserve"> </w:t>
      </w:r>
      <w:r w:rsidRPr="00E31E72">
        <w:rPr>
          <w:rFonts w:hint="eastAsia"/>
          <w:sz w:val="24"/>
          <w:szCs w:val="24"/>
          <w:rtl/>
        </w:rPr>
        <w:t>איראן</w:t>
      </w:r>
      <w:r w:rsidRPr="00E31E72">
        <w:rPr>
          <w:sz w:val="24"/>
          <w:szCs w:val="24"/>
          <w:rtl/>
        </w:rPr>
        <w:t xml:space="preserve"> </w:t>
      </w:r>
      <w:r w:rsidRPr="00E31E72">
        <w:rPr>
          <w:rFonts w:hint="eastAsia"/>
          <w:sz w:val="24"/>
          <w:szCs w:val="24"/>
          <w:rtl/>
        </w:rPr>
        <w:t>תישמר</w:t>
      </w:r>
      <w:r w:rsidRPr="00E31E72">
        <w:rPr>
          <w:sz w:val="24"/>
          <w:szCs w:val="24"/>
          <w:rtl/>
        </w:rPr>
        <w:t>. ביחס לתחזית אפריל, התחזית הנוכחית כוללת התמתנות מסוימת של השפע</w:t>
      </w:r>
      <w:r w:rsidRPr="00E31E72">
        <w:rPr>
          <w:rFonts w:hint="eastAsia"/>
          <w:sz w:val="24"/>
          <w:szCs w:val="24"/>
          <w:rtl/>
        </w:rPr>
        <w:t>ת</w:t>
      </w:r>
      <w:r w:rsidRPr="00E31E72">
        <w:rPr>
          <w:sz w:val="24"/>
          <w:szCs w:val="24"/>
          <w:rtl/>
        </w:rPr>
        <w:t xml:space="preserve"> מכסי הייבוא עליה</w:t>
      </w:r>
      <w:r>
        <w:rPr>
          <w:rFonts w:hint="cs"/>
          <w:sz w:val="24"/>
          <w:szCs w:val="24"/>
          <w:rtl/>
        </w:rPr>
        <w:t>ם</w:t>
      </w:r>
      <w:r w:rsidRPr="00E31E72">
        <w:rPr>
          <w:sz w:val="24"/>
          <w:szCs w:val="24"/>
          <w:rtl/>
        </w:rPr>
        <w:t xml:space="preserve"> הודיעה ארה"ב באפריל.</w:t>
      </w:r>
    </w:p>
    <w:p w:rsidR="008A28D3" w:rsidRPr="00E31E72" w:rsidRDefault="008A28D3" w:rsidP="008A28D3">
      <w:pPr>
        <w:spacing w:line="360" w:lineRule="auto"/>
        <w:jc w:val="both"/>
        <w:rPr>
          <w:sz w:val="24"/>
          <w:szCs w:val="24"/>
          <w:rtl/>
        </w:rPr>
      </w:pPr>
      <w:r w:rsidRPr="00E31E72">
        <w:rPr>
          <w:sz w:val="24"/>
          <w:szCs w:val="24"/>
          <w:rtl/>
        </w:rPr>
        <w:t>על פי הערכת החטיבה, התוצר צפוי לצמוח ב-3.3% וב-</w:t>
      </w:r>
      <w:r w:rsidRPr="00E31E72">
        <w:rPr>
          <w:sz w:val="24"/>
          <w:szCs w:val="24"/>
        </w:rPr>
        <w:t>%</w:t>
      </w:r>
      <w:r w:rsidRPr="00E31E72">
        <w:rPr>
          <w:sz w:val="24"/>
          <w:szCs w:val="24"/>
          <w:rtl/>
        </w:rPr>
        <w:t xml:space="preserve">4.6 בשנים 2025 ו-2026 בהתאמה </w:t>
      </w:r>
      <w:r w:rsidRPr="005B2567">
        <w:rPr>
          <w:b/>
          <w:bCs/>
          <w:sz w:val="24"/>
          <w:szCs w:val="24"/>
          <w:rtl/>
        </w:rPr>
        <w:t>(איור 9).</w:t>
      </w:r>
      <w:r w:rsidRPr="00E31E72">
        <w:rPr>
          <w:sz w:val="24"/>
          <w:szCs w:val="24"/>
          <w:rtl/>
        </w:rPr>
        <w:t xml:space="preserve"> בשנים 2025 ו-2026 שיעור האבטלה הרחבה בגילי העבודה העיקריים (64-25) צפוי לעמוד בממוצע על 2.9% ו-3.3% בהתאמה. שיעור האינפלציה במהלך שנת 2025 צפוי לעמוד על 2.6%, ובמהלך 2026 על 2</w:t>
      </w:r>
      <w:r>
        <w:rPr>
          <w:rFonts w:hint="cs"/>
          <w:sz w:val="24"/>
          <w:szCs w:val="24"/>
          <w:rtl/>
        </w:rPr>
        <w:t>.0</w:t>
      </w:r>
      <w:r w:rsidRPr="00E31E72">
        <w:rPr>
          <w:sz w:val="24"/>
          <w:szCs w:val="24"/>
          <w:rtl/>
        </w:rPr>
        <w:t xml:space="preserve">%. הגרעון בתקציב הממשלה צפוי להסתכם ב-4.9% תוצר </w:t>
      </w:r>
      <w:r w:rsidRPr="00E31E72">
        <w:rPr>
          <w:rFonts w:hint="eastAsia"/>
          <w:sz w:val="24"/>
          <w:szCs w:val="24"/>
          <w:rtl/>
        </w:rPr>
        <w:t>בשנת</w:t>
      </w:r>
      <w:r w:rsidRPr="00E31E72">
        <w:rPr>
          <w:sz w:val="24"/>
          <w:szCs w:val="24"/>
          <w:rtl/>
        </w:rPr>
        <w:t xml:space="preserve"> 2025 ו</w:t>
      </w:r>
      <w:r w:rsidRPr="00E31E72">
        <w:rPr>
          <w:rFonts w:hint="eastAsia"/>
          <w:sz w:val="24"/>
          <w:szCs w:val="24"/>
          <w:rtl/>
        </w:rPr>
        <w:t>לרדת</w:t>
      </w:r>
      <w:r w:rsidRPr="00E31E72">
        <w:rPr>
          <w:sz w:val="24"/>
          <w:szCs w:val="24"/>
          <w:rtl/>
        </w:rPr>
        <w:t xml:space="preserve"> </w:t>
      </w:r>
      <w:r w:rsidRPr="00E31E72">
        <w:rPr>
          <w:rFonts w:hint="eastAsia"/>
          <w:sz w:val="24"/>
          <w:szCs w:val="24"/>
          <w:rtl/>
        </w:rPr>
        <w:t>ל</w:t>
      </w:r>
      <w:r w:rsidRPr="00E31E72">
        <w:rPr>
          <w:sz w:val="24"/>
          <w:szCs w:val="24"/>
          <w:rtl/>
        </w:rPr>
        <w:t xml:space="preserve">-4.2% בשנת 2026. תחזית הגירעון משקפת </w:t>
      </w:r>
      <w:r w:rsidRPr="00E31E72">
        <w:rPr>
          <w:rFonts w:hint="eastAsia"/>
          <w:sz w:val="24"/>
          <w:szCs w:val="24"/>
          <w:rtl/>
        </w:rPr>
        <w:t>גידול</w:t>
      </w:r>
      <w:r w:rsidRPr="00E31E72">
        <w:rPr>
          <w:sz w:val="24"/>
          <w:szCs w:val="24"/>
          <w:rtl/>
        </w:rPr>
        <w:t xml:space="preserve"> עבור שנים אלו בהשוואה לתחזית הקודמת. יחס החוב לתוצר צפוי לעמוד על כ-70</w:t>
      </w:r>
      <w:r>
        <w:rPr>
          <w:rFonts w:hint="cs"/>
          <w:sz w:val="24"/>
          <w:szCs w:val="24"/>
          <w:rtl/>
        </w:rPr>
        <w:t>%</w:t>
      </w:r>
      <w:r w:rsidRPr="00E31E72">
        <w:rPr>
          <w:sz w:val="24"/>
          <w:szCs w:val="24"/>
          <w:rtl/>
        </w:rPr>
        <w:t xml:space="preserve">  בסוף 2025 </w:t>
      </w:r>
      <w:r w:rsidRPr="00E31E72">
        <w:rPr>
          <w:rFonts w:hint="eastAsia"/>
          <w:sz w:val="24"/>
          <w:szCs w:val="24"/>
          <w:rtl/>
        </w:rPr>
        <w:t>ועל</w:t>
      </w:r>
      <w:r w:rsidRPr="00E31E72">
        <w:rPr>
          <w:sz w:val="24"/>
          <w:szCs w:val="24"/>
          <w:rtl/>
        </w:rPr>
        <w:t xml:space="preserve"> </w:t>
      </w:r>
      <w:r w:rsidRPr="00E31E72">
        <w:rPr>
          <w:rFonts w:hint="eastAsia"/>
          <w:sz w:val="24"/>
          <w:szCs w:val="24"/>
          <w:rtl/>
        </w:rPr>
        <w:t>כ</w:t>
      </w:r>
      <w:r w:rsidRPr="00E31E72">
        <w:rPr>
          <w:sz w:val="24"/>
          <w:szCs w:val="24"/>
          <w:rtl/>
        </w:rPr>
        <w:t>-71</w:t>
      </w:r>
      <w:r>
        <w:rPr>
          <w:rFonts w:hint="cs"/>
          <w:sz w:val="24"/>
          <w:szCs w:val="24"/>
          <w:rtl/>
        </w:rPr>
        <w:t>%</w:t>
      </w:r>
      <w:r w:rsidRPr="00E31E72">
        <w:rPr>
          <w:sz w:val="24"/>
          <w:szCs w:val="24"/>
          <w:rtl/>
        </w:rPr>
        <w:t xml:space="preserve">  ב-2026. תחזית זו מאופיינת ברמה גבוהה של אי ודאות, עם סיכוני</w:t>
      </w:r>
      <w:r w:rsidRPr="00E31E72">
        <w:rPr>
          <w:rFonts w:hint="eastAsia"/>
          <w:sz w:val="24"/>
          <w:szCs w:val="24"/>
          <w:rtl/>
        </w:rPr>
        <w:t>ם</w:t>
      </w:r>
      <w:r w:rsidRPr="00E31E72">
        <w:rPr>
          <w:sz w:val="24"/>
          <w:szCs w:val="24"/>
          <w:rtl/>
        </w:rPr>
        <w:t xml:space="preserve"> משמעותיים לשני הכיוונים.</w:t>
      </w:r>
    </w:p>
    <w:p w:rsidR="008A28D3" w:rsidRPr="00E31E72" w:rsidRDefault="008A28D3" w:rsidP="008A28D3">
      <w:pPr>
        <w:spacing w:line="360" w:lineRule="auto"/>
        <w:jc w:val="both"/>
        <w:rPr>
          <w:sz w:val="24"/>
          <w:szCs w:val="24"/>
          <w:rtl/>
        </w:rPr>
      </w:pPr>
      <w:r w:rsidRPr="00E31E72">
        <w:rPr>
          <w:rFonts w:hint="eastAsia"/>
          <w:sz w:val="24"/>
          <w:szCs w:val="24"/>
          <w:rtl/>
        </w:rPr>
        <w:t>לפי</w:t>
      </w:r>
      <w:r w:rsidRPr="00E31E72">
        <w:rPr>
          <w:sz w:val="24"/>
          <w:szCs w:val="24"/>
          <w:rtl/>
        </w:rPr>
        <w:t xml:space="preserve"> נתוני החשבונאות הלאומית המשק צמח ב-3.7% ברבעון הראשון של שנת 2025, קרוב למגמת הצמיחה ארוכת הטווח של המשק. יחד עם זאת, רמת הפעילות במשק נמוכה בכ-4% מקו מגמה זה, פער שנשמר החל מהרבעון השני של 2024. האינדיקטורים השוטפים לפעילות הכלכלית מצביעים על המשך צמיחה מתונה של המשק. המאזן המצרפי </w:t>
      </w:r>
      <w:r w:rsidRPr="00E31E72">
        <w:rPr>
          <w:rFonts w:hint="eastAsia"/>
          <w:sz w:val="24"/>
          <w:szCs w:val="24"/>
          <w:rtl/>
        </w:rPr>
        <w:t>ב</w:t>
      </w:r>
      <w:r w:rsidRPr="00E31E72">
        <w:rPr>
          <w:sz w:val="24"/>
          <w:szCs w:val="24"/>
          <w:rtl/>
        </w:rPr>
        <w:t xml:space="preserve">סקר המגמות בעסקים של הלמ"ס </w:t>
      </w:r>
      <w:r w:rsidRPr="00E31E72">
        <w:rPr>
          <w:rFonts w:hint="eastAsia"/>
          <w:sz w:val="24"/>
          <w:szCs w:val="24"/>
          <w:rtl/>
        </w:rPr>
        <w:t>לחודש</w:t>
      </w:r>
      <w:r w:rsidRPr="00E31E72">
        <w:rPr>
          <w:sz w:val="24"/>
          <w:szCs w:val="24"/>
          <w:rtl/>
        </w:rPr>
        <w:t xml:space="preserve"> </w:t>
      </w:r>
      <w:r w:rsidRPr="00E31E72">
        <w:rPr>
          <w:rFonts w:hint="eastAsia"/>
          <w:sz w:val="24"/>
          <w:szCs w:val="24"/>
          <w:rtl/>
        </w:rPr>
        <w:t>יוני</w:t>
      </w:r>
      <w:r w:rsidRPr="00E31E72">
        <w:rPr>
          <w:sz w:val="24"/>
          <w:szCs w:val="24"/>
          <w:rtl/>
        </w:rPr>
        <w:t xml:space="preserve"> </w:t>
      </w:r>
      <w:r w:rsidRPr="00E31E72">
        <w:rPr>
          <w:rFonts w:hint="eastAsia"/>
          <w:sz w:val="24"/>
          <w:szCs w:val="24"/>
          <w:rtl/>
        </w:rPr>
        <w:t>ירד</w:t>
      </w:r>
      <w:r w:rsidRPr="00E31E72">
        <w:rPr>
          <w:sz w:val="24"/>
          <w:szCs w:val="24"/>
          <w:rtl/>
        </w:rPr>
        <w:t xml:space="preserve">, </w:t>
      </w:r>
      <w:r w:rsidRPr="00E31E72">
        <w:rPr>
          <w:rFonts w:hint="eastAsia"/>
          <w:sz w:val="24"/>
          <w:szCs w:val="24"/>
          <w:rtl/>
        </w:rPr>
        <w:t>וזאת</w:t>
      </w:r>
      <w:r w:rsidRPr="00E31E72">
        <w:rPr>
          <w:sz w:val="24"/>
          <w:szCs w:val="24"/>
          <w:rtl/>
        </w:rPr>
        <w:t xml:space="preserve"> </w:t>
      </w:r>
      <w:r w:rsidRPr="00E31E72">
        <w:rPr>
          <w:rFonts w:hint="eastAsia"/>
          <w:sz w:val="24"/>
          <w:szCs w:val="24"/>
          <w:rtl/>
        </w:rPr>
        <w:t>לאחר</w:t>
      </w:r>
      <w:r w:rsidRPr="00E31E72">
        <w:rPr>
          <w:sz w:val="24"/>
          <w:szCs w:val="24"/>
          <w:rtl/>
        </w:rPr>
        <w:t xml:space="preserve"> </w:t>
      </w:r>
      <w:r w:rsidRPr="00E31E72">
        <w:rPr>
          <w:rFonts w:hint="eastAsia"/>
          <w:sz w:val="24"/>
          <w:szCs w:val="24"/>
          <w:rtl/>
        </w:rPr>
        <w:t>יציבות</w:t>
      </w:r>
      <w:r w:rsidRPr="00E31E72">
        <w:rPr>
          <w:sz w:val="24"/>
          <w:szCs w:val="24"/>
          <w:rtl/>
        </w:rPr>
        <w:t xml:space="preserve"> </w:t>
      </w:r>
      <w:r w:rsidRPr="00E31E72">
        <w:rPr>
          <w:rFonts w:hint="eastAsia"/>
          <w:sz w:val="24"/>
          <w:szCs w:val="24"/>
          <w:rtl/>
        </w:rPr>
        <w:t>בחודשים</w:t>
      </w:r>
      <w:r w:rsidRPr="00E31E72">
        <w:rPr>
          <w:sz w:val="24"/>
          <w:szCs w:val="24"/>
          <w:rtl/>
        </w:rPr>
        <w:t xml:space="preserve"> </w:t>
      </w:r>
      <w:r w:rsidRPr="00E31E72">
        <w:rPr>
          <w:rFonts w:hint="eastAsia"/>
          <w:sz w:val="24"/>
          <w:szCs w:val="24"/>
          <w:rtl/>
        </w:rPr>
        <w:t>האחרונים</w:t>
      </w:r>
      <w:r w:rsidRPr="00E31E72">
        <w:rPr>
          <w:sz w:val="24"/>
          <w:szCs w:val="24"/>
          <w:rtl/>
        </w:rPr>
        <w:t xml:space="preserve"> </w:t>
      </w:r>
      <w:r w:rsidRPr="00E31E72">
        <w:rPr>
          <w:b/>
          <w:bCs/>
          <w:sz w:val="24"/>
          <w:szCs w:val="24"/>
          <w:rtl/>
        </w:rPr>
        <w:t xml:space="preserve">(איור </w:t>
      </w:r>
      <w:r>
        <w:rPr>
          <w:rFonts w:hint="cs"/>
          <w:b/>
          <w:bCs/>
          <w:sz w:val="24"/>
          <w:szCs w:val="24"/>
          <w:rtl/>
        </w:rPr>
        <w:t>10</w:t>
      </w:r>
      <w:r w:rsidRPr="00E31E72">
        <w:rPr>
          <w:b/>
          <w:bCs/>
          <w:sz w:val="24"/>
          <w:szCs w:val="24"/>
          <w:rtl/>
        </w:rPr>
        <w:t>)</w:t>
      </w:r>
      <w:r w:rsidRPr="00E31E72">
        <w:rPr>
          <w:sz w:val="24"/>
          <w:szCs w:val="24"/>
          <w:rtl/>
        </w:rPr>
        <w:t xml:space="preserve">. </w:t>
      </w:r>
      <w:r w:rsidRPr="00E31E72">
        <w:rPr>
          <w:rFonts w:hint="cs"/>
          <w:sz w:val="24"/>
          <w:szCs w:val="24"/>
          <w:rtl/>
        </w:rPr>
        <w:t xml:space="preserve">בנוסף, בחודש יוני </w:t>
      </w:r>
      <w:r w:rsidRPr="00E31E72">
        <w:rPr>
          <w:rFonts w:hint="eastAsia"/>
          <w:sz w:val="24"/>
          <w:szCs w:val="24"/>
          <w:rtl/>
        </w:rPr>
        <w:t>נרשמה</w:t>
      </w:r>
      <w:r w:rsidRPr="00E31E72">
        <w:rPr>
          <w:sz w:val="24"/>
          <w:szCs w:val="24"/>
          <w:rtl/>
        </w:rPr>
        <w:t xml:space="preserve"> עליה </w:t>
      </w:r>
      <w:r w:rsidRPr="00E31E72">
        <w:rPr>
          <w:rFonts w:hint="eastAsia"/>
          <w:sz w:val="24"/>
          <w:szCs w:val="24"/>
          <w:rtl/>
        </w:rPr>
        <w:t>בדיווחי</w:t>
      </w:r>
      <w:r w:rsidRPr="00E31E72">
        <w:rPr>
          <w:sz w:val="24"/>
          <w:szCs w:val="24"/>
          <w:rtl/>
        </w:rPr>
        <w:t xml:space="preserve"> </w:t>
      </w:r>
      <w:r w:rsidRPr="00E31E72">
        <w:rPr>
          <w:rFonts w:hint="eastAsia"/>
          <w:sz w:val="24"/>
          <w:szCs w:val="24"/>
          <w:rtl/>
        </w:rPr>
        <w:t>החברות</w:t>
      </w:r>
      <w:r w:rsidRPr="00E31E72">
        <w:rPr>
          <w:sz w:val="24"/>
          <w:szCs w:val="24"/>
          <w:rtl/>
        </w:rPr>
        <w:t xml:space="preserve"> </w:t>
      </w:r>
      <w:r w:rsidRPr="00E31E72">
        <w:rPr>
          <w:rFonts w:hint="eastAsia"/>
          <w:sz w:val="24"/>
          <w:szCs w:val="24"/>
          <w:rtl/>
        </w:rPr>
        <w:t>במרבית</w:t>
      </w:r>
      <w:r w:rsidRPr="00E31E72">
        <w:rPr>
          <w:sz w:val="24"/>
          <w:szCs w:val="24"/>
          <w:rtl/>
        </w:rPr>
        <w:t xml:space="preserve"> </w:t>
      </w:r>
      <w:r w:rsidRPr="00E31E72">
        <w:rPr>
          <w:rFonts w:hint="eastAsia"/>
          <w:sz w:val="24"/>
          <w:szCs w:val="24"/>
          <w:rtl/>
        </w:rPr>
        <w:t>הענפים</w:t>
      </w:r>
      <w:r w:rsidRPr="00E31E72">
        <w:rPr>
          <w:sz w:val="24"/>
          <w:szCs w:val="24"/>
          <w:rtl/>
        </w:rPr>
        <w:t xml:space="preserve"> </w:t>
      </w:r>
      <w:r w:rsidRPr="00E31E72">
        <w:rPr>
          <w:rFonts w:hint="eastAsia"/>
          <w:sz w:val="24"/>
          <w:szCs w:val="24"/>
          <w:rtl/>
        </w:rPr>
        <w:t>על</w:t>
      </w:r>
      <w:r w:rsidRPr="00E31E72">
        <w:rPr>
          <w:sz w:val="24"/>
          <w:szCs w:val="24"/>
          <w:rtl/>
        </w:rPr>
        <w:t xml:space="preserve"> </w:t>
      </w:r>
      <w:r w:rsidRPr="00E31E72">
        <w:rPr>
          <w:rFonts w:hint="eastAsia"/>
          <w:sz w:val="24"/>
          <w:szCs w:val="24"/>
          <w:rtl/>
        </w:rPr>
        <w:t>מגבלות</w:t>
      </w:r>
      <w:r w:rsidRPr="00E31E72">
        <w:rPr>
          <w:sz w:val="24"/>
          <w:szCs w:val="24"/>
          <w:rtl/>
        </w:rPr>
        <w:t xml:space="preserve"> </w:t>
      </w:r>
      <w:r w:rsidRPr="00E31E72">
        <w:rPr>
          <w:rFonts w:hint="eastAsia"/>
          <w:sz w:val="24"/>
          <w:szCs w:val="24"/>
          <w:rtl/>
        </w:rPr>
        <w:t>גיוס</w:t>
      </w:r>
      <w:r w:rsidRPr="00E31E72">
        <w:rPr>
          <w:sz w:val="24"/>
          <w:szCs w:val="24"/>
          <w:rtl/>
        </w:rPr>
        <w:t xml:space="preserve"> עובדים ועל מגבלות </w:t>
      </w:r>
      <w:r w:rsidRPr="00E31E72">
        <w:rPr>
          <w:rFonts w:hint="eastAsia"/>
          <w:sz w:val="24"/>
          <w:szCs w:val="24"/>
          <w:rtl/>
        </w:rPr>
        <w:t>ציוד</w:t>
      </w:r>
      <w:r w:rsidRPr="00E31E72">
        <w:rPr>
          <w:sz w:val="24"/>
          <w:szCs w:val="24"/>
          <w:rtl/>
        </w:rPr>
        <w:t xml:space="preserve"> </w:t>
      </w:r>
      <w:r w:rsidRPr="00E31E72">
        <w:rPr>
          <w:rFonts w:hint="eastAsia"/>
          <w:sz w:val="24"/>
          <w:szCs w:val="24"/>
          <w:rtl/>
        </w:rPr>
        <w:t>וחומרי</w:t>
      </w:r>
      <w:r w:rsidRPr="00E31E72">
        <w:rPr>
          <w:sz w:val="24"/>
          <w:szCs w:val="24"/>
          <w:rtl/>
        </w:rPr>
        <w:t xml:space="preserve"> </w:t>
      </w:r>
      <w:r w:rsidRPr="00E31E72">
        <w:rPr>
          <w:rFonts w:hint="eastAsia"/>
          <w:sz w:val="24"/>
          <w:szCs w:val="24"/>
          <w:rtl/>
        </w:rPr>
        <w:t>גלם</w:t>
      </w:r>
      <w:r w:rsidRPr="00E31E72">
        <w:rPr>
          <w:sz w:val="24"/>
          <w:szCs w:val="24"/>
          <w:rtl/>
        </w:rPr>
        <w:t xml:space="preserve"> בתעשי</w:t>
      </w:r>
      <w:r>
        <w:rPr>
          <w:rFonts w:hint="cs"/>
          <w:sz w:val="24"/>
          <w:szCs w:val="24"/>
          <w:rtl/>
        </w:rPr>
        <w:t>י</w:t>
      </w:r>
      <w:r w:rsidRPr="00E31E72">
        <w:rPr>
          <w:sz w:val="24"/>
          <w:szCs w:val="24"/>
          <w:rtl/>
        </w:rPr>
        <w:t xml:space="preserve">ה. נראה כי נתונים אלו מושפעים במידה ניכרת ממבצע "עם כלביא". גיוסי ההון </w:t>
      </w:r>
      <w:r w:rsidRPr="00E31E72">
        <w:rPr>
          <w:rFonts w:hint="eastAsia"/>
          <w:sz w:val="24"/>
          <w:szCs w:val="24"/>
          <w:rtl/>
        </w:rPr>
        <w:t>במגזר</w:t>
      </w:r>
      <w:r w:rsidRPr="00E31E72">
        <w:rPr>
          <w:sz w:val="24"/>
          <w:szCs w:val="24"/>
          <w:rtl/>
        </w:rPr>
        <w:t xml:space="preserve"> </w:t>
      </w:r>
      <w:r w:rsidRPr="00E31E72">
        <w:rPr>
          <w:rFonts w:hint="eastAsia"/>
          <w:sz w:val="24"/>
          <w:szCs w:val="24"/>
          <w:rtl/>
        </w:rPr>
        <w:t>ההייטק</w:t>
      </w:r>
      <w:r w:rsidRPr="00E31E72">
        <w:rPr>
          <w:sz w:val="24"/>
          <w:szCs w:val="24"/>
          <w:rtl/>
        </w:rPr>
        <w:t xml:space="preserve"> </w:t>
      </w:r>
      <w:r w:rsidRPr="00E31E72">
        <w:rPr>
          <w:rFonts w:hint="eastAsia"/>
          <w:sz w:val="24"/>
          <w:szCs w:val="24"/>
          <w:rtl/>
        </w:rPr>
        <w:t>בתקופה</w:t>
      </w:r>
      <w:r w:rsidRPr="00E31E72">
        <w:rPr>
          <w:sz w:val="24"/>
          <w:szCs w:val="24"/>
          <w:rtl/>
        </w:rPr>
        <w:t xml:space="preserve"> </w:t>
      </w:r>
      <w:r w:rsidRPr="00E31E72">
        <w:rPr>
          <w:rFonts w:hint="eastAsia"/>
          <w:sz w:val="24"/>
          <w:szCs w:val="24"/>
          <w:rtl/>
        </w:rPr>
        <w:t>הנסקרת</w:t>
      </w:r>
      <w:r w:rsidRPr="00E31E72">
        <w:rPr>
          <w:sz w:val="24"/>
          <w:szCs w:val="24"/>
          <w:rtl/>
        </w:rPr>
        <w:t xml:space="preserve"> </w:t>
      </w:r>
      <w:r w:rsidRPr="00E31E72">
        <w:rPr>
          <w:rFonts w:hint="eastAsia"/>
          <w:sz w:val="24"/>
          <w:szCs w:val="24"/>
          <w:rtl/>
        </w:rPr>
        <w:t>עלו</w:t>
      </w:r>
      <w:r w:rsidRPr="00E31E72">
        <w:rPr>
          <w:sz w:val="24"/>
          <w:szCs w:val="24"/>
          <w:rtl/>
        </w:rPr>
        <w:t xml:space="preserve"> משמעותית, </w:t>
      </w:r>
      <w:r w:rsidRPr="00E31E72">
        <w:rPr>
          <w:rFonts w:hint="eastAsia"/>
          <w:sz w:val="24"/>
          <w:szCs w:val="24"/>
          <w:rtl/>
        </w:rPr>
        <w:t>ו</w:t>
      </w:r>
      <w:r w:rsidRPr="00E31E72">
        <w:rPr>
          <w:sz w:val="24"/>
          <w:szCs w:val="24"/>
          <w:rtl/>
        </w:rPr>
        <w:t xml:space="preserve">רמתם </w:t>
      </w:r>
      <w:r w:rsidRPr="00E31E72">
        <w:rPr>
          <w:rFonts w:hint="eastAsia"/>
          <w:sz w:val="24"/>
          <w:szCs w:val="24"/>
          <w:rtl/>
        </w:rPr>
        <w:t>דומה</w:t>
      </w:r>
      <w:r w:rsidRPr="00E31E72">
        <w:rPr>
          <w:sz w:val="24"/>
          <w:szCs w:val="24"/>
          <w:rtl/>
        </w:rPr>
        <w:t xml:space="preserve"> </w:t>
      </w:r>
      <w:r w:rsidRPr="00E31E72">
        <w:rPr>
          <w:rFonts w:hint="eastAsia"/>
          <w:sz w:val="24"/>
          <w:szCs w:val="24"/>
          <w:rtl/>
        </w:rPr>
        <w:t>לתחילת</w:t>
      </w:r>
      <w:r w:rsidRPr="00E31E72">
        <w:rPr>
          <w:sz w:val="24"/>
          <w:szCs w:val="24"/>
          <w:rtl/>
        </w:rPr>
        <w:t xml:space="preserve"> שנת 2022 </w:t>
      </w:r>
      <w:r w:rsidRPr="00E31E72">
        <w:rPr>
          <w:b/>
          <w:bCs/>
          <w:sz w:val="24"/>
          <w:szCs w:val="24"/>
          <w:rtl/>
        </w:rPr>
        <w:t>(איור 2</w:t>
      </w:r>
      <w:r w:rsidRPr="00E31E72">
        <w:rPr>
          <w:b/>
          <w:bCs/>
          <w:sz w:val="24"/>
          <w:szCs w:val="24"/>
        </w:rPr>
        <w:t>2</w:t>
      </w:r>
      <w:r w:rsidRPr="00E31E72">
        <w:rPr>
          <w:b/>
          <w:bCs/>
          <w:sz w:val="24"/>
          <w:szCs w:val="24"/>
          <w:rtl/>
        </w:rPr>
        <w:t>)</w:t>
      </w:r>
      <w:r w:rsidRPr="00E31E72">
        <w:rPr>
          <w:sz w:val="24"/>
          <w:szCs w:val="24"/>
          <w:rtl/>
        </w:rPr>
        <w:t xml:space="preserve">. </w:t>
      </w:r>
      <w:r w:rsidRPr="00E31E72">
        <w:rPr>
          <w:rFonts w:hint="eastAsia"/>
          <w:sz w:val="24"/>
          <w:szCs w:val="24"/>
          <w:rtl/>
        </w:rPr>
        <w:t>על</w:t>
      </w:r>
      <w:r w:rsidRPr="00E31E72">
        <w:rPr>
          <w:sz w:val="24"/>
          <w:szCs w:val="24"/>
          <w:rtl/>
        </w:rPr>
        <w:t xml:space="preserve"> פי נתוני סחר חוץ, חלה </w:t>
      </w:r>
      <w:r w:rsidRPr="00E31E72">
        <w:rPr>
          <w:rFonts w:hint="eastAsia"/>
          <w:sz w:val="24"/>
          <w:szCs w:val="24"/>
          <w:rtl/>
        </w:rPr>
        <w:t>בחודש</w:t>
      </w:r>
      <w:r w:rsidRPr="00E31E72">
        <w:rPr>
          <w:sz w:val="24"/>
          <w:szCs w:val="24"/>
          <w:rtl/>
        </w:rPr>
        <w:t xml:space="preserve"> </w:t>
      </w:r>
      <w:r w:rsidRPr="00E31E72">
        <w:rPr>
          <w:rFonts w:hint="eastAsia"/>
          <w:sz w:val="24"/>
          <w:szCs w:val="24"/>
          <w:rtl/>
        </w:rPr>
        <w:t>מאי</w:t>
      </w:r>
      <w:r w:rsidRPr="00E31E72">
        <w:rPr>
          <w:sz w:val="24"/>
          <w:szCs w:val="24"/>
          <w:rtl/>
        </w:rPr>
        <w:t xml:space="preserve"> ירידה ביבוא ועליה ביצוא, </w:t>
      </w:r>
      <w:r w:rsidRPr="00E31E72">
        <w:rPr>
          <w:rFonts w:hint="eastAsia"/>
          <w:sz w:val="24"/>
          <w:szCs w:val="24"/>
          <w:rtl/>
        </w:rPr>
        <w:t>ו</w:t>
      </w:r>
      <w:r w:rsidRPr="00E31E72">
        <w:rPr>
          <w:sz w:val="24"/>
          <w:szCs w:val="24"/>
          <w:rtl/>
        </w:rPr>
        <w:t xml:space="preserve">העודף בחשבון השוטף של מאזן התשלומים עלה ברביע הראשון של השנה. </w:t>
      </w:r>
      <w:r w:rsidRPr="00E31E72">
        <w:rPr>
          <w:rFonts w:hint="eastAsia"/>
          <w:sz w:val="24"/>
          <w:szCs w:val="24"/>
          <w:rtl/>
        </w:rPr>
        <w:t>נ</w:t>
      </w:r>
      <w:r w:rsidRPr="00E31E72">
        <w:rPr>
          <w:sz w:val="24"/>
          <w:szCs w:val="24"/>
          <w:rtl/>
        </w:rPr>
        <w:t xml:space="preserve">תוני </w:t>
      </w:r>
      <w:r w:rsidRPr="00E31E72">
        <w:rPr>
          <w:rFonts w:hint="eastAsia"/>
          <w:sz w:val="24"/>
          <w:szCs w:val="24"/>
          <w:rtl/>
        </w:rPr>
        <w:t>ההוצאות</w:t>
      </w:r>
      <w:r w:rsidRPr="00E31E72">
        <w:rPr>
          <w:sz w:val="24"/>
          <w:szCs w:val="24"/>
          <w:rtl/>
        </w:rPr>
        <w:t xml:space="preserve"> בכרטיסי אשראי במחירים שוטפים מצביע</w:t>
      </w:r>
      <w:r w:rsidRPr="00E31E72">
        <w:rPr>
          <w:rFonts w:hint="eastAsia"/>
          <w:sz w:val="24"/>
          <w:szCs w:val="24"/>
          <w:rtl/>
        </w:rPr>
        <w:t>ים</w:t>
      </w:r>
      <w:r w:rsidRPr="00E31E72">
        <w:rPr>
          <w:sz w:val="24"/>
          <w:szCs w:val="24"/>
          <w:rtl/>
        </w:rPr>
        <w:t xml:space="preserve"> על ירידה חדה בפעילות </w:t>
      </w:r>
      <w:r w:rsidRPr="00E31E72">
        <w:rPr>
          <w:rFonts w:hint="eastAsia"/>
          <w:sz w:val="24"/>
          <w:szCs w:val="24"/>
          <w:rtl/>
        </w:rPr>
        <w:t>עם</w:t>
      </w:r>
      <w:r w:rsidRPr="00E31E72">
        <w:rPr>
          <w:sz w:val="24"/>
          <w:szCs w:val="24"/>
          <w:rtl/>
        </w:rPr>
        <w:t xml:space="preserve"> </w:t>
      </w:r>
      <w:r w:rsidRPr="00E31E72">
        <w:rPr>
          <w:rFonts w:hint="eastAsia"/>
          <w:sz w:val="24"/>
          <w:szCs w:val="24"/>
          <w:rtl/>
        </w:rPr>
        <w:t>תחילתו</w:t>
      </w:r>
      <w:r w:rsidRPr="00E31E72">
        <w:rPr>
          <w:sz w:val="24"/>
          <w:szCs w:val="24"/>
          <w:rtl/>
        </w:rPr>
        <w:t xml:space="preserve"> </w:t>
      </w:r>
      <w:r w:rsidRPr="00E31E72">
        <w:rPr>
          <w:rFonts w:hint="eastAsia"/>
          <w:sz w:val="24"/>
          <w:szCs w:val="24"/>
          <w:rtl/>
        </w:rPr>
        <w:t>של</w:t>
      </w:r>
      <w:r w:rsidRPr="00E31E72">
        <w:rPr>
          <w:sz w:val="24"/>
          <w:szCs w:val="24"/>
          <w:rtl/>
        </w:rPr>
        <w:t xml:space="preserve"> </w:t>
      </w:r>
      <w:r w:rsidRPr="00E31E72">
        <w:rPr>
          <w:rFonts w:hint="eastAsia"/>
          <w:sz w:val="24"/>
          <w:szCs w:val="24"/>
          <w:rtl/>
        </w:rPr>
        <w:t>מבצע</w:t>
      </w:r>
      <w:r w:rsidRPr="00E31E72">
        <w:rPr>
          <w:sz w:val="24"/>
          <w:szCs w:val="24"/>
          <w:rtl/>
        </w:rPr>
        <w:t xml:space="preserve"> "עם </w:t>
      </w:r>
      <w:r w:rsidRPr="00E31E72">
        <w:rPr>
          <w:rFonts w:hint="eastAsia"/>
          <w:sz w:val="24"/>
          <w:szCs w:val="24"/>
          <w:rtl/>
        </w:rPr>
        <w:t>כלביא</w:t>
      </w:r>
      <w:r w:rsidRPr="00E31E72">
        <w:rPr>
          <w:sz w:val="24"/>
          <w:szCs w:val="24"/>
          <w:rtl/>
        </w:rPr>
        <w:t xml:space="preserve">", והתאוששות מהירה בתום המבצע </w:t>
      </w:r>
      <w:r w:rsidRPr="00E31E72">
        <w:rPr>
          <w:b/>
          <w:bCs/>
          <w:sz w:val="24"/>
          <w:szCs w:val="24"/>
          <w:rtl/>
        </w:rPr>
        <w:t>(איור 1</w:t>
      </w:r>
      <w:r>
        <w:rPr>
          <w:rFonts w:hint="cs"/>
          <w:b/>
          <w:bCs/>
          <w:sz w:val="24"/>
          <w:szCs w:val="24"/>
          <w:rtl/>
        </w:rPr>
        <w:t>1</w:t>
      </w:r>
      <w:r w:rsidRPr="00E31E72">
        <w:rPr>
          <w:b/>
          <w:bCs/>
          <w:sz w:val="24"/>
          <w:szCs w:val="24"/>
          <w:rtl/>
        </w:rPr>
        <w:t>).</w:t>
      </w:r>
    </w:p>
    <w:p w:rsidR="008A28D3" w:rsidRPr="00E31E72" w:rsidRDefault="008A28D3" w:rsidP="008A28D3">
      <w:pPr>
        <w:spacing w:after="0" w:line="360" w:lineRule="auto"/>
        <w:jc w:val="both"/>
        <w:rPr>
          <w:sz w:val="24"/>
          <w:szCs w:val="24"/>
          <w:rtl/>
        </w:rPr>
      </w:pPr>
      <w:r w:rsidRPr="00E31E72">
        <w:rPr>
          <w:rFonts w:hint="eastAsia"/>
          <w:sz w:val="24"/>
          <w:szCs w:val="24"/>
          <w:rtl/>
        </w:rPr>
        <w:lastRenderedPageBreak/>
        <w:t>הגירעון</w:t>
      </w:r>
      <w:r w:rsidRPr="00E31E72">
        <w:rPr>
          <w:sz w:val="24"/>
          <w:szCs w:val="24"/>
          <w:rtl/>
        </w:rPr>
        <w:t xml:space="preserve"> המצטבר </w:t>
      </w:r>
      <w:r w:rsidRPr="00E31E72">
        <w:rPr>
          <w:rFonts w:hint="eastAsia"/>
          <w:sz w:val="24"/>
          <w:szCs w:val="24"/>
          <w:rtl/>
        </w:rPr>
        <w:t>בתקציב</w:t>
      </w:r>
      <w:r w:rsidRPr="00E31E72">
        <w:rPr>
          <w:sz w:val="24"/>
          <w:szCs w:val="24"/>
          <w:rtl/>
        </w:rPr>
        <w:t xml:space="preserve"> המדינה </w:t>
      </w:r>
      <w:r w:rsidRPr="00E31E72">
        <w:rPr>
          <w:rFonts w:hint="eastAsia"/>
          <w:sz w:val="24"/>
          <w:szCs w:val="24"/>
          <w:rtl/>
        </w:rPr>
        <w:t>ב</w:t>
      </w:r>
      <w:r w:rsidRPr="00E31E72">
        <w:rPr>
          <w:sz w:val="24"/>
          <w:szCs w:val="24"/>
          <w:rtl/>
        </w:rPr>
        <w:t xml:space="preserve">-12 </w:t>
      </w:r>
      <w:r w:rsidRPr="00E31E72">
        <w:rPr>
          <w:rFonts w:hint="eastAsia"/>
          <w:sz w:val="24"/>
          <w:szCs w:val="24"/>
          <w:rtl/>
        </w:rPr>
        <w:t>החודשים</w:t>
      </w:r>
      <w:r w:rsidRPr="00E31E72">
        <w:rPr>
          <w:sz w:val="24"/>
          <w:szCs w:val="24"/>
          <w:rtl/>
        </w:rPr>
        <w:t xml:space="preserve"> </w:t>
      </w:r>
      <w:r w:rsidRPr="00E31E72">
        <w:rPr>
          <w:rFonts w:hint="eastAsia"/>
          <w:sz w:val="24"/>
          <w:szCs w:val="24"/>
          <w:rtl/>
        </w:rPr>
        <w:t>האחרונים</w:t>
      </w:r>
      <w:r w:rsidRPr="00E31E72">
        <w:rPr>
          <w:sz w:val="24"/>
          <w:szCs w:val="24"/>
          <w:rtl/>
        </w:rPr>
        <w:t xml:space="preserve">, </w:t>
      </w:r>
      <w:r w:rsidRPr="00E31E72">
        <w:rPr>
          <w:rFonts w:hint="eastAsia"/>
          <w:sz w:val="24"/>
          <w:szCs w:val="24"/>
          <w:rtl/>
        </w:rPr>
        <w:t>הסתכם</w:t>
      </w:r>
      <w:r w:rsidRPr="00E31E72">
        <w:rPr>
          <w:sz w:val="24"/>
          <w:szCs w:val="24"/>
          <w:rtl/>
        </w:rPr>
        <w:t xml:space="preserve"> בחודש </w:t>
      </w:r>
      <w:r w:rsidRPr="00E31E72">
        <w:rPr>
          <w:rFonts w:hint="eastAsia"/>
          <w:sz w:val="24"/>
          <w:szCs w:val="24"/>
          <w:rtl/>
        </w:rPr>
        <w:t>מאי</w:t>
      </w:r>
      <w:r w:rsidRPr="00E31E72">
        <w:rPr>
          <w:sz w:val="24"/>
          <w:szCs w:val="24"/>
          <w:rtl/>
        </w:rPr>
        <w:t xml:space="preserve"> </w:t>
      </w:r>
      <w:r w:rsidRPr="00E31E72">
        <w:rPr>
          <w:rFonts w:hint="eastAsia"/>
          <w:sz w:val="24"/>
          <w:szCs w:val="24"/>
          <w:rtl/>
        </w:rPr>
        <w:t>ב</w:t>
      </w:r>
      <w:r w:rsidRPr="00E31E72">
        <w:rPr>
          <w:sz w:val="24"/>
          <w:szCs w:val="24"/>
          <w:rtl/>
        </w:rPr>
        <w:t xml:space="preserve">-5.1 </w:t>
      </w:r>
      <w:r w:rsidRPr="00E31E72">
        <w:rPr>
          <w:rFonts w:hint="eastAsia"/>
          <w:sz w:val="24"/>
          <w:szCs w:val="24"/>
          <w:rtl/>
        </w:rPr>
        <w:t>אחוזי</w:t>
      </w:r>
      <w:r w:rsidRPr="00E31E72">
        <w:rPr>
          <w:sz w:val="24"/>
          <w:szCs w:val="24"/>
          <w:rtl/>
        </w:rPr>
        <w:t xml:space="preserve"> </w:t>
      </w:r>
      <w:r w:rsidRPr="00E31E72">
        <w:rPr>
          <w:rFonts w:hint="eastAsia"/>
          <w:sz w:val="24"/>
          <w:szCs w:val="24"/>
          <w:rtl/>
        </w:rPr>
        <w:t>תוצר</w:t>
      </w:r>
      <w:r w:rsidRPr="00E31E72">
        <w:rPr>
          <w:sz w:val="24"/>
          <w:szCs w:val="24"/>
          <w:rtl/>
        </w:rPr>
        <w:t xml:space="preserve">. </w:t>
      </w:r>
      <w:r w:rsidRPr="00E31E72">
        <w:rPr>
          <w:rFonts w:hint="eastAsia"/>
          <w:sz w:val="24"/>
          <w:szCs w:val="24"/>
          <w:rtl/>
        </w:rPr>
        <w:t>תקבולי</w:t>
      </w:r>
      <w:r w:rsidRPr="00E31E72">
        <w:rPr>
          <w:sz w:val="24"/>
          <w:szCs w:val="24"/>
          <w:rtl/>
        </w:rPr>
        <w:t xml:space="preserve"> הממשלה ממיסים </w:t>
      </w:r>
      <w:r w:rsidRPr="00E31E72">
        <w:rPr>
          <w:rFonts w:hint="eastAsia"/>
          <w:sz w:val="24"/>
          <w:szCs w:val="24"/>
          <w:rtl/>
        </w:rPr>
        <w:t>בחודש</w:t>
      </w:r>
      <w:r w:rsidRPr="00E31E72">
        <w:rPr>
          <w:sz w:val="24"/>
          <w:szCs w:val="24"/>
          <w:rtl/>
        </w:rPr>
        <w:t xml:space="preserve"> </w:t>
      </w:r>
      <w:r w:rsidRPr="00E31E72">
        <w:rPr>
          <w:rFonts w:hint="eastAsia"/>
          <w:sz w:val="24"/>
          <w:szCs w:val="24"/>
          <w:rtl/>
        </w:rPr>
        <w:t>מאי</w:t>
      </w:r>
      <w:r w:rsidRPr="00E31E72">
        <w:rPr>
          <w:sz w:val="24"/>
          <w:szCs w:val="24"/>
          <w:rtl/>
        </w:rPr>
        <w:t>, בניכויי שינויי חקיקה והכנסות חד פעמיות, חזר</w:t>
      </w:r>
      <w:r w:rsidRPr="00E31E72">
        <w:rPr>
          <w:rFonts w:hint="eastAsia"/>
          <w:sz w:val="24"/>
          <w:szCs w:val="24"/>
          <w:rtl/>
        </w:rPr>
        <w:t>ו</w:t>
      </w:r>
      <w:r w:rsidRPr="00E31E72">
        <w:rPr>
          <w:sz w:val="24"/>
          <w:szCs w:val="24"/>
          <w:rtl/>
        </w:rPr>
        <w:t xml:space="preserve"> למגמה ארוכת הטווח במחירים קבועים</w:t>
      </w:r>
      <w:r w:rsidRPr="00E31E72">
        <w:rPr>
          <w:rFonts w:hint="cs"/>
          <w:sz w:val="24"/>
          <w:szCs w:val="24"/>
          <w:rtl/>
        </w:rPr>
        <w:t xml:space="preserve"> </w:t>
      </w:r>
      <w:r w:rsidRPr="00E31E72">
        <w:rPr>
          <w:rFonts w:hint="cs"/>
          <w:b/>
          <w:bCs/>
          <w:sz w:val="24"/>
          <w:szCs w:val="24"/>
          <w:rtl/>
        </w:rPr>
        <w:t>(איור 19)</w:t>
      </w:r>
      <w:r w:rsidRPr="00E31E72">
        <w:rPr>
          <w:b/>
          <w:bCs/>
          <w:sz w:val="24"/>
          <w:szCs w:val="24"/>
          <w:rtl/>
        </w:rPr>
        <w:t>.</w:t>
      </w:r>
    </w:p>
    <w:p w:rsidR="008A28D3" w:rsidRPr="00E31E72" w:rsidRDefault="008A28D3" w:rsidP="008A28D3">
      <w:pPr>
        <w:spacing w:after="0" w:line="360" w:lineRule="auto"/>
        <w:jc w:val="both"/>
        <w:rPr>
          <w:sz w:val="24"/>
          <w:szCs w:val="24"/>
          <w:rtl/>
        </w:rPr>
      </w:pPr>
      <w:r w:rsidRPr="00E31E72">
        <w:rPr>
          <w:sz w:val="24"/>
          <w:szCs w:val="24"/>
          <w:rtl/>
        </w:rPr>
        <w:t xml:space="preserve">שוק העבודה </w:t>
      </w:r>
      <w:r w:rsidRPr="00E31E72">
        <w:rPr>
          <w:rFonts w:hint="eastAsia"/>
          <w:sz w:val="24"/>
          <w:szCs w:val="24"/>
          <w:rtl/>
        </w:rPr>
        <w:t>עודנו</w:t>
      </w:r>
      <w:r w:rsidRPr="00E31E72">
        <w:rPr>
          <w:sz w:val="24"/>
          <w:szCs w:val="24"/>
          <w:rtl/>
        </w:rPr>
        <w:t xml:space="preserve"> </w:t>
      </w:r>
      <w:r w:rsidRPr="00E31E72">
        <w:rPr>
          <w:rFonts w:hint="eastAsia"/>
          <w:sz w:val="24"/>
          <w:szCs w:val="24"/>
          <w:rtl/>
        </w:rPr>
        <w:t>הדוק</w:t>
      </w:r>
      <w:r w:rsidRPr="00E31E72">
        <w:rPr>
          <w:sz w:val="24"/>
          <w:szCs w:val="24"/>
          <w:rtl/>
        </w:rPr>
        <w:t>. היחס בין מספר המשרות הפנויות למובטלים עדיין נמצא ברמ</w:t>
      </w:r>
      <w:r w:rsidRPr="00E31E72">
        <w:rPr>
          <w:rFonts w:hint="eastAsia"/>
          <w:sz w:val="24"/>
          <w:szCs w:val="24"/>
          <w:rtl/>
        </w:rPr>
        <w:t>ה</w:t>
      </w:r>
      <w:r w:rsidRPr="00E31E72">
        <w:rPr>
          <w:sz w:val="24"/>
          <w:szCs w:val="24"/>
          <w:rtl/>
        </w:rPr>
        <w:t xml:space="preserve"> גבוה</w:t>
      </w:r>
      <w:r w:rsidRPr="00E31E72">
        <w:rPr>
          <w:rFonts w:hint="eastAsia"/>
          <w:sz w:val="24"/>
          <w:szCs w:val="24"/>
          <w:rtl/>
        </w:rPr>
        <w:t>ה</w:t>
      </w:r>
      <w:r w:rsidRPr="00E31E72">
        <w:rPr>
          <w:sz w:val="24"/>
          <w:szCs w:val="24"/>
          <w:rtl/>
        </w:rPr>
        <w:t xml:space="preserve">. שיעור האבטלה הרחבה בחודש מאי של גילאי 64-25 </w:t>
      </w:r>
      <w:r w:rsidRPr="00E31E72">
        <w:rPr>
          <w:rFonts w:hint="eastAsia"/>
          <w:sz w:val="24"/>
          <w:szCs w:val="24"/>
          <w:rtl/>
        </w:rPr>
        <w:t>יציב</w:t>
      </w:r>
      <w:r w:rsidRPr="00E31E72">
        <w:rPr>
          <w:sz w:val="24"/>
          <w:szCs w:val="24"/>
          <w:rtl/>
        </w:rPr>
        <w:t xml:space="preserve"> </w:t>
      </w:r>
      <w:r w:rsidRPr="00E31E72">
        <w:rPr>
          <w:rFonts w:hint="eastAsia"/>
          <w:sz w:val="24"/>
          <w:szCs w:val="24"/>
          <w:rtl/>
        </w:rPr>
        <w:t>ועומד</w:t>
      </w:r>
      <w:r w:rsidRPr="00E31E72">
        <w:rPr>
          <w:sz w:val="24"/>
          <w:szCs w:val="24"/>
          <w:rtl/>
        </w:rPr>
        <w:t xml:space="preserve"> </w:t>
      </w:r>
      <w:r w:rsidRPr="00E31E72">
        <w:rPr>
          <w:rFonts w:hint="eastAsia"/>
          <w:sz w:val="24"/>
          <w:szCs w:val="24"/>
          <w:rtl/>
        </w:rPr>
        <w:t>על</w:t>
      </w:r>
      <w:r w:rsidRPr="00E31E72">
        <w:rPr>
          <w:sz w:val="24"/>
          <w:szCs w:val="24"/>
          <w:rtl/>
        </w:rPr>
        <w:t xml:space="preserve"> 2.9% </w:t>
      </w:r>
      <w:r>
        <w:rPr>
          <w:rFonts w:hint="cs"/>
          <w:sz w:val="24"/>
          <w:szCs w:val="24"/>
          <w:rtl/>
        </w:rPr>
        <w:t xml:space="preserve">בניכוי עונתיות </w:t>
      </w:r>
      <w:r w:rsidRPr="00E31E72">
        <w:rPr>
          <w:sz w:val="24"/>
          <w:szCs w:val="24"/>
          <w:rtl/>
        </w:rPr>
        <w:t>(לגילאי 15+ עלה ל-3.4</w:t>
      </w:r>
      <w:r>
        <w:rPr>
          <w:rFonts w:hint="cs"/>
          <w:sz w:val="24"/>
          <w:szCs w:val="24"/>
          <w:rtl/>
        </w:rPr>
        <w:t>%</w:t>
      </w:r>
      <w:r w:rsidRPr="00E31E72">
        <w:rPr>
          <w:sz w:val="24"/>
          <w:szCs w:val="24"/>
          <w:rtl/>
        </w:rPr>
        <w:t xml:space="preserve">) </w:t>
      </w:r>
      <w:r w:rsidRPr="00E31E72">
        <w:rPr>
          <w:b/>
          <w:bCs/>
          <w:sz w:val="24"/>
          <w:szCs w:val="24"/>
          <w:rtl/>
        </w:rPr>
        <w:t>(איור 1</w:t>
      </w:r>
      <w:r>
        <w:rPr>
          <w:rFonts w:hint="cs"/>
          <w:b/>
          <w:bCs/>
          <w:sz w:val="24"/>
          <w:szCs w:val="24"/>
          <w:rtl/>
        </w:rPr>
        <w:t>2</w:t>
      </w:r>
      <w:r w:rsidRPr="00E31E72">
        <w:rPr>
          <w:b/>
          <w:bCs/>
          <w:sz w:val="24"/>
          <w:szCs w:val="24"/>
          <w:rtl/>
        </w:rPr>
        <w:t>ב').</w:t>
      </w:r>
      <w:r w:rsidRPr="00E31E72">
        <w:rPr>
          <w:sz w:val="24"/>
          <w:szCs w:val="24"/>
          <w:rtl/>
        </w:rPr>
        <w:t xml:space="preserve"> שיעור המשרות הפנויות </w:t>
      </w:r>
      <w:r w:rsidRPr="00E31E72">
        <w:rPr>
          <w:rFonts w:hint="eastAsia"/>
          <w:sz w:val="24"/>
          <w:szCs w:val="24"/>
          <w:rtl/>
        </w:rPr>
        <w:t>עלה</w:t>
      </w:r>
      <w:r w:rsidRPr="00E31E72">
        <w:rPr>
          <w:sz w:val="24"/>
          <w:szCs w:val="24"/>
          <w:rtl/>
        </w:rPr>
        <w:t xml:space="preserve"> </w:t>
      </w:r>
      <w:r w:rsidRPr="00E31E72">
        <w:rPr>
          <w:rFonts w:hint="eastAsia"/>
          <w:sz w:val="24"/>
          <w:szCs w:val="24"/>
          <w:rtl/>
        </w:rPr>
        <w:t>מעט</w:t>
      </w:r>
      <w:r w:rsidRPr="00E31E72">
        <w:rPr>
          <w:sz w:val="24"/>
          <w:szCs w:val="24"/>
          <w:rtl/>
        </w:rPr>
        <w:t xml:space="preserve"> ועמד על 4.4% בחודש </w:t>
      </w:r>
      <w:r w:rsidRPr="00E31E72">
        <w:rPr>
          <w:rFonts w:hint="eastAsia"/>
          <w:sz w:val="24"/>
          <w:szCs w:val="24"/>
          <w:rtl/>
        </w:rPr>
        <w:t>מאי</w:t>
      </w:r>
      <w:r w:rsidRPr="00E31E72">
        <w:rPr>
          <w:sz w:val="24"/>
          <w:szCs w:val="24"/>
          <w:rtl/>
        </w:rPr>
        <w:t xml:space="preserve"> והוא יציב בשנה האחרונה</w:t>
      </w:r>
      <w:r w:rsidRPr="00E31E72">
        <w:rPr>
          <w:rFonts w:hint="cs"/>
          <w:sz w:val="24"/>
          <w:szCs w:val="24"/>
          <w:rtl/>
        </w:rPr>
        <w:t>,</w:t>
      </w:r>
      <w:r w:rsidRPr="00E31E72">
        <w:rPr>
          <w:sz w:val="24"/>
          <w:szCs w:val="24"/>
          <w:rtl/>
        </w:rPr>
        <w:t xml:space="preserve"> ברמה </w:t>
      </w:r>
      <w:r w:rsidRPr="00E31E72">
        <w:rPr>
          <w:rFonts w:hint="cs"/>
          <w:sz w:val="24"/>
          <w:szCs w:val="24"/>
          <w:rtl/>
        </w:rPr>
        <w:t>ה</w:t>
      </w:r>
      <w:r w:rsidRPr="00E31E72">
        <w:rPr>
          <w:sz w:val="24"/>
          <w:szCs w:val="24"/>
          <w:rtl/>
        </w:rPr>
        <w:t xml:space="preserve">גבוהה מזו של טרם מלחמת "חרבות ברזל" </w:t>
      </w:r>
      <w:r w:rsidRPr="00E31E72">
        <w:rPr>
          <w:b/>
          <w:bCs/>
          <w:sz w:val="24"/>
          <w:szCs w:val="24"/>
          <w:rtl/>
        </w:rPr>
        <w:t xml:space="preserve">(איור </w:t>
      </w:r>
      <w:r w:rsidRPr="00E31E72">
        <w:rPr>
          <w:rFonts w:hint="cs"/>
          <w:b/>
          <w:bCs/>
          <w:sz w:val="24"/>
          <w:szCs w:val="24"/>
          <w:rtl/>
        </w:rPr>
        <w:t>15א'</w:t>
      </w:r>
      <w:r w:rsidRPr="00E31E72">
        <w:rPr>
          <w:b/>
          <w:bCs/>
          <w:sz w:val="24"/>
          <w:szCs w:val="24"/>
          <w:rtl/>
        </w:rPr>
        <w:t>).</w:t>
      </w:r>
      <w:r w:rsidRPr="00E31E72">
        <w:rPr>
          <w:sz w:val="24"/>
          <w:szCs w:val="24"/>
          <w:rtl/>
        </w:rPr>
        <w:t xml:space="preserve"> שיעור הנעדרים זמנית בשל מילואים </w:t>
      </w:r>
      <w:r w:rsidRPr="00E31E72">
        <w:rPr>
          <w:rFonts w:hint="cs"/>
          <w:sz w:val="24"/>
          <w:szCs w:val="24"/>
          <w:rtl/>
        </w:rPr>
        <w:t>נותר ללא שינוי</w:t>
      </w:r>
      <w:r w:rsidRPr="00E31E72">
        <w:rPr>
          <w:sz w:val="24"/>
          <w:szCs w:val="24"/>
          <w:rtl/>
        </w:rPr>
        <w:t xml:space="preserve"> ועמד </w:t>
      </w:r>
      <w:r w:rsidRPr="00E31E72">
        <w:rPr>
          <w:rFonts w:hint="cs"/>
          <w:sz w:val="24"/>
          <w:szCs w:val="24"/>
          <w:rtl/>
        </w:rPr>
        <w:t>במאי</w:t>
      </w:r>
      <w:r w:rsidRPr="00E31E72">
        <w:rPr>
          <w:sz w:val="24"/>
          <w:szCs w:val="24"/>
          <w:rtl/>
        </w:rPr>
        <w:t xml:space="preserve"> על 0.</w:t>
      </w:r>
      <w:r w:rsidRPr="00E31E72">
        <w:rPr>
          <w:rFonts w:hint="cs"/>
          <w:sz w:val="24"/>
          <w:szCs w:val="24"/>
          <w:rtl/>
        </w:rPr>
        <w:t>5</w:t>
      </w:r>
      <w:r w:rsidRPr="00E31E72">
        <w:rPr>
          <w:sz w:val="24"/>
          <w:szCs w:val="24"/>
          <w:rtl/>
        </w:rPr>
        <w:t>%</w:t>
      </w:r>
      <w:r w:rsidRPr="00E31E72">
        <w:rPr>
          <w:rFonts w:hint="cs"/>
          <w:sz w:val="24"/>
          <w:szCs w:val="24"/>
          <w:rtl/>
        </w:rPr>
        <w:t>.</w:t>
      </w:r>
      <w:r w:rsidRPr="00E31E72">
        <w:rPr>
          <w:b/>
          <w:bCs/>
          <w:sz w:val="24"/>
          <w:szCs w:val="24"/>
          <w:rtl/>
        </w:rPr>
        <w:t xml:space="preserve"> </w:t>
      </w:r>
      <w:r w:rsidRPr="00E31E72">
        <w:rPr>
          <w:sz w:val="24"/>
          <w:szCs w:val="24"/>
          <w:rtl/>
        </w:rPr>
        <w:t>שיעור התעסוקה ושיעור ההשתתפות של גיל</w:t>
      </w:r>
      <w:r w:rsidRPr="00E31E72">
        <w:rPr>
          <w:rFonts w:hint="eastAsia"/>
          <w:sz w:val="24"/>
          <w:szCs w:val="24"/>
          <w:rtl/>
        </w:rPr>
        <w:t>א</w:t>
      </w:r>
      <w:r w:rsidRPr="00E31E72">
        <w:rPr>
          <w:sz w:val="24"/>
          <w:szCs w:val="24"/>
          <w:rtl/>
        </w:rPr>
        <w:t xml:space="preserve">י 64-25 </w:t>
      </w:r>
      <w:r w:rsidRPr="00E31E72">
        <w:rPr>
          <w:rFonts w:hint="eastAsia"/>
          <w:sz w:val="24"/>
          <w:szCs w:val="24"/>
          <w:rtl/>
        </w:rPr>
        <w:t>בחודש</w:t>
      </w:r>
      <w:r w:rsidRPr="00E31E72">
        <w:rPr>
          <w:sz w:val="24"/>
          <w:szCs w:val="24"/>
          <w:rtl/>
        </w:rPr>
        <w:t xml:space="preserve"> </w:t>
      </w:r>
      <w:r w:rsidRPr="00E31E72">
        <w:rPr>
          <w:rFonts w:hint="eastAsia"/>
          <w:sz w:val="24"/>
          <w:szCs w:val="24"/>
          <w:rtl/>
        </w:rPr>
        <w:t>מאי</w:t>
      </w:r>
      <w:r w:rsidRPr="00E31E72">
        <w:rPr>
          <w:sz w:val="24"/>
          <w:szCs w:val="24"/>
          <w:rtl/>
        </w:rPr>
        <w:t xml:space="preserve"> </w:t>
      </w:r>
      <w:r w:rsidRPr="00E31E72">
        <w:rPr>
          <w:rFonts w:hint="eastAsia"/>
          <w:sz w:val="24"/>
          <w:szCs w:val="24"/>
          <w:rtl/>
        </w:rPr>
        <w:t>עומדים</w:t>
      </w:r>
      <w:r w:rsidRPr="00E31E72">
        <w:rPr>
          <w:sz w:val="24"/>
          <w:szCs w:val="24"/>
          <w:rtl/>
        </w:rPr>
        <w:t xml:space="preserve"> </w:t>
      </w:r>
      <w:r w:rsidRPr="00E31E72">
        <w:rPr>
          <w:rFonts w:hint="eastAsia"/>
          <w:sz w:val="24"/>
          <w:szCs w:val="24"/>
          <w:rtl/>
        </w:rPr>
        <w:t>על</w:t>
      </w:r>
      <w:r w:rsidRPr="00E31E72">
        <w:rPr>
          <w:sz w:val="24"/>
          <w:szCs w:val="24"/>
          <w:rtl/>
        </w:rPr>
        <w:t xml:space="preserve"> 79.2% ו-81.3% </w:t>
      </w:r>
      <w:r w:rsidRPr="00E31E72">
        <w:rPr>
          <w:rFonts w:hint="eastAsia"/>
          <w:sz w:val="24"/>
          <w:szCs w:val="24"/>
          <w:rtl/>
        </w:rPr>
        <w:t>בהתאמה</w:t>
      </w:r>
      <w:r w:rsidRPr="00E31E72">
        <w:rPr>
          <w:sz w:val="24"/>
          <w:szCs w:val="24"/>
          <w:rtl/>
        </w:rPr>
        <w:t xml:space="preserve">, והם </w:t>
      </w:r>
      <w:r w:rsidRPr="00E31E72">
        <w:rPr>
          <w:rFonts w:hint="eastAsia"/>
          <w:sz w:val="24"/>
          <w:szCs w:val="24"/>
          <w:rtl/>
        </w:rPr>
        <w:t>נמוכים</w:t>
      </w:r>
      <w:r w:rsidRPr="00E31E72">
        <w:rPr>
          <w:sz w:val="24"/>
          <w:szCs w:val="24"/>
          <w:rtl/>
        </w:rPr>
        <w:t xml:space="preserve"> </w:t>
      </w:r>
      <w:r w:rsidRPr="00E31E72">
        <w:rPr>
          <w:rFonts w:hint="eastAsia"/>
          <w:sz w:val="24"/>
          <w:szCs w:val="24"/>
          <w:rtl/>
        </w:rPr>
        <w:t>מעט</w:t>
      </w:r>
      <w:r w:rsidRPr="00E31E72">
        <w:rPr>
          <w:sz w:val="24"/>
          <w:szCs w:val="24"/>
          <w:rtl/>
        </w:rPr>
        <w:t xml:space="preserve"> </w:t>
      </w:r>
      <w:r w:rsidRPr="00E31E72">
        <w:rPr>
          <w:rFonts w:hint="eastAsia"/>
          <w:sz w:val="24"/>
          <w:szCs w:val="24"/>
          <w:rtl/>
        </w:rPr>
        <w:t>מרמתם</w:t>
      </w:r>
      <w:r w:rsidRPr="00E31E72">
        <w:rPr>
          <w:sz w:val="24"/>
          <w:szCs w:val="24"/>
          <w:rtl/>
        </w:rPr>
        <w:t xml:space="preserve"> </w:t>
      </w:r>
      <w:r w:rsidRPr="00E31E72">
        <w:rPr>
          <w:rFonts w:hint="eastAsia"/>
          <w:sz w:val="24"/>
          <w:szCs w:val="24"/>
          <w:rtl/>
        </w:rPr>
        <w:t>ערב</w:t>
      </w:r>
      <w:r w:rsidRPr="00E31E72">
        <w:rPr>
          <w:sz w:val="24"/>
          <w:szCs w:val="24"/>
          <w:rtl/>
        </w:rPr>
        <w:t xml:space="preserve"> </w:t>
      </w:r>
      <w:r w:rsidRPr="00E31E72">
        <w:rPr>
          <w:rFonts w:hint="eastAsia"/>
          <w:sz w:val="24"/>
          <w:szCs w:val="24"/>
          <w:rtl/>
        </w:rPr>
        <w:t>מלחמת</w:t>
      </w:r>
      <w:r w:rsidRPr="00E31E72">
        <w:rPr>
          <w:sz w:val="24"/>
          <w:szCs w:val="24"/>
          <w:rtl/>
        </w:rPr>
        <w:t xml:space="preserve"> "חרבות </w:t>
      </w:r>
      <w:r w:rsidRPr="00E31E72">
        <w:rPr>
          <w:rFonts w:hint="eastAsia"/>
          <w:sz w:val="24"/>
          <w:szCs w:val="24"/>
          <w:rtl/>
        </w:rPr>
        <w:t>ברזל</w:t>
      </w:r>
      <w:r w:rsidRPr="00E31E72">
        <w:rPr>
          <w:sz w:val="24"/>
          <w:szCs w:val="24"/>
          <w:rtl/>
        </w:rPr>
        <w:t xml:space="preserve">" </w:t>
      </w:r>
      <w:r w:rsidRPr="00E31E72">
        <w:rPr>
          <w:b/>
          <w:bCs/>
          <w:sz w:val="24"/>
          <w:szCs w:val="24"/>
          <w:rtl/>
        </w:rPr>
        <w:t>(איור 1</w:t>
      </w:r>
      <w:r>
        <w:rPr>
          <w:rFonts w:hint="cs"/>
          <w:b/>
          <w:bCs/>
          <w:sz w:val="24"/>
          <w:szCs w:val="24"/>
          <w:rtl/>
        </w:rPr>
        <w:t>2</w:t>
      </w:r>
      <w:r w:rsidRPr="00E31E72">
        <w:rPr>
          <w:b/>
          <w:bCs/>
          <w:sz w:val="24"/>
          <w:szCs w:val="24"/>
          <w:rtl/>
        </w:rPr>
        <w:t>א').</w:t>
      </w:r>
      <w:r w:rsidRPr="00E31E72">
        <w:rPr>
          <w:sz w:val="24"/>
          <w:szCs w:val="24"/>
          <w:rtl/>
        </w:rPr>
        <w:t xml:space="preserve"> השכר הנומינלי </w:t>
      </w:r>
      <w:r w:rsidRPr="007869FC">
        <w:rPr>
          <w:sz w:val="24"/>
          <w:szCs w:val="24"/>
          <w:rtl/>
        </w:rPr>
        <w:t xml:space="preserve">בשלושת החודשים האחרונים </w:t>
      </w:r>
      <w:r w:rsidRPr="007869FC">
        <w:rPr>
          <w:rFonts w:hint="eastAsia"/>
          <w:sz w:val="24"/>
          <w:szCs w:val="24"/>
          <w:rtl/>
        </w:rPr>
        <w:t>גדל</w:t>
      </w:r>
      <w:r w:rsidRPr="007869FC">
        <w:rPr>
          <w:sz w:val="24"/>
          <w:szCs w:val="24"/>
          <w:rtl/>
        </w:rPr>
        <w:t xml:space="preserve"> ב-4.</w:t>
      </w:r>
      <w:r w:rsidRPr="007869FC">
        <w:rPr>
          <w:rFonts w:hint="cs"/>
          <w:sz w:val="24"/>
          <w:szCs w:val="24"/>
          <w:rtl/>
        </w:rPr>
        <w:t>5</w:t>
      </w:r>
      <w:r w:rsidRPr="007869FC">
        <w:rPr>
          <w:sz w:val="24"/>
          <w:szCs w:val="24"/>
          <w:rtl/>
        </w:rPr>
        <w:t xml:space="preserve">% </w:t>
      </w:r>
      <w:r w:rsidRPr="007869FC">
        <w:rPr>
          <w:rFonts w:hint="cs"/>
          <w:sz w:val="24"/>
          <w:szCs w:val="24"/>
          <w:rtl/>
        </w:rPr>
        <w:t>(</w:t>
      </w:r>
      <w:r w:rsidRPr="007869FC">
        <w:rPr>
          <w:sz w:val="24"/>
          <w:szCs w:val="24"/>
          <w:rtl/>
        </w:rPr>
        <w:t>במונחים שנתיים</w:t>
      </w:r>
      <w:r w:rsidRPr="007869FC">
        <w:rPr>
          <w:rFonts w:hint="cs"/>
          <w:sz w:val="24"/>
          <w:szCs w:val="24"/>
          <w:rtl/>
        </w:rPr>
        <w:t>)</w:t>
      </w:r>
      <w:r w:rsidRPr="007869FC">
        <w:rPr>
          <w:sz w:val="24"/>
          <w:szCs w:val="24"/>
          <w:rtl/>
        </w:rPr>
        <w:t xml:space="preserve"> </w:t>
      </w:r>
      <w:r w:rsidRPr="007869FC">
        <w:rPr>
          <w:rFonts w:hint="eastAsia"/>
          <w:sz w:val="24"/>
          <w:szCs w:val="24"/>
          <w:rtl/>
        </w:rPr>
        <w:t>בהשוואה</w:t>
      </w:r>
      <w:r w:rsidRPr="007869FC">
        <w:rPr>
          <w:sz w:val="24"/>
          <w:szCs w:val="24"/>
          <w:rtl/>
        </w:rPr>
        <w:t xml:space="preserve"> לרבעון השלישי של </w:t>
      </w:r>
      <w:r>
        <w:rPr>
          <w:rFonts w:hint="cs"/>
          <w:sz w:val="24"/>
          <w:szCs w:val="24"/>
          <w:rtl/>
        </w:rPr>
        <w:t xml:space="preserve"> </w:t>
      </w:r>
      <w:r w:rsidRPr="007869FC">
        <w:rPr>
          <w:sz w:val="24"/>
          <w:szCs w:val="24"/>
          <w:rtl/>
        </w:rPr>
        <w:t>2023</w:t>
      </w:r>
      <w:r>
        <w:rPr>
          <w:rFonts w:hint="cs"/>
          <w:sz w:val="24"/>
          <w:szCs w:val="24"/>
          <w:rtl/>
        </w:rPr>
        <w:t xml:space="preserve"> </w:t>
      </w:r>
      <w:r w:rsidRPr="00EF032F">
        <w:rPr>
          <w:rFonts w:hint="cs"/>
          <w:b/>
          <w:bCs/>
          <w:sz w:val="24"/>
          <w:szCs w:val="24"/>
          <w:rtl/>
        </w:rPr>
        <w:t>(איור 13)</w:t>
      </w:r>
      <w:r w:rsidRPr="00EF032F">
        <w:rPr>
          <w:b/>
          <w:bCs/>
          <w:sz w:val="24"/>
          <w:szCs w:val="24"/>
          <w:rtl/>
        </w:rPr>
        <w:t>.</w:t>
      </w:r>
      <w:r w:rsidRPr="007869FC">
        <w:rPr>
          <w:sz w:val="24"/>
          <w:szCs w:val="24"/>
          <w:rtl/>
        </w:rPr>
        <w:t xml:space="preserve"> במהלך החודשים האחרונים קצב עליית השכר במגזר העסקי </w:t>
      </w:r>
      <w:r w:rsidRPr="007869FC">
        <w:rPr>
          <w:rFonts w:hint="eastAsia"/>
          <w:sz w:val="24"/>
          <w:szCs w:val="24"/>
          <w:rtl/>
        </w:rPr>
        <w:t>גבוה</w:t>
      </w:r>
      <w:r w:rsidRPr="007869FC">
        <w:rPr>
          <w:sz w:val="24"/>
          <w:szCs w:val="24"/>
          <w:rtl/>
        </w:rPr>
        <w:t xml:space="preserve"> </w:t>
      </w:r>
      <w:r w:rsidRPr="007869FC">
        <w:rPr>
          <w:rFonts w:hint="eastAsia"/>
          <w:sz w:val="24"/>
          <w:szCs w:val="24"/>
          <w:rtl/>
        </w:rPr>
        <w:t>יחסית</w:t>
      </w:r>
      <w:r w:rsidRPr="007869FC">
        <w:rPr>
          <w:sz w:val="24"/>
          <w:szCs w:val="24"/>
          <w:rtl/>
        </w:rPr>
        <w:t xml:space="preserve">, כך שקצב הגידול </w:t>
      </w:r>
      <w:r w:rsidRPr="007869FC">
        <w:rPr>
          <w:rFonts w:hint="cs"/>
          <w:sz w:val="24"/>
          <w:szCs w:val="24"/>
          <w:rtl/>
        </w:rPr>
        <w:t xml:space="preserve">בהשוואה לאותה התקופה </w:t>
      </w:r>
      <w:r w:rsidRPr="007869FC">
        <w:rPr>
          <w:sz w:val="24"/>
          <w:szCs w:val="24"/>
          <w:rtl/>
        </w:rPr>
        <w:t>היה 5.2% (במונחים שנתיים)</w:t>
      </w:r>
      <w:r>
        <w:rPr>
          <w:rFonts w:hint="cs"/>
          <w:sz w:val="24"/>
          <w:szCs w:val="24"/>
          <w:rtl/>
        </w:rPr>
        <w:t xml:space="preserve"> </w:t>
      </w:r>
      <w:r w:rsidRPr="00EF032F">
        <w:rPr>
          <w:b/>
          <w:bCs/>
          <w:sz w:val="24"/>
          <w:szCs w:val="24"/>
          <w:rtl/>
        </w:rPr>
        <w:t xml:space="preserve">(איור </w:t>
      </w:r>
      <w:r w:rsidRPr="00EF032F">
        <w:rPr>
          <w:rFonts w:hint="cs"/>
          <w:b/>
          <w:bCs/>
          <w:sz w:val="24"/>
          <w:szCs w:val="24"/>
          <w:rtl/>
        </w:rPr>
        <w:t>14</w:t>
      </w:r>
      <w:r w:rsidRPr="00EF032F">
        <w:rPr>
          <w:b/>
          <w:bCs/>
          <w:sz w:val="24"/>
          <w:szCs w:val="24"/>
          <w:rtl/>
        </w:rPr>
        <w:t>).</w:t>
      </w:r>
      <w:r w:rsidRPr="007869FC">
        <w:rPr>
          <w:sz w:val="24"/>
          <w:szCs w:val="24"/>
          <w:rtl/>
        </w:rPr>
        <w:t xml:space="preserve"> </w:t>
      </w:r>
      <w:r w:rsidRPr="00E31E72">
        <w:rPr>
          <w:sz w:val="24"/>
          <w:szCs w:val="24"/>
          <w:rtl/>
        </w:rPr>
        <w:t xml:space="preserve">השכר במגזר </w:t>
      </w:r>
      <w:r w:rsidRPr="00E31E72">
        <w:rPr>
          <w:rFonts w:hint="eastAsia"/>
          <w:sz w:val="24"/>
          <w:szCs w:val="24"/>
          <w:rtl/>
        </w:rPr>
        <w:t>העסקי</w:t>
      </w:r>
      <w:r w:rsidRPr="00E31E72">
        <w:rPr>
          <w:sz w:val="24"/>
          <w:szCs w:val="24"/>
          <w:rtl/>
        </w:rPr>
        <w:t xml:space="preserve"> ללא היי טק עולה </w:t>
      </w:r>
      <w:r w:rsidRPr="00E31E72">
        <w:rPr>
          <w:rFonts w:hint="eastAsia"/>
          <w:sz w:val="24"/>
          <w:szCs w:val="24"/>
          <w:rtl/>
        </w:rPr>
        <w:t>אף</w:t>
      </w:r>
      <w:r w:rsidRPr="00E31E72">
        <w:rPr>
          <w:sz w:val="24"/>
          <w:szCs w:val="24"/>
          <w:rtl/>
        </w:rPr>
        <w:t xml:space="preserve"> </w:t>
      </w:r>
      <w:r w:rsidRPr="00E31E72">
        <w:rPr>
          <w:rFonts w:hint="eastAsia"/>
          <w:sz w:val="24"/>
          <w:szCs w:val="24"/>
          <w:rtl/>
        </w:rPr>
        <w:t>בקצב</w:t>
      </w:r>
      <w:r w:rsidRPr="00E31E72">
        <w:rPr>
          <w:sz w:val="24"/>
          <w:szCs w:val="24"/>
          <w:rtl/>
        </w:rPr>
        <w:t xml:space="preserve"> </w:t>
      </w:r>
      <w:r w:rsidRPr="00E31E72">
        <w:rPr>
          <w:rFonts w:hint="eastAsia"/>
          <w:sz w:val="24"/>
          <w:szCs w:val="24"/>
          <w:rtl/>
        </w:rPr>
        <w:t>גבוה</w:t>
      </w:r>
      <w:r w:rsidRPr="00E31E72">
        <w:rPr>
          <w:sz w:val="24"/>
          <w:szCs w:val="24"/>
          <w:rtl/>
        </w:rPr>
        <w:t xml:space="preserve"> יותר בעוד </w:t>
      </w:r>
      <w:r w:rsidRPr="00E31E72">
        <w:rPr>
          <w:rFonts w:hint="eastAsia"/>
          <w:sz w:val="24"/>
          <w:szCs w:val="24"/>
          <w:rtl/>
        </w:rPr>
        <w:t>ש</w:t>
      </w:r>
      <w:r w:rsidRPr="00E31E72">
        <w:rPr>
          <w:sz w:val="24"/>
          <w:szCs w:val="24"/>
          <w:rtl/>
        </w:rPr>
        <w:t xml:space="preserve">במגזר </w:t>
      </w:r>
      <w:r w:rsidRPr="00E31E72">
        <w:rPr>
          <w:rFonts w:hint="eastAsia"/>
          <w:sz w:val="24"/>
          <w:szCs w:val="24"/>
          <w:rtl/>
        </w:rPr>
        <w:t>הציבורי</w:t>
      </w:r>
      <w:r w:rsidRPr="00E31E72">
        <w:rPr>
          <w:sz w:val="24"/>
          <w:szCs w:val="24"/>
          <w:rtl/>
        </w:rPr>
        <w:t xml:space="preserve"> </w:t>
      </w:r>
      <w:r w:rsidRPr="00E31E72">
        <w:rPr>
          <w:rFonts w:hint="eastAsia"/>
          <w:sz w:val="24"/>
          <w:szCs w:val="24"/>
          <w:rtl/>
        </w:rPr>
        <w:t>הקצב</w:t>
      </w:r>
      <w:r w:rsidRPr="00E31E72">
        <w:rPr>
          <w:sz w:val="24"/>
          <w:szCs w:val="24"/>
          <w:rtl/>
        </w:rPr>
        <w:t xml:space="preserve"> מתון. השכר הריאלי למשרת שכיר בכלל המשק שומר על רמתו בחודשים האחרונים וצמח ב-1.1% </w:t>
      </w:r>
      <w:r>
        <w:rPr>
          <w:sz w:val="24"/>
          <w:szCs w:val="24"/>
          <w:rtl/>
        </w:rPr>
        <w:t>במונחים שנתיים ביחס לאותה תקופה</w:t>
      </w:r>
      <w:r>
        <w:rPr>
          <w:rFonts w:hint="cs"/>
          <w:sz w:val="24"/>
          <w:szCs w:val="24"/>
          <w:rtl/>
        </w:rPr>
        <w:t>.</w:t>
      </w:r>
    </w:p>
    <w:p w:rsidR="008A28D3" w:rsidRPr="00E31E72" w:rsidRDefault="008A28D3" w:rsidP="008A28D3">
      <w:pPr>
        <w:spacing w:after="0" w:line="360" w:lineRule="auto"/>
        <w:jc w:val="both"/>
        <w:rPr>
          <w:sz w:val="24"/>
          <w:szCs w:val="24"/>
          <w:rtl/>
        </w:rPr>
      </w:pPr>
      <w:r w:rsidRPr="00E31E72">
        <w:rPr>
          <w:sz w:val="24"/>
          <w:szCs w:val="24"/>
          <w:rtl/>
        </w:rPr>
        <w:t>הפעילות בענף הבינוי התמתנה ברביע הראשון של השנה אך נותרה ברמה גבוהה מנתוני הלמ"ס עולה כי ביחס לרביע המקביל אשתקד</w:t>
      </w:r>
      <w:r w:rsidRPr="00E31E72">
        <w:rPr>
          <w:rFonts w:hint="eastAsia"/>
          <w:sz w:val="24"/>
          <w:szCs w:val="24"/>
          <w:rtl/>
        </w:rPr>
        <w:t xml:space="preserve"> </w:t>
      </w:r>
      <w:r w:rsidRPr="00E31E72">
        <w:rPr>
          <w:sz w:val="24"/>
          <w:szCs w:val="24"/>
          <w:rtl/>
        </w:rPr>
        <w:t xml:space="preserve">חלה עלייה </w:t>
      </w:r>
      <w:r w:rsidRPr="00E31E72">
        <w:rPr>
          <w:rFonts w:hint="eastAsia"/>
          <w:sz w:val="24"/>
          <w:szCs w:val="24"/>
          <w:rtl/>
        </w:rPr>
        <w:t>של</w:t>
      </w:r>
      <w:r w:rsidRPr="00E31E72">
        <w:rPr>
          <w:sz w:val="24"/>
          <w:szCs w:val="24"/>
          <w:rtl/>
        </w:rPr>
        <w:t xml:space="preserve"> 6.5% בנתוני התחלות הבנייה  ו-14.2% </w:t>
      </w:r>
      <w:r w:rsidRPr="00E31E72">
        <w:rPr>
          <w:rFonts w:hint="eastAsia"/>
          <w:sz w:val="24"/>
          <w:szCs w:val="24"/>
          <w:rtl/>
        </w:rPr>
        <w:t>ב</w:t>
      </w:r>
      <w:r w:rsidRPr="00E31E72">
        <w:rPr>
          <w:sz w:val="24"/>
          <w:szCs w:val="24"/>
          <w:rtl/>
        </w:rPr>
        <w:t xml:space="preserve">היתרי הבנייה. אולם בסיומי הבניה חלה ירידה של 8.8%, ורמתם עדיין נמוכה </w:t>
      </w:r>
      <w:r w:rsidRPr="00E31E72">
        <w:rPr>
          <w:rFonts w:hint="eastAsia"/>
          <w:sz w:val="24"/>
          <w:szCs w:val="24"/>
          <w:rtl/>
        </w:rPr>
        <w:t>מערב</w:t>
      </w:r>
      <w:r w:rsidRPr="00E31E72">
        <w:rPr>
          <w:sz w:val="24"/>
          <w:szCs w:val="24"/>
          <w:rtl/>
        </w:rPr>
        <w:t xml:space="preserve"> המלחמה </w:t>
      </w:r>
      <w:r w:rsidRPr="00CD59DC">
        <w:rPr>
          <w:b/>
          <w:bCs/>
          <w:sz w:val="24"/>
          <w:szCs w:val="24"/>
          <w:rtl/>
        </w:rPr>
        <w:t>(איור 1</w:t>
      </w:r>
      <w:r w:rsidRPr="00CD59DC">
        <w:rPr>
          <w:rFonts w:hint="cs"/>
          <w:b/>
          <w:bCs/>
          <w:sz w:val="24"/>
          <w:szCs w:val="24"/>
          <w:rtl/>
        </w:rPr>
        <w:t>8</w:t>
      </w:r>
      <w:r w:rsidRPr="00CD59DC">
        <w:rPr>
          <w:b/>
          <w:bCs/>
          <w:sz w:val="24"/>
          <w:szCs w:val="24"/>
          <w:rtl/>
        </w:rPr>
        <w:t>א').</w:t>
      </w:r>
      <w:r w:rsidRPr="00E31E72">
        <w:rPr>
          <w:sz w:val="24"/>
          <w:szCs w:val="24"/>
          <w:rtl/>
        </w:rPr>
        <w:t xml:space="preserve"> היקף </w:t>
      </w:r>
      <w:r>
        <w:rPr>
          <w:rFonts w:hint="cs"/>
          <w:sz w:val="24"/>
          <w:szCs w:val="24"/>
          <w:rtl/>
        </w:rPr>
        <w:t>ה</w:t>
      </w:r>
      <w:r w:rsidRPr="00E31E72">
        <w:rPr>
          <w:sz w:val="24"/>
          <w:szCs w:val="24"/>
          <w:rtl/>
        </w:rPr>
        <w:t xml:space="preserve">עסקאות נמוך מעט בהשוואה לשנים האחרונות. קצב העלייה השנתי של סעיף הדיור במדד המחירים לצרכן </w:t>
      </w:r>
      <w:r w:rsidRPr="00E31E72">
        <w:rPr>
          <w:rFonts w:hint="eastAsia"/>
          <w:sz w:val="24"/>
          <w:szCs w:val="24"/>
          <w:rtl/>
        </w:rPr>
        <w:t>התמתן</w:t>
      </w:r>
      <w:r w:rsidRPr="00E31E72">
        <w:rPr>
          <w:sz w:val="24"/>
          <w:szCs w:val="24"/>
          <w:rtl/>
        </w:rPr>
        <w:t xml:space="preserve"> </w:t>
      </w:r>
      <w:r w:rsidRPr="00E31E72">
        <w:rPr>
          <w:rFonts w:hint="eastAsia"/>
          <w:sz w:val="24"/>
          <w:szCs w:val="24"/>
          <w:rtl/>
        </w:rPr>
        <w:t>מעט</w:t>
      </w:r>
      <w:r w:rsidRPr="00E31E72">
        <w:rPr>
          <w:sz w:val="24"/>
          <w:szCs w:val="24"/>
          <w:rtl/>
        </w:rPr>
        <w:t xml:space="preserve"> ועומד על 4%. קצב עליית מחירי הדירות ממשיך לרדת ועמד על 5.1% בהשוואה ל-6.</w:t>
      </w:r>
      <w:r w:rsidRPr="00E31E72">
        <w:rPr>
          <w:rFonts w:hint="cs"/>
          <w:sz w:val="24"/>
          <w:szCs w:val="24"/>
          <w:rtl/>
        </w:rPr>
        <w:t>1</w:t>
      </w:r>
      <w:r w:rsidRPr="00E31E72">
        <w:rPr>
          <w:sz w:val="24"/>
          <w:szCs w:val="24"/>
          <w:rtl/>
        </w:rPr>
        <w:t xml:space="preserve">% בחודשים פברואר-מרץ </w:t>
      </w:r>
      <w:r w:rsidRPr="00CD59DC">
        <w:rPr>
          <w:b/>
          <w:bCs/>
          <w:sz w:val="24"/>
          <w:szCs w:val="24"/>
          <w:rtl/>
        </w:rPr>
        <w:t>(איור</w:t>
      </w:r>
      <w:r w:rsidRPr="00CD59DC">
        <w:rPr>
          <w:rFonts w:hint="cs"/>
          <w:b/>
          <w:bCs/>
          <w:sz w:val="24"/>
          <w:szCs w:val="24"/>
          <w:rtl/>
        </w:rPr>
        <w:t xml:space="preserve"> </w:t>
      </w:r>
      <w:r w:rsidRPr="00CD59DC">
        <w:rPr>
          <w:b/>
          <w:bCs/>
          <w:sz w:val="24"/>
          <w:szCs w:val="24"/>
          <w:rtl/>
        </w:rPr>
        <w:t>1</w:t>
      </w:r>
      <w:r w:rsidRPr="00CD59DC">
        <w:rPr>
          <w:rFonts w:hint="cs"/>
          <w:b/>
          <w:bCs/>
          <w:sz w:val="24"/>
          <w:szCs w:val="24"/>
          <w:rtl/>
        </w:rPr>
        <w:t>7</w:t>
      </w:r>
      <w:r w:rsidRPr="00CD59DC">
        <w:rPr>
          <w:b/>
          <w:bCs/>
          <w:sz w:val="24"/>
          <w:szCs w:val="24"/>
          <w:rtl/>
        </w:rPr>
        <w:t>).</w:t>
      </w:r>
      <w:r w:rsidRPr="00E31E72">
        <w:rPr>
          <w:sz w:val="24"/>
          <w:szCs w:val="24"/>
          <w:rtl/>
        </w:rPr>
        <w:t xml:space="preserve"> בחודש </w:t>
      </w:r>
      <w:r w:rsidRPr="00E31E72">
        <w:rPr>
          <w:rFonts w:hint="cs"/>
          <w:sz w:val="24"/>
          <w:szCs w:val="24"/>
          <w:rtl/>
        </w:rPr>
        <w:t>מאי</w:t>
      </w:r>
      <w:r w:rsidRPr="00E31E72">
        <w:rPr>
          <w:sz w:val="24"/>
          <w:szCs w:val="24"/>
          <w:rtl/>
        </w:rPr>
        <w:t xml:space="preserve"> ניטלו משכנתאות בסך </w:t>
      </w:r>
      <w:r>
        <w:rPr>
          <w:rFonts w:hint="cs"/>
          <w:sz w:val="24"/>
          <w:szCs w:val="24"/>
          <w:rtl/>
        </w:rPr>
        <w:t xml:space="preserve">של </w:t>
      </w:r>
      <w:r w:rsidRPr="00E31E72">
        <w:rPr>
          <w:sz w:val="24"/>
          <w:szCs w:val="24"/>
          <w:rtl/>
        </w:rPr>
        <w:t>כ-</w:t>
      </w:r>
      <w:r w:rsidRPr="00E31E72">
        <w:rPr>
          <w:rFonts w:hint="cs"/>
          <w:sz w:val="24"/>
          <w:szCs w:val="24"/>
          <w:rtl/>
        </w:rPr>
        <w:t>9.3</w:t>
      </w:r>
      <w:r w:rsidRPr="00E31E72">
        <w:rPr>
          <w:sz w:val="24"/>
          <w:szCs w:val="24"/>
          <w:rtl/>
        </w:rPr>
        <w:t xml:space="preserve"> מיליארדי </w:t>
      </w:r>
      <w:r w:rsidRPr="00E31E72">
        <w:rPr>
          <w:rFonts w:hint="cs"/>
          <w:sz w:val="24"/>
          <w:szCs w:val="24"/>
          <w:rtl/>
        </w:rPr>
        <w:t>₪, בדומה לחודשים האחרונים</w:t>
      </w:r>
      <w:r w:rsidRPr="00E31E72">
        <w:rPr>
          <w:sz w:val="24"/>
          <w:szCs w:val="24"/>
          <w:rtl/>
        </w:rPr>
        <w:t xml:space="preserve"> </w:t>
      </w:r>
      <w:r w:rsidRPr="00CD59DC">
        <w:rPr>
          <w:b/>
          <w:bCs/>
          <w:sz w:val="24"/>
          <w:szCs w:val="24"/>
          <w:rtl/>
        </w:rPr>
        <w:t>(איור 1</w:t>
      </w:r>
      <w:r w:rsidRPr="00CD59DC">
        <w:rPr>
          <w:rFonts w:hint="cs"/>
          <w:b/>
          <w:bCs/>
          <w:sz w:val="24"/>
          <w:szCs w:val="24"/>
          <w:rtl/>
        </w:rPr>
        <w:t>8</w:t>
      </w:r>
      <w:r w:rsidRPr="00CD59DC">
        <w:rPr>
          <w:b/>
          <w:bCs/>
          <w:sz w:val="24"/>
          <w:szCs w:val="24"/>
          <w:rtl/>
        </w:rPr>
        <w:t>ב').</w:t>
      </w:r>
      <w:r w:rsidRPr="00E31E72">
        <w:rPr>
          <w:rFonts w:hint="cs"/>
          <w:color w:val="FF0000"/>
          <w:sz w:val="24"/>
          <w:szCs w:val="24"/>
          <w:rtl/>
        </w:rPr>
        <w:t xml:space="preserve"> </w:t>
      </w:r>
      <w:r w:rsidRPr="00E31E72">
        <w:rPr>
          <w:rFonts w:hint="cs"/>
          <w:sz w:val="24"/>
          <w:szCs w:val="24"/>
          <w:rtl/>
        </w:rPr>
        <w:t>שיעורי הפיגורים במשכנתאות יציבים ברמה נמוכה.</w:t>
      </w:r>
      <w:r w:rsidRPr="00E31E72">
        <w:rPr>
          <w:sz w:val="24"/>
          <w:szCs w:val="24"/>
          <w:rtl/>
        </w:rPr>
        <w:t xml:space="preserve"> </w:t>
      </w:r>
    </w:p>
    <w:p w:rsidR="008A28D3" w:rsidRPr="00DA6F2A" w:rsidRDefault="008A28D3" w:rsidP="008A28D3">
      <w:pPr>
        <w:spacing w:after="0" w:line="360" w:lineRule="auto"/>
        <w:jc w:val="both"/>
        <w:rPr>
          <w:sz w:val="24"/>
          <w:szCs w:val="24"/>
          <w:rtl/>
        </w:rPr>
      </w:pPr>
      <w:r w:rsidRPr="00E31E72">
        <w:rPr>
          <w:sz w:val="24"/>
          <w:szCs w:val="24"/>
          <w:rtl/>
        </w:rPr>
        <w:t>מדדי המניות המקומיים רשמו עליות שערים חדות במהלך התקופה הנסקרת שבלט</w:t>
      </w:r>
      <w:r w:rsidRPr="00E31E72">
        <w:rPr>
          <w:rFonts w:hint="cs"/>
          <w:sz w:val="24"/>
          <w:szCs w:val="24"/>
          <w:rtl/>
        </w:rPr>
        <w:t>ו</w:t>
      </w:r>
      <w:r w:rsidRPr="00E31E72">
        <w:rPr>
          <w:sz w:val="24"/>
          <w:szCs w:val="24"/>
          <w:rtl/>
        </w:rPr>
        <w:t xml:space="preserve"> גם ביחס למגמה העולמית </w:t>
      </w:r>
      <w:r w:rsidRPr="00E31E72">
        <w:rPr>
          <w:b/>
          <w:bCs/>
          <w:sz w:val="24"/>
          <w:szCs w:val="24"/>
          <w:rtl/>
        </w:rPr>
        <w:t>(איור 2</w:t>
      </w:r>
      <w:r>
        <w:rPr>
          <w:rFonts w:hint="cs"/>
          <w:b/>
          <w:bCs/>
          <w:sz w:val="24"/>
          <w:szCs w:val="24"/>
          <w:rtl/>
        </w:rPr>
        <w:t>8</w:t>
      </w:r>
      <w:r w:rsidRPr="00E31E72">
        <w:rPr>
          <w:b/>
          <w:bCs/>
          <w:sz w:val="24"/>
          <w:szCs w:val="24"/>
          <w:rtl/>
        </w:rPr>
        <w:t>)</w:t>
      </w:r>
      <w:r w:rsidRPr="00E31E72">
        <w:rPr>
          <w:sz w:val="24"/>
          <w:szCs w:val="24"/>
          <w:rtl/>
        </w:rPr>
        <w:t>. פרמיית הסיכון של ישראל, כפי שבאה לידי ביטוי במרווח ה-</w:t>
      </w:r>
      <w:r w:rsidRPr="00E31E72">
        <w:rPr>
          <w:sz w:val="24"/>
          <w:szCs w:val="24"/>
        </w:rPr>
        <w:t>CDS</w:t>
      </w:r>
      <w:r w:rsidRPr="00E31E72">
        <w:rPr>
          <w:sz w:val="24"/>
          <w:szCs w:val="24"/>
          <w:rtl/>
        </w:rPr>
        <w:t xml:space="preserve"> ובמרווח הדולרי מול אג"ח של ממשלת ארה"ב</w:t>
      </w:r>
      <w:r>
        <w:rPr>
          <w:rFonts w:hint="cs"/>
          <w:sz w:val="24"/>
          <w:szCs w:val="24"/>
          <w:rtl/>
        </w:rPr>
        <w:t>,</w:t>
      </w:r>
      <w:r w:rsidRPr="00E31E72">
        <w:rPr>
          <w:sz w:val="24"/>
          <w:szCs w:val="24"/>
          <w:rtl/>
        </w:rPr>
        <w:t xml:space="preserve"> ירדה באופן משמעותי, אך </w:t>
      </w:r>
      <w:r w:rsidRPr="00E31E72">
        <w:rPr>
          <w:rFonts w:hint="eastAsia"/>
          <w:sz w:val="24"/>
          <w:szCs w:val="24"/>
          <w:rtl/>
        </w:rPr>
        <w:t>עדיין</w:t>
      </w:r>
      <w:r w:rsidRPr="00E31E72">
        <w:rPr>
          <w:sz w:val="24"/>
          <w:szCs w:val="24"/>
          <w:rtl/>
        </w:rPr>
        <w:t xml:space="preserve"> </w:t>
      </w:r>
      <w:r w:rsidRPr="00E31E72">
        <w:rPr>
          <w:rFonts w:hint="eastAsia"/>
          <w:sz w:val="24"/>
          <w:szCs w:val="24"/>
          <w:rtl/>
        </w:rPr>
        <w:t>גבוהה</w:t>
      </w:r>
      <w:r w:rsidRPr="00E31E72">
        <w:rPr>
          <w:sz w:val="24"/>
          <w:szCs w:val="24"/>
          <w:rtl/>
        </w:rPr>
        <w:t xml:space="preserve"> מרמתה </w:t>
      </w:r>
      <w:r w:rsidRPr="00E31E72">
        <w:rPr>
          <w:rFonts w:hint="eastAsia"/>
          <w:sz w:val="24"/>
          <w:szCs w:val="24"/>
          <w:rtl/>
        </w:rPr>
        <w:t>טרם</w:t>
      </w:r>
      <w:r w:rsidRPr="00E31E72">
        <w:rPr>
          <w:sz w:val="24"/>
          <w:szCs w:val="24"/>
          <w:rtl/>
        </w:rPr>
        <w:t xml:space="preserve"> </w:t>
      </w:r>
      <w:r w:rsidRPr="00E31E72">
        <w:rPr>
          <w:rFonts w:hint="eastAsia"/>
          <w:sz w:val="24"/>
          <w:szCs w:val="24"/>
          <w:rtl/>
        </w:rPr>
        <w:t>מלחמת</w:t>
      </w:r>
      <w:r w:rsidRPr="00E31E72">
        <w:rPr>
          <w:sz w:val="24"/>
          <w:szCs w:val="24"/>
          <w:rtl/>
        </w:rPr>
        <w:t xml:space="preserve"> "חרבות </w:t>
      </w:r>
      <w:r w:rsidRPr="00E31E72">
        <w:rPr>
          <w:rFonts w:hint="eastAsia"/>
          <w:sz w:val="24"/>
          <w:szCs w:val="24"/>
          <w:rtl/>
        </w:rPr>
        <w:t>ברזל</w:t>
      </w:r>
      <w:r w:rsidRPr="00E31E72">
        <w:rPr>
          <w:sz w:val="24"/>
          <w:szCs w:val="24"/>
          <w:rtl/>
        </w:rPr>
        <w:t xml:space="preserve">" </w:t>
      </w:r>
      <w:r w:rsidRPr="00E31E72">
        <w:rPr>
          <w:b/>
          <w:bCs/>
          <w:sz w:val="24"/>
          <w:szCs w:val="24"/>
          <w:rtl/>
        </w:rPr>
        <w:t xml:space="preserve">(איור </w:t>
      </w:r>
      <w:r>
        <w:rPr>
          <w:rFonts w:hint="cs"/>
          <w:b/>
          <w:bCs/>
          <w:sz w:val="24"/>
          <w:szCs w:val="24"/>
          <w:rtl/>
        </w:rPr>
        <w:t>29</w:t>
      </w:r>
      <w:r w:rsidRPr="00E31E72">
        <w:rPr>
          <w:b/>
          <w:bCs/>
          <w:sz w:val="24"/>
          <w:szCs w:val="24"/>
          <w:rtl/>
        </w:rPr>
        <w:t xml:space="preserve">). </w:t>
      </w:r>
      <w:r w:rsidRPr="00E31E72">
        <w:rPr>
          <w:rFonts w:hint="eastAsia"/>
          <w:sz w:val="24"/>
          <w:szCs w:val="24"/>
          <w:rtl/>
        </w:rPr>
        <w:t>תשואות</w:t>
      </w:r>
      <w:r w:rsidRPr="00E31E72">
        <w:rPr>
          <w:sz w:val="24"/>
          <w:szCs w:val="24"/>
          <w:rtl/>
        </w:rPr>
        <w:t xml:space="preserve"> האג"ח הממשלתיות </w:t>
      </w:r>
      <w:r w:rsidRPr="00E31E72">
        <w:rPr>
          <w:rFonts w:hint="eastAsia"/>
          <w:sz w:val="24"/>
          <w:szCs w:val="24"/>
          <w:rtl/>
        </w:rPr>
        <w:t>השיקליות</w:t>
      </w:r>
      <w:r w:rsidRPr="00E31E72">
        <w:rPr>
          <w:sz w:val="24"/>
          <w:szCs w:val="24"/>
          <w:rtl/>
        </w:rPr>
        <w:t xml:space="preserve"> ל-10 שנים </w:t>
      </w:r>
      <w:r w:rsidRPr="00E31E72">
        <w:rPr>
          <w:rFonts w:hint="eastAsia"/>
          <w:sz w:val="24"/>
          <w:szCs w:val="24"/>
          <w:rtl/>
        </w:rPr>
        <w:t>ירדו</w:t>
      </w:r>
      <w:r w:rsidRPr="00E31E72">
        <w:rPr>
          <w:sz w:val="24"/>
          <w:szCs w:val="24"/>
          <w:rtl/>
        </w:rPr>
        <w:t xml:space="preserve"> </w:t>
      </w:r>
      <w:r w:rsidRPr="00E31E72">
        <w:rPr>
          <w:rFonts w:hint="eastAsia"/>
          <w:sz w:val="24"/>
          <w:szCs w:val="24"/>
          <w:rtl/>
        </w:rPr>
        <w:t>באופן</w:t>
      </w:r>
      <w:r w:rsidRPr="00E31E72">
        <w:rPr>
          <w:sz w:val="24"/>
          <w:szCs w:val="24"/>
          <w:rtl/>
        </w:rPr>
        <w:t xml:space="preserve"> ניכר בתקופה הנסקרת, </w:t>
      </w:r>
      <w:r>
        <w:rPr>
          <w:rFonts w:hint="cs"/>
          <w:sz w:val="24"/>
          <w:szCs w:val="24"/>
          <w:rtl/>
        </w:rPr>
        <w:t>גם בהשוואה ל</w:t>
      </w:r>
      <w:r w:rsidRPr="00E31E72">
        <w:rPr>
          <w:rFonts w:hint="eastAsia"/>
          <w:sz w:val="24"/>
          <w:szCs w:val="24"/>
          <w:rtl/>
        </w:rPr>
        <w:t>עולם</w:t>
      </w:r>
      <w:r w:rsidRPr="00E31E72">
        <w:rPr>
          <w:b/>
          <w:bCs/>
          <w:sz w:val="24"/>
          <w:szCs w:val="24"/>
          <w:rtl/>
        </w:rPr>
        <w:t xml:space="preserve"> (איור 2</w:t>
      </w:r>
      <w:r>
        <w:rPr>
          <w:rFonts w:hint="cs"/>
          <w:b/>
          <w:bCs/>
          <w:sz w:val="24"/>
          <w:szCs w:val="24"/>
          <w:rtl/>
        </w:rPr>
        <w:t>5</w:t>
      </w:r>
      <w:r w:rsidRPr="00E31E72">
        <w:rPr>
          <w:b/>
          <w:bCs/>
          <w:sz w:val="24"/>
          <w:szCs w:val="24"/>
          <w:rtl/>
        </w:rPr>
        <w:t>)</w:t>
      </w:r>
      <w:r w:rsidRPr="00E31E72">
        <w:rPr>
          <w:sz w:val="24"/>
          <w:szCs w:val="24"/>
          <w:rtl/>
        </w:rPr>
        <w:t>. נמשכה מגמת ההתרחבות באשראי העסקי שעלה עפ</w:t>
      </w:r>
      <w:r>
        <w:rPr>
          <w:rFonts w:hint="cs"/>
          <w:sz w:val="24"/>
          <w:szCs w:val="24"/>
          <w:rtl/>
        </w:rPr>
        <w:t>"י</w:t>
      </w:r>
      <w:r w:rsidRPr="00E31E72">
        <w:rPr>
          <w:sz w:val="24"/>
          <w:szCs w:val="24"/>
          <w:rtl/>
        </w:rPr>
        <w:t xml:space="preserve"> נתוני אפריל ב-7.3 אחוזים בשנה האחרונה, בדגש על אשראי בנקאי ואג"ח. שיעורי הפיגורים נשארו </w:t>
      </w:r>
      <w:r>
        <w:rPr>
          <w:rFonts w:hint="cs"/>
          <w:sz w:val="24"/>
          <w:szCs w:val="24"/>
          <w:rtl/>
        </w:rPr>
        <w:t>יציבים ברמה נמוכה</w:t>
      </w:r>
      <w:r w:rsidRPr="00E31E72">
        <w:rPr>
          <w:sz w:val="24"/>
          <w:szCs w:val="24"/>
          <w:rtl/>
        </w:rPr>
        <w:t>.</w:t>
      </w:r>
      <w:r w:rsidRPr="00E31E72">
        <w:rPr>
          <w:color w:val="FF0000"/>
          <w:sz w:val="24"/>
          <w:szCs w:val="24"/>
          <w:rtl/>
        </w:rPr>
        <w:t xml:space="preserve"> </w:t>
      </w:r>
      <w:r w:rsidRPr="00DA6F2A">
        <w:rPr>
          <w:sz w:val="24"/>
          <w:szCs w:val="24"/>
          <w:rtl/>
        </w:rPr>
        <w:t>עפ"י סקר המגמות של הלמ"ס לחודש יוני שיעור העסקים המדווחים על מגבלת אשראי חמורה נותר נמוך</w:t>
      </w:r>
      <w:r>
        <w:rPr>
          <w:rFonts w:hint="cs"/>
          <w:sz w:val="24"/>
          <w:szCs w:val="24"/>
          <w:rtl/>
        </w:rPr>
        <w:t xml:space="preserve"> </w:t>
      </w:r>
      <w:r w:rsidRPr="00CD59DC">
        <w:rPr>
          <w:rFonts w:hint="cs"/>
          <w:b/>
          <w:bCs/>
          <w:sz w:val="24"/>
          <w:szCs w:val="24"/>
          <w:rtl/>
        </w:rPr>
        <w:t>(איור 27)</w:t>
      </w:r>
      <w:r w:rsidRPr="00CD59DC">
        <w:rPr>
          <w:b/>
          <w:bCs/>
          <w:sz w:val="24"/>
          <w:szCs w:val="24"/>
          <w:rtl/>
        </w:rPr>
        <w:t>.</w:t>
      </w:r>
    </w:p>
    <w:p w:rsidR="008A28D3" w:rsidRPr="00E31E72" w:rsidRDefault="008A28D3" w:rsidP="008A28D3">
      <w:pPr>
        <w:pStyle w:val="-"/>
        <w:numPr>
          <w:ilvl w:val="0"/>
          <w:numId w:val="0"/>
        </w:numPr>
        <w:spacing w:after="0"/>
        <w:ind w:left="-35"/>
        <w:rPr>
          <w:rFonts w:ascii="Calibri" w:hAnsi="Calibri" w:cs="Calibri"/>
          <w:rtl/>
        </w:rPr>
      </w:pPr>
      <w:r w:rsidRPr="00E31E72">
        <w:rPr>
          <w:rFonts w:ascii="Calibri" w:hAnsi="Calibri" w:cs="Calibri"/>
          <w:rtl/>
        </w:rPr>
        <w:t>קצב הפעילות הכלכלי</w:t>
      </w:r>
      <w:r>
        <w:rPr>
          <w:rFonts w:ascii="Calibri" w:hAnsi="Calibri" w:cs="Calibri" w:hint="cs"/>
          <w:rtl/>
        </w:rPr>
        <w:t>ת</w:t>
      </w:r>
      <w:r w:rsidRPr="00E31E72">
        <w:rPr>
          <w:rFonts w:ascii="Calibri" w:hAnsi="Calibri" w:cs="Calibri"/>
          <w:rtl/>
        </w:rPr>
        <w:t xml:space="preserve"> בעולם נותר מתון וחל עדכון קל כלפי מטה בתחזית הצמיחה הגלובלית, ל</w:t>
      </w:r>
      <w:r w:rsidRPr="00E31E72">
        <w:rPr>
          <w:rFonts w:ascii="Calibri" w:hAnsi="Calibri" w:cs="Calibri" w:hint="eastAsia"/>
          <w:rtl/>
        </w:rPr>
        <w:t>רמה</w:t>
      </w:r>
      <w:r w:rsidRPr="00E31E72">
        <w:rPr>
          <w:rFonts w:ascii="Calibri" w:hAnsi="Calibri" w:cs="Calibri"/>
          <w:rtl/>
        </w:rPr>
        <w:t xml:space="preserve"> </w:t>
      </w:r>
      <w:r w:rsidRPr="00E31E72">
        <w:rPr>
          <w:rFonts w:ascii="Calibri" w:hAnsi="Calibri" w:cs="Calibri" w:hint="eastAsia"/>
          <w:rtl/>
        </w:rPr>
        <w:t>נמוכה</w:t>
      </w:r>
      <w:r w:rsidRPr="00E31E72">
        <w:rPr>
          <w:rFonts w:ascii="Calibri" w:hAnsi="Calibri" w:cs="Calibri"/>
          <w:rtl/>
        </w:rPr>
        <w:t xml:space="preserve"> </w:t>
      </w:r>
      <w:r w:rsidRPr="00E31E72">
        <w:rPr>
          <w:rFonts w:ascii="Calibri" w:hAnsi="Calibri" w:cs="Calibri" w:hint="eastAsia"/>
          <w:rtl/>
        </w:rPr>
        <w:t>של</w:t>
      </w:r>
      <w:r w:rsidRPr="00E31E72">
        <w:rPr>
          <w:rFonts w:ascii="Calibri" w:hAnsi="Calibri" w:cs="Calibri"/>
          <w:rtl/>
        </w:rPr>
        <w:t xml:space="preserve"> 2.6%. מדד מנהלי הרכש הגלובלי לחודש </w:t>
      </w:r>
      <w:r w:rsidRPr="00E31E72">
        <w:rPr>
          <w:rFonts w:ascii="Calibri" w:hAnsi="Calibri" w:cs="Calibri" w:hint="eastAsia"/>
          <w:rtl/>
        </w:rPr>
        <w:t>מאי</w:t>
      </w:r>
      <w:r w:rsidRPr="00E31E72">
        <w:rPr>
          <w:rFonts w:ascii="Calibri" w:hAnsi="Calibri" w:cs="Calibri"/>
          <w:rtl/>
        </w:rPr>
        <w:t xml:space="preserve"> עלה</w:t>
      </w:r>
      <w:r>
        <w:rPr>
          <w:rFonts w:ascii="Calibri" w:hAnsi="Calibri" w:cs="Calibri" w:hint="cs"/>
          <w:rtl/>
        </w:rPr>
        <w:t>,</w:t>
      </w:r>
      <w:r w:rsidRPr="00E31E72">
        <w:rPr>
          <w:rFonts w:ascii="Calibri" w:hAnsi="Calibri" w:cs="Calibri"/>
          <w:rtl/>
        </w:rPr>
        <w:t xml:space="preserve"> אך הנתונים בחודשים האחרונים תנודתיים </w:t>
      </w:r>
      <w:r w:rsidRPr="00E31E72">
        <w:rPr>
          <w:rFonts w:ascii="Calibri" w:hAnsi="Calibri" w:cs="Calibri"/>
          <w:b/>
          <w:bCs/>
          <w:rtl/>
        </w:rPr>
        <w:t>(איור 3</w:t>
      </w:r>
      <w:r>
        <w:rPr>
          <w:rFonts w:ascii="Calibri" w:hAnsi="Calibri" w:cs="Calibri" w:hint="cs"/>
          <w:b/>
          <w:bCs/>
          <w:rtl/>
        </w:rPr>
        <w:t>3</w:t>
      </w:r>
      <w:r w:rsidRPr="00E31E72">
        <w:rPr>
          <w:rFonts w:ascii="Calibri" w:hAnsi="Calibri" w:cs="Calibri"/>
          <w:b/>
          <w:bCs/>
          <w:rtl/>
        </w:rPr>
        <w:t xml:space="preserve">). </w:t>
      </w:r>
    </w:p>
    <w:p w:rsidR="008A28D3" w:rsidRPr="00E31E72" w:rsidRDefault="008A28D3" w:rsidP="008A28D3">
      <w:pPr>
        <w:pStyle w:val="-"/>
        <w:numPr>
          <w:ilvl w:val="0"/>
          <w:numId w:val="0"/>
        </w:numPr>
        <w:spacing w:after="0"/>
        <w:ind w:left="-35"/>
        <w:rPr>
          <w:rFonts w:ascii="Calibri" w:hAnsi="Calibri" w:cs="Calibri"/>
          <w:rtl/>
        </w:rPr>
      </w:pPr>
      <w:r w:rsidRPr="00E31E72">
        <w:rPr>
          <w:rFonts w:ascii="Calibri" w:hAnsi="Calibri" w:cs="Calibri"/>
          <w:rtl/>
        </w:rPr>
        <w:lastRenderedPageBreak/>
        <w:t xml:space="preserve">בתקופה הנסקרת נרשמה תנודתיות גבוהה במיוחד </w:t>
      </w:r>
      <w:r w:rsidRPr="00E31E72">
        <w:rPr>
          <w:rFonts w:ascii="Calibri" w:hAnsi="Calibri" w:cs="Calibri" w:hint="eastAsia"/>
          <w:rtl/>
        </w:rPr>
        <w:t>במחירי</w:t>
      </w:r>
      <w:r w:rsidRPr="00E31E72">
        <w:rPr>
          <w:rFonts w:ascii="Calibri" w:hAnsi="Calibri" w:cs="Calibri"/>
          <w:rtl/>
        </w:rPr>
        <w:t xml:space="preserve"> הנפט על רקע </w:t>
      </w:r>
      <w:r w:rsidRPr="00E31E72">
        <w:rPr>
          <w:rFonts w:ascii="Calibri" w:hAnsi="Calibri" w:cs="Calibri" w:hint="eastAsia"/>
          <w:rtl/>
        </w:rPr>
        <w:t>העימות</w:t>
      </w:r>
      <w:r w:rsidRPr="00E31E72">
        <w:rPr>
          <w:rFonts w:ascii="Calibri" w:hAnsi="Calibri" w:cs="Calibri"/>
          <w:rtl/>
        </w:rPr>
        <w:t xml:space="preserve"> </w:t>
      </w:r>
      <w:r w:rsidRPr="00E31E72">
        <w:rPr>
          <w:rFonts w:ascii="Calibri" w:hAnsi="Calibri" w:cs="Calibri" w:hint="eastAsia"/>
          <w:rtl/>
        </w:rPr>
        <w:t>מול</w:t>
      </w:r>
      <w:r w:rsidRPr="00E31E72">
        <w:rPr>
          <w:rFonts w:ascii="Calibri" w:hAnsi="Calibri" w:cs="Calibri"/>
          <w:rtl/>
        </w:rPr>
        <w:t xml:space="preserve"> </w:t>
      </w:r>
      <w:r w:rsidRPr="00E31E72">
        <w:rPr>
          <w:rFonts w:ascii="Calibri" w:hAnsi="Calibri" w:cs="Calibri" w:hint="eastAsia"/>
          <w:rtl/>
        </w:rPr>
        <w:t>איראן</w:t>
      </w:r>
      <w:r w:rsidRPr="00E31E72">
        <w:rPr>
          <w:rFonts w:ascii="Calibri" w:hAnsi="Calibri" w:cs="Calibri"/>
          <w:rtl/>
        </w:rPr>
        <w:t>. לאחר הפסקת האש מחיר הנפט</w:t>
      </w:r>
      <w:r>
        <w:rPr>
          <w:rFonts w:ascii="Calibri" w:hAnsi="Calibri" w:cs="Calibri" w:hint="cs"/>
          <w:rtl/>
        </w:rPr>
        <w:t xml:space="preserve"> ירד ו</w:t>
      </w:r>
      <w:r w:rsidRPr="00E31E72">
        <w:rPr>
          <w:rFonts w:ascii="Calibri" w:hAnsi="Calibri" w:cs="Calibri" w:hint="eastAsia"/>
          <w:rtl/>
        </w:rPr>
        <w:t>התייצב</w:t>
      </w:r>
      <w:r w:rsidRPr="00E31E72">
        <w:rPr>
          <w:rFonts w:ascii="Calibri" w:hAnsi="Calibri" w:cs="Calibri"/>
          <w:rtl/>
        </w:rPr>
        <w:t xml:space="preserve"> </w:t>
      </w:r>
      <w:r>
        <w:rPr>
          <w:rFonts w:ascii="Calibri" w:hAnsi="Calibri" w:cs="Calibri" w:hint="cs"/>
          <w:rtl/>
        </w:rPr>
        <w:t>על</w:t>
      </w:r>
      <w:r w:rsidRPr="00E31E72">
        <w:rPr>
          <w:rFonts w:ascii="Calibri" w:hAnsi="Calibri" w:cs="Calibri"/>
          <w:rtl/>
        </w:rPr>
        <w:t xml:space="preserve"> 68 דולר </w:t>
      </w:r>
      <w:r w:rsidRPr="00E31E72">
        <w:rPr>
          <w:rFonts w:ascii="Calibri" w:hAnsi="Calibri" w:cs="Calibri" w:hint="eastAsia"/>
          <w:rtl/>
        </w:rPr>
        <w:t>ל</w:t>
      </w:r>
      <w:r w:rsidRPr="00E31E72">
        <w:rPr>
          <w:rFonts w:ascii="Calibri" w:hAnsi="Calibri" w:cs="Calibri"/>
          <w:rtl/>
        </w:rPr>
        <w:t xml:space="preserve">חבית מסוג </w:t>
      </w:r>
      <w:r w:rsidRPr="00E31E72">
        <w:rPr>
          <w:rFonts w:ascii="Calibri" w:hAnsi="Calibri" w:cs="Calibri"/>
        </w:rPr>
        <w:t>Brent</w:t>
      </w:r>
      <w:r w:rsidRPr="00E31E72">
        <w:rPr>
          <w:rFonts w:ascii="Calibri" w:hAnsi="Calibri" w:cs="Calibri"/>
          <w:rtl/>
        </w:rPr>
        <w:t>. סה"כ מחיר הנפט בתקופה נסקרת עלה בכ-5.5%.</w:t>
      </w:r>
    </w:p>
    <w:p w:rsidR="008A28D3" w:rsidRDefault="008A28D3" w:rsidP="008A28D3">
      <w:pPr>
        <w:pStyle w:val="-"/>
        <w:numPr>
          <w:ilvl w:val="0"/>
          <w:numId w:val="0"/>
        </w:numPr>
        <w:spacing w:after="0"/>
        <w:ind w:left="-35"/>
        <w:rPr>
          <w:rFonts w:ascii="Calibri" w:hAnsi="Calibri" w:cs="Calibri"/>
          <w:rtl/>
        </w:rPr>
      </w:pPr>
      <w:r w:rsidRPr="00E31E72">
        <w:rPr>
          <w:rFonts w:ascii="Calibri" w:hAnsi="Calibri" w:cs="Calibri"/>
          <w:rtl/>
        </w:rPr>
        <w:t xml:space="preserve">קצב ההתרחבות </w:t>
      </w:r>
      <w:r>
        <w:rPr>
          <w:rFonts w:ascii="Calibri" w:hAnsi="Calibri" w:cs="Calibri" w:hint="cs"/>
          <w:rtl/>
        </w:rPr>
        <w:t xml:space="preserve">בסחר העולמי </w:t>
      </w:r>
      <w:r w:rsidRPr="00E31E72">
        <w:rPr>
          <w:rFonts w:ascii="Calibri" w:hAnsi="Calibri" w:cs="Calibri"/>
          <w:rtl/>
        </w:rPr>
        <w:t xml:space="preserve">בשנה האחרונה </w:t>
      </w:r>
      <w:r>
        <w:rPr>
          <w:rFonts w:ascii="Calibri" w:hAnsi="Calibri" w:cs="Calibri" w:hint="cs"/>
          <w:rtl/>
        </w:rPr>
        <w:t xml:space="preserve">נותר גבוה </w:t>
      </w:r>
      <w:r w:rsidRPr="00E31E72">
        <w:rPr>
          <w:rFonts w:ascii="Calibri" w:hAnsi="Calibri" w:cs="Calibri"/>
          <w:b/>
          <w:bCs/>
          <w:rtl/>
        </w:rPr>
        <w:t>(איור 3</w:t>
      </w:r>
      <w:r>
        <w:rPr>
          <w:rFonts w:ascii="Calibri" w:hAnsi="Calibri" w:cs="Calibri" w:hint="cs"/>
          <w:b/>
          <w:bCs/>
          <w:rtl/>
        </w:rPr>
        <w:t>2</w:t>
      </w:r>
      <w:r w:rsidRPr="00E31E72">
        <w:rPr>
          <w:rFonts w:ascii="Calibri" w:hAnsi="Calibri" w:cs="Calibri"/>
          <w:b/>
          <w:bCs/>
          <w:rtl/>
        </w:rPr>
        <w:t xml:space="preserve">). </w:t>
      </w:r>
      <w:r w:rsidRPr="00E31E72">
        <w:rPr>
          <w:rFonts w:ascii="Calibri" w:hAnsi="Calibri" w:cs="Calibri"/>
          <w:rtl/>
        </w:rPr>
        <w:t xml:space="preserve">התוצר בארה"ב </w:t>
      </w:r>
      <w:r w:rsidRPr="00E31E72">
        <w:rPr>
          <w:rFonts w:ascii="Calibri" w:hAnsi="Calibri" w:cs="Calibri" w:hint="eastAsia"/>
          <w:rtl/>
        </w:rPr>
        <w:t>עודכן</w:t>
      </w:r>
      <w:r w:rsidRPr="00E31E72">
        <w:rPr>
          <w:rFonts w:ascii="Calibri" w:hAnsi="Calibri" w:cs="Calibri"/>
          <w:rtl/>
        </w:rPr>
        <w:t xml:space="preserve"> </w:t>
      </w:r>
      <w:r w:rsidRPr="00E31E72">
        <w:rPr>
          <w:rFonts w:ascii="Calibri" w:hAnsi="Calibri" w:cs="Calibri" w:hint="eastAsia"/>
          <w:rtl/>
        </w:rPr>
        <w:t>כלפי</w:t>
      </w:r>
      <w:r w:rsidRPr="00E31E72">
        <w:rPr>
          <w:rFonts w:ascii="Calibri" w:hAnsi="Calibri" w:cs="Calibri"/>
          <w:rtl/>
        </w:rPr>
        <w:t xml:space="preserve"> </w:t>
      </w:r>
      <w:r w:rsidRPr="00E31E72">
        <w:rPr>
          <w:rFonts w:ascii="Calibri" w:hAnsi="Calibri" w:cs="Calibri" w:hint="eastAsia"/>
          <w:rtl/>
        </w:rPr>
        <w:t>מטה</w:t>
      </w:r>
      <w:r w:rsidRPr="00E31E72">
        <w:rPr>
          <w:rFonts w:ascii="Calibri" w:hAnsi="Calibri" w:cs="Calibri"/>
          <w:rtl/>
        </w:rPr>
        <w:t xml:space="preserve">, </w:t>
      </w:r>
      <w:r w:rsidRPr="00E31E72">
        <w:rPr>
          <w:rFonts w:ascii="Calibri" w:hAnsi="Calibri" w:cs="Calibri" w:hint="eastAsia"/>
          <w:rtl/>
        </w:rPr>
        <w:t>והתכווץ</w:t>
      </w:r>
      <w:r w:rsidRPr="00E31E72">
        <w:rPr>
          <w:rFonts w:ascii="Calibri" w:hAnsi="Calibri" w:cs="Calibri"/>
          <w:rtl/>
        </w:rPr>
        <w:t xml:space="preserve"> ברבעון הראשון של השנה ב-0.5% במונחים </w:t>
      </w:r>
      <w:r w:rsidRPr="00E31E72">
        <w:rPr>
          <w:rFonts w:ascii="Calibri" w:hAnsi="Calibri" w:cs="Calibri" w:hint="eastAsia"/>
          <w:rtl/>
        </w:rPr>
        <w:t>שנתיים</w:t>
      </w:r>
      <w:r w:rsidRPr="00E31E72">
        <w:rPr>
          <w:rFonts w:ascii="Calibri" w:hAnsi="Calibri" w:cs="Calibri"/>
          <w:rtl/>
        </w:rPr>
        <w:t xml:space="preserve"> כאשר הצריכה הפרטית </w:t>
      </w:r>
      <w:r w:rsidRPr="00E31E72">
        <w:rPr>
          <w:rFonts w:ascii="Calibri" w:hAnsi="Calibri" w:cs="Calibri" w:hint="eastAsia"/>
          <w:rtl/>
        </w:rPr>
        <w:t>צמחה</w:t>
      </w:r>
      <w:r w:rsidRPr="00E31E72">
        <w:rPr>
          <w:rFonts w:ascii="Calibri" w:hAnsi="Calibri" w:cs="Calibri"/>
          <w:rtl/>
        </w:rPr>
        <w:t xml:space="preserve"> </w:t>
      </w:r>
      <w:r w:rsidRPr="00E31E72">
        <w:rPr>
          <w:rFonts w:ascii="Calibri" w:hAnsi="Calibri" w:cs="Calibri" w:hint="eastAsia"/>
          <w:rtl/>
        </w:rPr>
        <w:t>רק</w:t>
      </w:r>
      <w:r w:rsidRPr="00E31E72">
        <w:rPr>
          <w:rFonts w:ascii="Calibri" w:hAnsi="Calibri" w:cs="Calibri"/>
          <w:rtl/>
        </w:rPr>
        <w:t xml:space="preserve"> </w:t>
      </w:r>
      <w:r w:rsidRPr="00E31E72">
        <w:rPr>
          <w:rFonts w:ascii="Calibri" w:hAnsi="Calibri" w:cs="Calibri" w:hint="eastAsia"/>
          <w:rtl/>
        </w:rPr>
        <w:t>ב</w:t>
      </w:r>
      <w:r w:rsidRPr="00E31E72">
        <w:rPr>
          <w:rFonts w:ascii="Calibri" w:hAnsi="Calibri" w:cs="Calibri"/>
          <w:rtl/>
        </w:rPr>
        <w:t>-0.5%</w:t>
      </w:r>
      <w:r>
        <w:rPr>
          <w:rFonts w:ascii="Calibri" w:hAnsi="Calibri" w:cs="Calibri" w:hint="cs"/>
          <w:rtl/>
        </w:rPr>
        <w:t xml:space="preserve"> -</w:t>
      </w:r>
      <w:r w:rsidRPr="00E31E72">
        <w:rPr>
          <w:rFonts w:ascii="Calibri" w:hAnsi="Calibri" w:cs="Calibri"/>
          <w:rtl/>
        </w:rPr>
        <w:t xml:space="preserve"> </w:t>
      </w:r>
      <w:r>
        <w:rPr>
          <w:rFonts w:ascii="Calibri" w:hAnsi="Calibri" w:cs="Calibri" w:hint="cs"/>
          <w:rtl/>
        </w:rPr>
        <w:t>הנתון הנמוך</w:t>
      </w:r>
      <w:r w:rsidRPr="00E31E72">
        <w:rPr>
          <w:rFonts w:ascii="Calibri" w:hAnsi="Calibri" w:cs="Calibri"/>
          <w:rtl/>
        </w:rPr>
        <w:t xml:space="preserve"> ביותר מאז הקורונה. מנגד, נתוני שוק העבודה לחודשים מאי </w:t>
      </w:r>
      <w:r>
        <w:rPr>
          <w:rFonts w:ascii="Calibri" w:hAnsi="Calibri" w:cs="Calibri" w:hint="cs"/>
          <w:rtl/>
        </w:rPr>
        <w:t>-</w:t>
      </w:r>
      <w:r w:rsidRPr="00E31E72">
        <w:rPr>
          <w:rFonts w:ascii="Calibri" w:hAnsi="Calibri" w:cs="Calibri"/>
          <w:rtl/>
        </w:rPr>
        <w:t xml:space="preserve"> יוני מצביעים עדיין על שוק עבודה הדוק בצד היחלשות מסויימת בחלק מהפרמטרים, בדגש על המשך הירידה בשיעור ההשתתפות.  בגוש האירו </w:t>
      </w:r>
      <w:r w:rsidRPr="00E31E72">
        <w:rPr>
          <w:rFonts w:ascii="Calibri" w:hAnsi="Calibri" w:cs="Calibri" w:hint="eastAsia"/>
          <w:rtl/>
        </w:rPr>
        <w:t>עודכנה</w:t>
      </w:r>
      <w:r w:rsidRPr="00E31E72">
        <w:rPr>
          <w:rFonts w:ascii="Calibri" w:hAnsi="Calibri" w:cs="Calibri"/>
          <w:rtl/>
        </w:rPr>
        <w:t xml:space="preserve"> </w:t>
      </w:r>
      <w:r w:rsidRPr="00E31E72">
        <w:rPr>
          <w:rFonts w:ascii="Calibri" w:hAnsi="Calibri" w:cs="Calibri" w:hint="eastAsia"/>
          <w:rtl/>
        </w:rPr>
        <w:t>כלפי</w:t>
      </w:r>
      <w:r w:rsidRPr="00E31E72">
        <w:rPr>
          <w:rFonts w:ascii="Calibri" w:hAnsi="Calibri" w:cs="Calibri"/>
          <w:rtl/>
        </w:rPr>
        <w:t xml:space="preserve"> </w:t>
      </w:r>
      <w:r w:rsidRPr="00E31E72">
        <w:rPr>
          <w:rFonts w:ascii="Calibri" w:hAnsi="Calibri" w:cs="Calibri" w:hint="eastAsia"/>
          <w:rtl/>
        </w:rPr>
        <w:t>מעלה</w:t>
      </w:r>
      <w:r w:rsidRPr="00E31E72">
        <w:rPr>
          <w:rFonts w:ascii="Calibri" w:hAnsi="Calibri" w:cs="Calibri"/>
          <w:rtl/>
        </w:rPr>
        <w:t xml:space="preserve"> </w:t>
      </w:r>
      <w:r w:rsidRPr="00E31E72">
        <w:rPr>
          <w:rFonts w:ascii="Calibri" w:hAnsi="Calibri" w:cs="Calibri" w:hint="eastAsia"/>
          <w:rtl/>
        </w:rPr>
        <w:t>ה</w:t>
      </w:r>
      <w:r w:rsidRPr="00E31E72">
        <w:rPr>
          <w:rFonts w:ascii="Calibri" w:hAnsi="Calibri" w:cs="Calibri"/>
          <w:rtl/>
        </w:rPr>
        <w:t xml:space="preserve">צמיחה ברביע </w:t>
      </w:r>
      <w:r w:rsidRPr="00E31E72">
        <w:rPr>
          <w:rFonts w:ascii="Calibri" w:hAnsi="Calibri" w:cs="Calibri" w:hint="eastAsia"/>
          <w:rtl/>
        </w:rPr>
        <w:t>הראשון</w:t>
      </w:r>
      <w:r w:rsidRPr="00E31E72">
        <w:rPr>
          <w:rFonts w:ascii="Calibri" w:hAnsi="Calibri" w:cs="Calibri"/>
          <w:rtl/>
        </w:rPr>
        <w:t xml:space="preserve"> לשנה</w:t>
      </w:r>
      <w:r w:rsidRPr="00E31E72">
        <w:rPr>
          <w:rtl/>
        </w:rPr>
        <w:t xml:space="preserve"> </w:t>
      </w:r>
      <w:r w:rsidRPr="00E31E72">
        <w:rPr>
          <w:rFonts w:ascii="Calibri" w:hAnsi="Calibri" w:cs="Calibri" w:hint="eastAsia"/>
          <w:rtl/>
        </w:rPr>
        <w:t>מ</w:t>
      </w:r>
      <w:r w:rsidRPr="00E31E72">
        <w:rPr>
          <w:rFonts w:ascii="Calibri" w:hAnsi="Calibri" w:cs="Calibri"/>
          <w:rtl/>
        </w:rPr>
        <w:t xml:space="preserve">-0.3% </w:t>
      </w:r>
      <w:r w:rsidRPr="00E31E72">
        <w:rPr>
          <w:rFonts w:ascii="Calibri" w:hAnsi="Calibri" w:cs="Calibri" w:hint="eastAsia"/>
          <w:rtl/>
        </w:rPr>
        <w:t>ל</w:t>
      </w:r>
      <w:r w:rsidRPr="00E31E72">
        <w:rPr>
          <w:rFonts w:ascii="Calibri" w:hAnsi="Calibri" w:cs="Calibri"/>
          <w:rtl/>
        </w:rPr>
        <w:t xml:space="preserve">-0.6% במונחים שנתיים. </w:t>
      </w:r>
      <w:r w:rsidRPr="00E31E72">
        <w:rPr>
          <w:rFonts w:ascii="Calibri" w:hAnsi="Calibri" w:cs="Calibri" w:hint="eastAsia"/>
          <w:rtl/>
        </w:rPr>
        <w:t>בסין</w:t>
      </w:r>
      <w:r w:rsidRPr="00E31E72">
        <w:rPr>
          <w:rFonts w:ascii="Calibri" w:hAnsi="Calibri" w:cs="Calibri"/>
          <w:rtl/>
        </w:rPr>
        <w:t xml:space="preserve"> על רקע המגעים בנושא המכסים </w:t>
      </w:r>
      <w:r>
        <w:rPr>
          <w:rFonts w:ascii="Calibri" w:hAnsi="Calibri" w:cs="Calibri" w:hint="cs"/>
          <w:rtl/>
        </w:rPr>
        <w:t>עם</w:t>
      </w:r>
      <w:r w:rsidRPr="00E31E72">
        <w:rPr>
          <w:rFonts w:ascii="Calibri" w:hAnsi="Calibri" w:cs="Calibri"/>
          <w:rtl/>
        </w:rPr>
        <w:t xml:space="preserve"> ארה"ב </w:t>
      </w:r>
      <w:r>
        <w:rPr>
          <w:rFonts w:ascii="Calibri" w:hAnsi="Calibri" w:cs="Calibri" w:hint="cs"/>
          <w:rtl/>
        </w:rPr>
        <w:t xml:space="preserve">תחזית </w:t>
      </w:r>
      <w:r w:rsidRPr="00E31E72">
        <w:rPr>
          <w:rFonts w:ascii="Calibri" w:hAnsi="Calibri" w:cs="Calibri" w:hint="eastAsia"/>
          <w:rtl/>
        </w:rPr>
        <w:t>ה</w:t>
      </w:r>
      <w:r w:rsidRPr="00E31E72">
        <w:rPr>
          <w:rFonts w:ascii="Calibri" w:hAnsi="Calibri" w:cs="Calibri"/>
          <w:rtl/>
        </w:rPr>
        <w:t xml:space="preserve">צמיחה ב-2025 עודכנה מעלה מ-4.2% ל-4.5% וב-2026 </w:t>
      </w:r>
      <w:r>
        <w:rPr>
          <w:rFonts w:ascii="Calibri" w:hAnsi="Calibri" w:cs="Calibri" w:hint="cs"/>
          <w:rtl/>
        </w:rPr>
        <w:t>התחזית</w:t>
      </w:r>
      <w:r w:rsidRPr="00E31E72">
        <w:rPr>
          <w:rFonts w:ascii="Calibri" w:hAnsi="Calibri" w:cs="Calibri"/>
          <w:rtl/>
        </w:rPr>
        <w:t xml:space="preserve"> עודכנה מ-4% ל-4.2%. בארה"ב שיעור האינפלציה (</w:t>
      </w:r>
      <w:r w:rsidRPr="00E31E72">
        <w:rPr>
          <w:rFonts w:ascii="Calibri" w:hAnsi="Calibri" w:cs="Calibri"/>
        </w:rPr>
        <w:t>CPI</w:t>
      </w:r>
      <w:r w:rsidRPr="00E31E72">
        <w:rPr>
          <w:rFonts w:ascii="Calibri" w:hAnsi="Calibri" w:cs="Calibri"/>
          <w:rtl/>
        </w:rPr>
        <w:t xml:space="preserve">) על פי המדד הכללי </w:t>
      </w:r>
      <w:r w:rsidRPr="00E31E72">
        <w:rPr>
          <w:rFonts w:ascii="Calibri" w:hAnsi="Calibri" w:cs="Calibri" w:hint="eastAsia"/>
          <w:rtl/>
        </w:rPr>
        <w:t>עלה</w:t>
      </w:r>
      <w:r w:rsidRPr="00E31E72">
        <w:rPr>
          <w:rFonts w:ascii="Calibri" w:hAnsi="Calibri" w:cs="Calibri"/>
          <w:rtl/>
        </w:rPr>
        <w:t xml:space="preserve"> </w:t>
      </w:r>
      <w:r w:rsidRPr="00E31E72">
        <w:rPr>
          <w:rFonts w:ascii="Calibri" w:hAnsi="Calibri" w:cs="Calibri" w:hint="eastAsia"/>
          <w:rtl/>
        </w:rPr>
        <w:t>בחודש</w:t>
      </w:r>
      <w:r w:rsidRPr="00E31E72">
        <w:rPr>
          <w:rFonts w:ascii="Calibri" w:hAnsi="Calibri" w:cs="Calibri"/>
          <w:rtl/>
        </w:rPr>
        <w:t xml:space="preserve"> </w:t>
      </w:r>
      <w:r w:rsidRPr="00E31E72">
        <w:rPr>
          <w:rFonts w:ascii="Calibri" w:hAnsi="Calibri" w:cs="Calibri" w:hint="eastAsia"/>
          <w:rtl/>
        </w:rPr>
        <w:t>מאי</w:t>
      </w:r>
      <w:r w:rsidRPr="00E31E72">
        <w:rPr>
          <w:rFonts w:ascii="Calibri" w:hAnsi="Calibri" w:cs="Calibri"/>
          <w:rtl/>
        </w:rPr>
        <w:t xml:space="preserve"> </w:t>
      </w:r>
      <w:r w:rsidRPr="00E31E72">
        <w:rPr>
          <w:rFonts w:ascii="Calibri" w:hAnsi="Calibri" w:cs="Calibri" w:hint="eastAsia"/>
          <w:rtl/>
        </w:rPr>
        <w:t>ועמד</w:t>
      </w:r>
      <w:r w:rsidRPr="00E31E72">
        <w:rPr>
          <w:rFonts w:ascii="Calibri" w:hAnsi="Calibri" w:cs="Calibri"/>
          <w:rtl/>
        </w:rPr>
        <w:t xml:space="preserve"> </w:t>
      </w:r>
      <w:r w:rsidRPr="00E31E72">
        <w:rPr>
          <w:rFonts w:ascii="Calibri" w:hAnsi="Calibri" w:cs="Calibri" w:hint="eastAsia"/>
          <w:rtl/>
        </w:rPr>
        <w:t>על</w:t>
      </w:r>
      <w:r w:rsidRPr="00E31E72">
        <w:rPr>
          <w:rFonts w:ascii="Calibri" w:hAnsi="Calibri" w:cs="Calibri"/>
          <w:rtl/>
        </w:rPr>
        <w:t xml:space="preserve"> 2.4% ומדד הליבה של המחירים לצרכן (</w:t>
      </w:r>
      <w:r w:rsidRPr="00E31E72">
        <w:rPr>
          <w:rFonts w:ascii="Calibri" w:hAnsi="Calibri" w:cs="Calibri"/>
        </w:rPr>
        <w:t>Core CPI</w:t>
      </w:r>
      <w:r w:rsidRPr="00E31E72">
        <w:rPr>
          <w:rFonts w:ascii="Calibri" w:hAnsi="Calibri" w:cs="Calibri"/>
          <w:rtl/>
        </w:rPr>
        <w:t xml:space="preserve">) </w:t>
      </w:r>
      <w:r w:rsidRPr="00E31E72">
        <w:rPr>
          <w:rFonts w:ascii="Calibri" w:hAnsi="Calibri" w:cs="Calibri" w:hint="eastAsia"/>
          <w:rtl/>
        </w:rPr>
        <w:t>עמד</w:t>
      </w:r>
      <w:r w:rsidRPr="00E31E72">
        <w:rPr>
          <w:rFonts w:ascii="Calibri" w:hAnsi="Calibri" w:cs="Calibri"/>
          <w:rtl/>
        </w:rPr>
        <w:t xml:space="preserve"> </w:t>
      </w:r>
      <w:r w:rsidRPr="00E31E72">
        <w:rPr>
          <w:rFonts w:ascii="Calibri" w:hAnsi="Calibri" w:cs="Calibri" w:hint="eastAsia"/>
          <w:rtl/>
        </w:rPr>
        <w:t>על</w:t>
      </w:r>
      <w:r w:rsidRPr="00E31E72">
        <w:rPr>
          <w:rFonts w:ascii="Calibri" w:hAnsi="Calibri" w:cs="Calibri"/>
          <w:rtl/>
        </w:rPr>
        <w:t xml:space="preserve"> 2.8%. בגוש האירו, בקריאה מקדמית לחודש יוני האינפלציה </w:t>
      </w:r>
      <w:r w:rsidRPr="00E31E72">
        <w:rPr>
          <w:rFonts w:ascii="Calibri" w:hAnsi="Calibri" w:cs="Calibri" w:hint="eastAsia"/>
          <w:rtl/>
        </w:rPr>
        <w:t>עלתה</w:t>
      </w:r>
      <w:r w:rsidRPr="00E31E72">
        <w:rPr>
          <w:rFonts w:ascii="Calibri" w:hAnsi="Calibri" w:cs="Calibri"/>
          <w:rtl/>
        </w:rPr>
        <w:t xml:space="preserve"> </w:t>
      </w:r>
      <w:r w:rsidRPr="00E31E72">
        <w:rPr>
          <w:rFonts w:ascii="Calibri" w:hAnsi="Calibri" w:cs="Calibri" w:hint="eastAsia"/>
          <w:rtl/>
        </w:rPr>
        <w:t>מעט</w:t>
      </w:r>
      <w:r w:rsidRPr="00E31E72">
        <w:rPr>
          <w:rFonts w:ascii="Calibri" w:hAnsi="Calibri" w:cs="Calibri"/>
          <w:rtl/>
        </w:rPr>
        <w:t xml:space="preserve"> </w:t>
      </w:r>
      <w:r w:rsidRPr="00E31E72">
        <w:rPr>
          <w:rFonts w:ascii="Calibri" w:hAnsi="Calibri" w:cs="Calibri" w:hint="eastAsia"/>
          <w:rtl/>
        </w:rPr>
        <w:t>ועומדת</w:t>
      </w:r>
      <w:r w:rsidRPr="00E31E72">
        <w:rPr>
          <w:rFonts w:ascii="Calibri" w:hAnsi="Calibri" w:cs="Calibri"/>
          <w:rtl/>
        </w:rPr>
        <w:t xml:space="preserve"> על 2% ומדד הליבה נותר ללא שינוי על 2.3%. בנקים מרכזיים רבים במדינות המפותחות המשיכו בסבב הורדות הריבית. ה-</w:t>
      </w:r>
      <w:r w:rsidRPr="00E31E72">
        <w:rPr>
          <w:rFonts w:ascii="Calibri" w:hAnsi="Calibri" w:cs="Calibri"/>
        </w:rPr>
        <w:t>ECB</w:t>
      </w:r>
      <w:r w:rsidRPr="00E31E72">
        <w:rPr>
          <w:rFonts w:ascii="Calibri" w:hAnsi="Calibri" w:cs="Calibri"/>
          <w:rtl/>
        </w:rPr>
        <w:t xml:space="preserve"> הוריד את הריבית ב-25 נ"ב, </w:t>
      </w:r>
      <w:r w:rsidRPr="00E31E72">
        <w:rPr>
          <w:rFonts w:ascii="Calibri" w:hAnsi="Calibri" w:cs="Calibri" w:hint="eastAsia"/>
          <w:rtl/>
        </w:rPr>
        <w:t>וה</w:t>
      </w:r>
      <w:r w:rsidRPr="00E31E72">
        <w:rPr>
          <w:rFonts w:ascii="Calibri" w:hAnsi="Calibri" w:cs="Calibri"/>
          <w:rtl/>
        </w:rPr>
        <w:t>-</w:t>
      </w:r>
      <w:r w:rsidRPr="00E31E72">
        <w:rPr>
          <w:rFonts w:ascii="Calibri" w:hAnsi="Calibri" w:cs="Calibri"/>
        </w:rPr>
        <w:t>FED</w:t>
      </w:r>
      <w:r w:rsidRPr="00E31E72">
        <w:rPr>
          <w:rFonts w:ascii="Calibri" w:hAnsi="Calibri" w:cs="Calibri"/>
          <w:rtl/>
        </w:rPr>
        <w:t xml:space="preserve"> הותיר את הריבית ללא שינוי </w:t>
      </w:r>
      <w:r w:rsidRPr="00E31E72">
        <w:rPr>
          <w:rFonts w:ascii="Calibri" w:hAnsi="Calibri" w:cs="Calibri"/>
          <w:b/>
          <w:bCs/>
          <w:rtl/>
        </w:rPr>
        <w:t>(איור 3</w:t>
      </w:r>
      <w:r>
        <w:rPr>
          <w:rFonts w:ascii="Calibri" w:hAnsi="Calibri" w:cs="Calibri" w:hint="cs"/>
          <w:b/>
          <w:bCs/>
          <w:rtl/>
        </w:rPr>
        <w:t>4</w:t>
      </w:r>
      <w:r w:rsidRPr="00E31E72">
        <w:rPr>
          <w:rFonts w:ascii="Calibri" w:hAnsi="Calibri" w:cs="Calibri"/>
          <w:b/>
          <w:bCs/>
          <w:rtl/>
        </w:rPr>
        <w:t>).</w:t>
      </w:r>
    </w:p>
    <w:p w:rsidR="008A28D3" w:rsidRPr="00E31E72" w:rsidRDefault="008A28D3" w:rsidP="008A28D3">
      <w:pPr>
        <w:pStyle w:val="-"/>
        <w:numPr>
          <w:ilvl w:val="0"/>
          <w:numId w:val="0"/>
        </w:numPr>
        <w:spacing w:after="0"/>
        <w:ind w:left="-35"/>
        <w:rPr>
          <w:rFonts w:ascii="Calibri" w:hAnsi="Calibri" w:cs="Calibri"/>
          <w:rtl/>
        </w:rPr>
      </w:pPr>
    </w:p>
    <w:p w:rsidR="008A28D3" w:rsidRPr="00E31E72" w:rsidRDefault="008A28D3" w:rsidP="008A28D3">
      <w:pPr>
        <w:pStyle w:val="-"/>
        <w:numPr>
          <w:ilvl w:val="0"/>
          <w:numId w:val="0"/>
        </w:numPr>
        <w:spacing w:after="0"/>
        <w:ind w:left="-35"/>
        <w:rPr>
          <w:rFonts w:ascii="Calibri" w:hAnsi="Calibri" w:cs="Calibri"/>
          <w:rtl/>
        </w:rPr>
      </w:pPr>
      <w:r w:rsidRPr="00E31E72">
        <w:rPr>
          <w:rFonts w:ascii="Calibri" w:hAnsi="Calibri" w:cs="Calibri"/>
          <w:rtl/>
        </w:rPr>
        <w:t xml:space="preserve">סיכום הדיונים המוניטריים שהתקיימו לקראת החלטה זו יפורסם ב-21.07.2025. החלטת המדיניות המוניטרית הבאה תתפרסם ביום </w:t>
      </w:r>
      <w:r w:rsidRPr="00E31E72">
        <w:rPr>
          <w:rFonts w:ascii="Calibri" w:hAnsi="Calibri" w:cs="Calibri" w:hint="eastAsia"/>
          <w:rtl/>
        </w:rPr>
        <w:t>רביעי</w:t>
      </w:r>
      <w:r w:rsidRPr="00E31E72">
        <w:rPr>
          <w:rFonts w:ascii="Calibri" w:hAnsi="Calibri" w:cs="Calibri"/>
          <w:rtl/>
        </w:rPr>
        <w:t xml:space="preserve">, ה-20.08.2025. </w:t>
      </w:r>
    </w:p>
    <w:p w:rsidR="008A28D3" w:rsidRPr="00202530" w:rsidRDefault="008A28D3" w:rsidP="009005BA">
      <w:pPr>
        <w:tabs>
          <w:tab w:val="left" w:pos="2315"/>
        </w:tabs>
        <w:rPr>
          <w:sz w:val="24"/>
          <w:szCs w:val="24"/>
          <w:rtl/>
        </w:rPr>
      </w:pPr>
    </w:p>
    <w:sectPr w:rsidR="008A28D3" w:rsidRPr="00202530"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DB" w:rsidRDefault="00A01DDB" w:rsidP="008755E3">
      <w:pPr>
        <w:spacing w:after="0" w:line="240" w:lineRule="auto"/>
      </w:pPr>
      <w:r>
        <w:separator/>
      </w:r>
    </w:p>
  </w:endnote>
  <w:endnote w:type="continuationSeparator" w:id="0">
    <w:p w:rsidR="00A01DDB" w:rsidRDefault="00A01DDB"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f"/>
      <w:rPr>
        <w:rtl/>
      </w:rPr>
    </w:pPr>
    <w:r w:rsidRPr="00571971">
      <w:rPr>
        <w:noProof/>
        <w:rtl/>
      </w:rPr>
      <w:drawing>
        <wp:anchor distT="0" distB="0" distL="114300" distR="114300" simplePos="0" relativeHeight="251674624" behindDoc="0" locked="0" layoutInCell="1" allowOverlap="1" wp14:anchorId="224B253A" wp14:editId="37DFE462">
          <wp:simplePos x="0" y="0"/>
          <wp:positionH relativeFrom="margin">
            <wp:posOffset>5628736</wp:posOffset>
          </wp:positionH>
          <wp:positionV relativeFrom="paragraph">
            <wp:posOffset>-161769</wp:posOffset>
          </wp:positionV>
          <wp:extent cx="310551" cy="310551"/>
          <wp:effectExtent l="0" t="0" r="0" b="0"/>
          <wp:wrapNone/>
          <wp:docPr id="1695957334"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34953ED" wp14:editId="4F257A25">
          <wp:simplePos x="0" y="0"/>
          <wp:positionH relativeFrom="column">
            <wp:posOffset>4231257</wp:posOffset>
          </wp:positionH>
          <wp:positionV relativeFrom="paragraph">
            <wp:posOffset>-127468</wp:posOffset>
          </wp:positionV>
          <wp:extent cx="241539" cy="241539"/>
          <wp:effectExtent l="0" t="0" r="6350" b="6350"/>
          <wp:wrapNone/>
          <wp:docPr id="4476226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5648" behindDoc="0" locked="0" layoutInCell="1" allowOverlap="1" wp14:anchorId="6BCBCF7B" wp14:editId="04E38D0F">
          <wp:simplePos x="0" y="0"/>
          <wp:positionH relativeFrom="column">
            <wp:posOffset>2411084</wp:posOffset>
          </wp:positionH>
          <wp:positionV relativeFrom="paragraph">
            <wp:posOffset>-135638</wp:posOffset>
          </wp:positionV>
          <wp:extent cx="266528" cy="262039"/>
          <wp:effectExtent l="0" t="0" r="635" b="5080"/>
          <wp:wrapNone/>
          <wp:docPr id="204696503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76672" behindDoc="0" locked="0" layoutInCell="1" allowOverlap="1" wp14:anchorId="28A7372A" wp14:editId="31FC215F">
          <wp:simplePos x="0" y="0"/>
          <wp:positionH relativeFrom="column">
            <wp:posOffset>565030</wp:posOffset>
          </wp:positionH>
          <wp:positionV relativeFrom="paragraph">
            <wp:posOffset>-118386</wp:posOffset>
          </wp:positionV>
          <wp:extent cx="329206" cy="241456"/>
          <wp:effectExtent l="0" t="0" r="0" b="6350"/>
          <wp:wrapNone/>
          <wp:docPr id="2098048122"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30990E8E" wp14:editId="7AD03DA4">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8"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90E8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sz w:val="16"/>
                        <w:szCs w:val="16"/>
                        <w:rtl/>
                      </w:rPr>
                    </w:pPr>
                    <w:r w:rsidRPr="00031A9D">
                      <w:rPr>
                        <w:noProof/>
                        <w:sz w:val="16"/>
                        <w:szCs w:val="16"/>
                        <w:rtl/>
                      </w:rPr>
                      <w:t>פודקאסט בנק ישראל</w:t>
                    </w:r>
                    <w:r w:rsidRPr="00031A9D">
                      <w:rPr>
                        <w:noProof/>
                        <w:sz w:val="16"/>
                        <w:szCs w:val="16"/>
                        <w:rtl/>
                      </w:rPr>
                      <w:br/>
                    </w:r>
                    <w:hyperlink r:id="rId9"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1D9B78A" wp14:editId="3862DF75">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0"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9B78A"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noProof/>
                        <w:sz w:val="16"/>
                        <w:szCs w:val="16"/>
                        <w:rtl/>
                      </w:rPr>
                    </w:pPr>
                    <w:r w:rsidRPr="00031A9D">
                      <w:rPr>
                        <w:noProof/>
                        <w:sz w:val="16"/>
                        <w:szCs w:val="16"/>
                        <w:rtl/>
                      </w:rPr>
                      <w:t>יוטיוב - בנק ישראל</w:t>
                    </w:r>
                    <w:r w:rsidRPr="00031A9D">
                      <w:rPr>
                        <w:noProof/>
                        <w:sz w:val="16"/>
                        <w:szCs w:val="16"/>
                        <w:rtl/>
                      </w:rPr>
                      <w:br/>
                    </w:r>
                    <w:hyperlink r:id="rId11"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4423596E" wp14:editId="1B2AA735">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3596E"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E5D525A" wp14:editId="6D2D2614">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D525A"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81AAFDE" wp14:editId="32D9D95A">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865E8"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af"/>
    </w:pPr>
  </w:p>
  <w:p w:rsidR="001D340E" w:rsidRDefault="001D340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DB" w:rsidRDefault="00A01DDB" w:rsidP="008755E3">
      <w:pPr>
        <w:spacing w:after="0" w:line="240" w:lineRule="auto"/>
      </w:pPr>
      <w:r>
        <w:separator/>
      </w:r>
    </w:p>
  </w:footnote>
  <w:footnote w:type="continuationSeparator" w:id="0">
    <w:p w:rsidR="00A01DDB" w:rsidRDefault="00A01DDB"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E728962E">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67277"/>
    <w:multiLevelType w:val="hybridMultilevel"/>
    <w:tmpl w:val="479A357E"/>
    <w:lvl w:ilvl="0" w:tplc="7D302F7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7F72F2"/>
    <w:multiLevelType w:val="hybridMultilevel"/>
    <w:tmpl w:val="ECEC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01312"/>
    <w:multiLevelType w:val="hybridMultilevel"/>
    <w:tmpl w:val="48600200"/>
    <w:lvl w:ilvl="0" w:tplc="359AAEBE">
      <w:start w:val="1"/>
      <w:numFmt w:val="hebrew1"/>
      <w:pStyle w:val="a"/>
      <w:lvlText w:val="%1."/>
      <w:lvlJc w:val="center"/>
      <w:pPr>
        <w:ind w:left="720" w:hanging="360"/>
      </w:pPr>
      <w:rPr>
        <w:rFonts w:asciiTheme="minorHAnsi" w:hAnsiTheme="minorHAnsi" w:cstheme="minorHAns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AD716E"/>
    <w:multiLevelType w:val="hybridMultilevel"/>
    <w:tmpl w:val="111011BA"/>
    <w:lvl w:ilvl="0" w:tplc="D340FB7A">
      <w:numFmt w:val="bullet"/>
      <w:pStyle w:val="-"/>
      <w:lvlText w:val=""/>
      <w:lvlJc w:val="left"/>
      <w:pPr>
        <w:ind w:left="720" w:hanging="360"/>
      </w:pPr>
      <w:rPr>
        <w:rFonts w:ascii="Symbol" w:eastAsia="Calibri" w:hAnsi="Symbol" w:cs="Gisha" w:hint="default"/>
      </w:rPr>
    </w:lvl>
    <w:lvl w:ilvl="1" w:tplc="42F05234" w:tentative="1">
      <w:start w:val="1"/>
      <w:numFmt w:val="bullet"/>
      <w:lvlText w:val="o"/>
      <w:lvlJc w:val="left"/>
      <w:pPr>
        <w:ind w:left="1440" w:hanging="360"/>
      </w:pPr>
      <w:rPr>
        <w:rFonts w:ascii="Courier New" w:hAnsi="Courier New" w:cs="Courier New" w:hint="default"/>
      </w:rPr>
    </w:lvl>
    <w:lvl w:ilvl="2" w:tplc="08526EDE" w:tentative="1">
      <w:start w:val="1"/>
      <w:numFmt w:val="bullet"/>
      <w:lvlText w:val=""/>
      <w:lvlJc w:val="left"/>
      <w:pPr>
        <w:ind w:left="2160" w:hanging="360"/>
      </w:pPr>
      <w:rPr>
        <w:rFonts w:ascii="Wingdings" w:hAnsi="Wingdings" w:hint="default"/>
      </w:rPr>
    </w:lvl>
    <w:lvl w:ilvl="3" w:tplc="ABA20D10" w:tentative="1">
      <w:start w:val="1"/>
      <w:numFmt w:val="bullet"/>
      <w:lvlText w:val=""/>
      <w:lvlJc w:val="left"/>
      <w:pPr>
        <w:ind w:left="2880" w:hanging="360"/>
      </w:pPr>
      <w:rPr>
        <w:rFonts w:ascii="Symbol" w:hAnsi="Symbol" w:hint="default"/>
      </w:rPr>
    </w:lvl>
    <w:lvl w:ilvl="4" w:tplc="710A2428" w:tentative="1">
      <w:start w:val="1"/>
      <w:numFmt w:val="bullet"/>
      <w:lvlText w:val="o"/>
      <w:lvlJc w:val="left"/>
      <w:pPr>
        <w:ind w:left="3600" w:hanging="360"/>
      </w:pPr>
      <w:rPr>
        <w:rFonts w:ascii="Courier New" w:hAnsi="Courier New" w:cs="Courier New" w:hint="default"/>
      </w:rPr>
    </w:lvl>
    <w:lvl w:ilvl="5" w:tplc="7F5699FC" w:tentative="1">
      <w:start w:val="1"/>
      <w:numFmt w:val="bullet"/>
      <w:lvlText w:val=""/>
      <w:lvlJc w:val="left"/>
      <w:pPr>
        <w:ind w:left="4320" w:hanging="360"/>
      </w:pPr>
      <w:rPr>
        <w:rFonts w:ascii="Wingdings" w:hAnsi="Wingdings" w:hint="default"/>
      </w:rPr>
    </w:lvl>
    <w:lvl w:ilvl="6" w:tplc="C546AC68" w:tentative="1">
      <w:start w:val="1"/>
      <w:numFmt w:val="bullet"/>
      <w:lvlText w:val=""/>
      <w:lvlJc w:val="left"/>
      <w:pPr>
        <w:ind w:left="5040" w:hanging="360"/>
      </w:pPr>
      <w:rPr>
        <w:rFonts w:ascii="Symbol" w:hAnsi="Symbol" w:hint="default"/>
      </w:rPr>
    </w:lvl>
    <w:lvl w:ilvl="7" w:tplc="BA5294AA" w:tentative="1">
      <w:start w:val="1"/>
      <w:numFmt w:val="bullet"/>
      <w:lvlText w:val="o"/>
      <w:lvlJc w:val="left"/>
      <w:pPr>
        <w:ind w:left="5760" w:hanging="360"/>
      </w:pPr>
      <w:rPr>
        <w:rFonts w:ascii="Courier New" w:hAnsi="Courier New" w:cs="Courier New" w:hint="default"/>
      </w:rPr>
    </w:lvl>
    <w:lvl w:ilvl="8" w:tplc="E08842E2" w:tentative="1">
      <w:start w:val="1"/>
      <w:numFmt w:val="bullet"/>
      <w:lvlText w:val=""/>
      <w:lvlJc w:val="left"/>
      <w:pPr>
        <w:ind w:left="6480" w:hanging="360"/>
      </w:pPr>
      <w:rPr>
        <w:rFonts w:ascii="Wingdings" w:hAnsi="Wingdings" w:hint="default"/>
      </w:rPr>
    </w:lvl>
  </w:abstractNum>
  <w:abstractNum w:abstractNumId="16"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6"/>
  </w:num>
  <w:num w:numId="6">
    <w:abstractNumId w:val="1"/>
  </w:num>
  <w:num w:numId="7">
    <w:abstractNumId w:val="16"/>
  </w:num>
  <w:num w:numId="8">
    <w:abstractNumId w:val="21"/>
  </w:num>
  <w:num w:numId="9">
    <w:abstractNumId w:val="23"/>
  </w:num>
  <w:num w:numId="10">
    <w:abstractNumId w:val="17"/>
  </w:num>
  <w:num w:numId="11">
    <w:abstractNumId w:val="14"/>
  </w:num>
  <w:num w:numId="12">
    <w:abstractNumId w:val="18"/>
  </w:num>
  <w:num w:numId="13">
    <w:abstractNumId w:val="11"/>
  </w:num>
  <w:num w:numId="14">
    <w:abstractNumId w:val="2"/>
  </w:num>
  <w:num w:numId="15">
    <w:abstractNumId w:val="20"/>
  </w:num>
  <w:num w:numId="16">
    <w:abstractNumId w:val="0"/>
  </w:num>
  <w:num w:numId="17">
    <w:abstractNumId w:val="25"/>
  </w:num>
  <w:num w:numId="18">
    <w:abstractNumId w:val="24"/>
  </w:num>
  <w:num w:numId="19">
    <w:abstractNumId w:val="22"/>
  </w:num>
  <w:num w:numId="20">
    <w:abstractNumId w:val="3"/>
  </w:num>
  <w:num w:numId="21">
    <w:abstractNumId w:val="10"/>
  </w:num>
  <w:num w:numId="22">
    <w:abstractNumId w:val="13"/>
  </w:num>
  <w:num w:numId="23">
    <w:abstractNumId w:val="19"/>
  </w:num>
  <w:num w:numId="24">
    <w:abstractNumId w:val="15"/>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22C0"/>
    <w:rsid w:val="00014FD0"/>
    <w:rsid w:val="000152DC"/>
    <w:rsid w:val="0001766D"/>
    <w:rsid w:val="00017BFC"/>
    <w:rsid w:val="0002007D"/>
    <w:rsid w:val="00021FB9"/>
    <w:rsid w:val="000220C6"/>
    <w:rsid w:val="000228A9"/>
    <w:rsid w:val="00023B23"/>
    <w:rsid w:val="00024809"/>
    <w:rsid w:val="00024F11"/>
    <w:rsid w:val="00025519"/>
    <w:rsid w:val="00025537"/>
    <w:rsid w:val="00027C28"/>
    <w:rsid w:val="0003211E"/>
    <w:rsid w:val="00032281"/>
    <w:rsid w:val="00032523"/>
    <w:rsid w:val="00033B6D"/>
    <w:rsid w:val="000358D1"/>
    <w:rsid w:val="000360A2"/>
    <w:rsid w:val="00042C98"/>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0CC1"/>
    <w:rsid w:val="000718EE"/>
    <w:rsid w:val="00075AC0"/>
    <w:rsid w:val="0007674B"/>
    <w:rsid w:val="00077074"/>
    <w:rsid w:val="00080784"/>
    <w:rsid w:val="00082A1D"/>
    <w:rsid w:val="00084628"/>
    <w:rsid w:val="000902E7"/>
    <w:rsid w:val="00091068"/>
    <w:rsid w:val="000910D7"/>
    <w:rsid w:val="000924A8"/>
    <w:rsid w:val="00093045"/>
    <w:rsid w:val="000933F0"/>
    <w:rsid w:val="00093FA1"/>
    <w:rsid w:val="00094C4E"/>
    <w:rsid w:val="00094DF9"/>
    <w:rsid w:val="0009652F"/>
    <w:rsid w:val="00096584"/>
    <w:rsid w:val="00096921"/>
    <w:rsid w:val="00096A01"/>
    <w:rsid w:val="000A1570"/>
    <w:rsid w:val="000A1A7A"/>
    <w:rsid w:val="000A26D8"/>
    <w:rsid w:val="000A27A2"/>
    <w:rsid w:val="000A40C0"/>
    <w:rsid w:val="000A4A06"/>
    <w:rsid w:val="000A54C8"/>
    <w:rsid w:val="000A7049"/>
    <w:rsid w:val="000B0E51"/>
    <w:rsid w:val="000B0EE8"/>
    <w:rsid w:val="000B3FAE"/>
    <w:rsid w:val="000B4E28"/>
    <w:rsid w:val="000C29DF"/>
    <w:rsid w:val="000C2F0B"/>
    <w:rsid w:val="000C32D8"/>
    <w:rsid w:val="000C33AB"/>
    <w:rsid w:val="000C346E"/>
    <w:rsid w:val="000C550D"/>
    <w:rsid w:val="000C75FD"/>
    <w:rsid w:val="000D07B1"/>
    <w:rsid w:val="000D1F9E"/>
    <w:rsid w:val="000D3975"/>
    <w:rsid w:val="000D4224"/>
    <w:rsid w:val="000D439D"/>
    <w:rsid w:val="000D5007"/>
    <w:rsid w:val="000D5FE3"/>
    <w:rsid w:val="000D6D0B"/>
    <w:rsid w:val="000D6E8A"/>
    <w:rsid w:val="000E0A8A"/>
    <w:rsid w:val="000E2793"/>
    <w:rsid w:val="000E2975"/>
    <w:rsid w:val="000E2CFD"/>
    <w:rsid w:val="000E3D04"/>
    <w:rsid w:val="000E4FFC"/>
    <w:rsid w:val="000E6C16"/>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62EF"/>
    <w:rsid w:val="001077F9"/>
    <w:rsid w:val="00107DB1"/>
    <w:rsid w:val="00110548"/>
    <w:rsid w:val="00111EDD"/>
    <w:rsid w:val="001179BF"/>
    <w:rsid w:val="001235DE"/>
    <w:rsid w:val="0012448C"/>
    <w:rsid w:val="00124764"/>
    <w:rsid w:val="00125322"/>
    <w:rsid w:val="00125340"/>
    <w:rsid w:val="001253C6"/>
    <w:rsid w:val="001260EE"/>
    <w:rsid w:val="0013157B"/>
    <w:rsid w:val="0013171B"/>
    <w:rsid w:val="00131AB3"/>
    <w:rsid w:val="00131D6E"/>
    <w:rsid w:val="00132ED1"/>
    <w:rsid w:val="00133384"/>
    <w:rsid w:val="00133DB6"/>
    <w:rsid w:val="001343A1"/>
    <w:rsid w:val="0013442E"/>
    <w:rsid w:val="001353DD"/>
    <w:rsid w:val="001371F0"/>
    <w:rsid w:val="0013763C"/>
    <w:rsid w:val="00141888"/>
    <w:rsid w:val="00141CAE"/>
    <w:rsid w:val="00142115"/>
    <w:rsid w:val="0014229A"/>
    <w:rsid w:val="00142F71"/>
    <w:rsid w:val="00142F72"/>
    <w:rsid w:val="00144C67"/>
    <w:rsid w:val="00144CD6"/>
    <w:rsid w:val="001472FC"/>
    <w:rsid w:val="001474C5"/>
    <w:rsid w:val="00150382"/>
    <w:rsid w:val="00151E77"/>
    <w:rsid w:val="0015200F"/>
    <w:rsid w:val="00153235"/>
    <w:rsid w:val="001537BC"/>
    <w:rsid w:val="00153AEE"/>
    <w:rsid w:val="0015483F"/>
    <w:rsid w:val="00156E60"/>
    <w:rsid w:val="00157873"/>
    <w:rsid w:val="0016061D"/>
    <w:rsid w:val="00161A75"/>
    <w:rsid w:val="00161F3C"/>
    <w:rsid w:val="00164B82"/>
    <w:rsid w:val="00164BA9"/>
    <w:rsid w:val="00164CCE"/>
    <w:rsid w:val="00166FE3"/>
    <w:rsid w:val="00167449"/>
    <w:rsid w:val="00170461"/>
    <w:rsid w:val="0017071A"/>
    <w:rsid w:val="001712A1"/>
    <w:rsid w:val="00171378"/>
    <w:rsid w:val="001749ED"/>
    <w:rsid w:val="001750CB"/>
    <w:rsid w:val="00177DF4"/>
    <w:rsid w:val="001804D4"/>
    <w:rsid w:val="001814EF"/>
    <w:rsid w:val="00183BF0"/>
    <w:rsid w:val="001860B4"/>
    <w:rsid w:val="00186545"/>
    <w:rsid w:val="0018725C"/>
    <w:rsid w:val="00190517"/>
    <w:rsid w:val="00192F1B"/>
    <w:rsid w:val="00193637"/>
    <w:rsid w:val="001972AA"/>
    <w:rsid w:val="001A025E"/>
    <w:rsid w:val="001A0B7F"/>
    <w:rsid w:val="001A16D1"/>
    <w:rsid w:val="001A16EC"/>
    <w:rsid w:val="001A1DD0"/>
    <w:rsid w:val="001A21CD"/>
    <w:rsid w:val="001A2C74"/>
    <w:rsid w:val="001A319B"/>
    <w:rsid w:val="001A3E89"/>
    <w:rsid w:val="001A41EE"/>
    <w:rsid w:val="001A5C6A"/>
    <w:rsid w:val="001A6BC4"/>
    <w:rsid w:val="001A759E"/>
    <w:rsid w:val="001B02DB"/>
    <w:rsid w:val="001B1B76"/>
    <w:rsid w:val="001B4BDA"/>
    <w:rsid w:val="001B571A"/>
    <w:rsid w:val="001B7558"/>
    <w:rsid w:val="001C00E9"/>
    <w:rsid w:val="001C0771"/>
    <w:rsid w:val="001C17B4"/>
    <w:rsid w:val="001C1A17"/>
    <w:rsid w:val="001C2385"/>
    <w:rsid w:val="001C3136"/>
    <w:rsid w:val="001C3633"/>
    <w:rsid w:val="001C41B6"/>
    <w:rsid w:val="001C522F"/>
    <w:rsid w:val="001C5CFB"/>
    <w:rsid w:val="001C623A"/>
    <w:rsid w:val="001C6C89"/>
    <w:rsid w:val="001D1076"/>
    <w:rsid w:val="001D2ECB"/>
    <w:rsid w:val="001D340E"/>
    <w:rsid w:val="001D3E3C"/>
    <w:rsid w:val="001D4545"/>
    <w:rsid w:val="001D5DBF"/>
    <w:rsid w:val="001E2FAE"/>
    <w:rsid w:val="001E5034"/>
    <w:rsid w:val="001E5CDA"/>
    <w:rsid w:val="001E6F06"/>
    <w:rsid w:val="001E78F9"/>
    <w:rsid w:val="001E7BF7"/>
    <w:rsid w:val="001E7EAF"/>
    <w:rsid w:val="001F1EB7"/>
    <w:rsid w:val="001F1F9D"/>
    <w:rsid w:val="001F322D"/>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15717"/>
    <w:rsid w:val="002168E4"/>
    <w:rsid w:val="00221E9A"/>
    <w:rsid w:val="00222298"/>
    <w:rsid w:val="002242B9"/>
    <w:rsid w:val="002243FE"/>
    <w:rsid w:val="0022458C"/>
    <w:rsid w:val="00224E07"/>
    <w:rsid w:val="00225595"/>
    <w:rsid w:val="00226E0E"/>
    <w:rsid w:val="002270A1"/>
    <w:rsid w:val="00231EDF"/>
    <w:rsid w:val="00232589"/>
    <w:rsid w:val="00232ED7"/>
    <w:rsid w:val="002333C8"/>
    <w:rsid w:val="00233B06"/>
    <w:rsid w:val="00235A43"/>
    <w:rsid w:val="00235DE2"/>
    <w:rsid w:val="00236A01"/>
    <w:rsid w:val="00241C10"/>
    <w:rsid w:val="00242959"/>
    <w:rsid w:val="00242CED"/>
    <w:rsid w:val="00243A2F"/>
    <w:rsid w:val="00244686"/>
    <w:rsid w:val="002454AE"/>
    <w:rsid w:val="00245CA7"/>
    <w:rsid w:val="00245D31"/>
    <w:rsid w:val="00251589"/>
    <w:rsid w:val="00251F3E"/>
    <w:rsid w:val="0025347D"/>
    <w:rsid w:val="00253EEE"/>
    <w:rsid w:val="00254496"/>
    <w:rsid w:val="00256FF4"/>
    <w:rsid w:val="002618FB"/>
    <w:rsid w:val="00261FA6"/>
    <w:rsid w:val="002634E2"/>
    <w:rsid w:val="002636D8"/>
    <w:rsid w:val="0027002F"/>
    <w:rsid w:val="00270BFC"/>
    <w:rsid w:val="00270E19"/>
    <w:rsid w:val="00272352"/>
    <w:rsid w:val="0027581E"/>
    <w:rsid w:val="00276A46"/>
    <w:rsid w:val="00276E1B"/>
    <w:rsid w:val="002771AE"/>
    <w:rsid w:val="00277311"/>
    <w:rsid w:val="00281B26"/>
    <w:rsid w:val="00282A55"/>
    <w:rsid w:val="00283F3C"/>
    <w:rsid w:val="0028653E"/>
    <w:rsid w:val="002869FE"/>
    <w:rsid w:val="00287C92"/>
    <w:rsid w:val="00290EFE"/>
    <w:rsid w:val="00291EE0"/>
    <w:rsid w:val="00293213"/>
    <w:rsid w:val="00294509"/>
    <w:rsid w:val="00294C82"/>
    <w:rsid w:val="0029598B"/>
    <w:rsid w:val="00296D13"/>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34AF"/>
    <w:rsid w:val="002C3D37"/>
    <w:rsid w:val="002C5AE6"/>
    <w:rsid w:val="002C6107"/>
    <w:rsid w:val="002C7CC8"/>
    <w:rsid w:val="002D0C24"/>
    <w:rsid w:val="002D2422"/>
    <w:rsid w:val="002D27C8"/>
    <w:rsid w:val="002D3577"/>
    <w:rsid w:val="002D7104"/>
    <w:rsid w:val="002D7650"/>
    <w:rsid w:val="002D76F6"/>
    <w:rsid w:val="002D7F0F"/>
    <w:rsid w:val="002E16E9"/>
    <w:rsid w:val="002E28D1"/>
    <w:rsid w:val="002E3BD1"/>
    <w:rsid w:val="002E5D2E"/>
    <w:rsid w:val="002E65A1"/>
    <w:rsid w:val="002E7606"/>
    <w:rsid w:val="002F14D6"/>
    <w:rsid w:val="002F1587"/>
    <w:rsid w:val="002F2293"/>
    <w:rsid w:val="002F232D"/>
    <w:rsid w:val="002F2535"/>
    <w:rsid w:val="002F325A"/>
    <w:rsid w:val="002F37DD"/>
    <w:rsid w:val="002F4B73"/>
    <w:rsid w:val="002F6C11"/>
    <w:rsid w:val="002F79A5"/>
    <w:rsid w:val="002F79CD"/>
    <w:rsid w:val="002F7C9A"/>
    <w:rsid w:val="00304EA4"/>
    <w:rsid w:val="00305B79"/>
    <w:rsid w:val="00305F5A"/>
    <w:rsid w:val="00306C2E"/>
    <w:rsid w:val="00307315"/>
    <w:rsid w:val="0030771C"/>
    <w:rsid w:val="003110ED"/>
    <w:rsid w:val="00311346"/>
    <w:rsid w:val="00312A60"/>
    <w:rsid w:val="00315372"/>
    <w:rsid w:val="00315446"/>
    <w:rsid w:val="003165D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27BF0"/>
    <w:rsid w:val="00330C1F"/>
    <w:rsid w:val="00331022"/>
    <w:rsid w:val="00336147"/>
    <w:rsid w:val="003412FE"/>
    <w:rsid w:val="003427EC"/>
    <w:rsid w:val="00347DBE"/>
    <w:rsid w:val="0035096F"/>
    <w:rsid w:val="003520CA"/>
    <w:rsid w:val="003530F3"/>
    <w:rsid w:val="003563F8"/>
    <w:rsid w:val="0036092C"/>
    <w:rsid w:val="00360A85"/>
    <w:rsid w:val="003612BC"/>
    <w:rsid w:val="0036176A"/>
    <w:rsid w:val="00363AF8"/>
    <w:rsid w:val="003645BD"/>
    <w:rsid w:val="00364765"/>
    <w:rsid w:val="00364F24"/>
    <w:rsid w:val="003650AF"/>
    <w:rsid w:val="00365995"/>
    <w:rsid w:val="00366B4F"/>
    <w:rsid w:val="00367272"/>
    <w:rsid w:val="0036733B"/>
    <w:rsid w:val="0036771D"/>
    <w:rsid w:val="00371390"/>
    <w:rsid w:val="0037158E"/>
    <w:rsid w:val="003715E4"/>
    <w:rsid w:val="003720B1"/>
    <w:rsid w:val="00373659"/>
    <w:rsid w:val="00373A72"/>
    <w:rsid w:val="00374FB4"/>
    <w:rsid w:val="003765BF"/>
    <w:rsid w:val="003773EA"/>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3E20"/>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630"/>
    <w:rsid w:val="003C4FEF"/>
    <w:rsid w:val="003C6831"/>
    <w:rsid w:val="003C686B"/>
    <w:rsid w:val="003C6EA7"/>
    <w:rsid w:val="003C70BF"/>
    <w:rsid w:val="003D0694"/>
    <w:rsid w:val="003D0EE3"/>
    <w:rsid w:val="003D1B6A"/>
    <w:rsid w:val="003D2FCA"/>
    <w:rsid w:val="003D653F"/>
    <w:rsid w:val="003D6700"/>
    <w:rsid w:val="003D7881"/>
    <w:rsid w:val="003E16A9"/>
    <w:rsid w:val="003E3672"/>
    <w:rsid w:val="003E4CB5"/>
    <w:rsid w:val="003E5D79"/>
    <w:rsid w:val="003E6071"/>
    <w:rsid w:val="003E649A"/>
    <w:rsid w:val="003E7368"/>
    <w:rsid w:val="003E7679"/>
    <w:rsid w:val="003E7A93"/>
    <w:rsid w:val="003F02DC"/>
    <w:rsid w:val="003F09BC"/>
    <w:rsid w:val="003F3956"/>
    <w:rsid w:val="00400CD3"/>
    <w:rsid w:val="0040657F"/>
    <w:rsid w:val="0040658F"/>
    <w:rsid w:val="00407DE2"/>
    <w:rsid w:val="00412E40"/>
    <w:rsid w:val="00413182"/>
    <w:rsid w:val="00413513"/>
    <w:rsid w:val="004138B7"/>
    <w:rsid w:val="00413A04"/>
    <w:rsid w:val="00413C47"/>
    <w:rsid w:val="0041443A"/>
    <w:rsid w:val="00414647"/>
    <w:rsid w:val="004151DC"/>
    <w:rsid w:val="0041536C"/>
    <w:rsid w:val="00420052"/>
    <w:rsid w:val="004219BF"/>
    <w:rsid w:val="0042225D"/>
    <w:rsid w:val="00423E6D"/>
    <w:rsid w:val="004253F3"/>
    <w:rsid w:val="00430A11"/>
    <w:rsid w:val="00430FE6"/>
    <w:rsid w:val="00434DF8"/>
    <w:rsid w:val="00435C64"/>
    <w:rsid w:val="00444416"/>
    <w:rsid w:val="004450CF"/>
    <w:rsid w:val="00445971"/>
    <w:rsid w:val="00452577"/>
    <w:rsid w:val="00453E2A"/>
    <w:rsid w:val="00454E80"/>
    <w:rsid w:val="004562EE"/>
    <w:rsid w:val="00456351"/>
    <w:rsid w:val="00456854"/>
    <w:rsid w:val="00462E7F"/>
    <w:rsid w:val="00463DF9"/>
    <w:rsid w:val="00465B0F"/>
    <w:rsid w:val="00466CAD"/>
    <w:rsid w:val="00467246"/>
    <w:rsid w:val="00467F39"/>
    <w:rsid w:val="00471294"/>
    <w:rsid w:val="0047168B"/>
    <w:rsid w:val="0047247F"/>
    <w:rsid w:val="00473299"/>
    <w:rsid w:val="0047639C"/>
    <w:rsid w:val="004778B4"/>
    <w:rsid w:val="00480BCE"/>
    <w:rsid w:val="004813D2"/>
    <w:rsid w:val="0048173D"/>
    <w:rsid w:val="0048245F"/>
    <w:rsid w:val="00482E9C"/>
    <w:rsid w:val="0048383B"/>
    <w:rsid w:val="004843DB"/>
    <w:rsid w:val="00490CD9"/>
    <w:rsid w:val="00492C50"/>
    <w:rsid w:val="00494DFA"/>
    <w:rsid w:val="0049563C"/>
    <w:rsid w:val="00495E66"/>
    <w:rsid w:val="004960E1"/>
    <w:rsid w:val="00496BE1"/>
    <w:rsid w:val="004976BA"/>
    <w:rsid w:val="004A0AF0"/>
    <w:rsid w:val="004A0C0C"/>
    <w:rsid w:val="004A0C72"/>
    <w:rsid w:val="004A275C"/>
    <w:rsid w:val="004A295D"/>
    <w:rsid w:val="004A3AE6"/>
    <w:rsid w:val="004A5E03"/>
    <w:rsid w:val="004A74CC"/>
    <w:rsid w:val="004B0C57"/>
    <w:rsid w:val="004B4676"/>
    <w:rsid w:val="004B5166"/>
    <w:rsid w:val="004B6140"/>
    <w:rsid w:val="004B6BEF"/>
    <w:rsid w:val="004B6D20"/>
    <w:rsid w:val="004B727F"/>
    <w:rsid w:val="004B7DB7"/>
    <w:rsid w:val="004C1097"/>
    <w:rsid w:val="004C13EB"/>
    <w:rsid w:val="004C14EA"/>
    <w:rsid w:val="004C1AA9"/>
    <w:rsid w:val="004C48CC"/>
    <w:rsid w:val="004C5028"/>
    <w:rsid w:val="004C5105"/>
    <w:rsid w:val="004C56D2"/>
    <w:rsid w:val="004C5822"/>
    <w:rsid w:val="004C6F2C"/>
    <w:rsid w:val="004C7D34"/>
    <w:rsid w:val="004D02DF"/>
    <w:rsid w:val="004D1250"/>
    <w:rsid w:val="004D1778"/>
    <w:rsid w:val="004D46CE"/>
    <w:rsid w:val="004D6E25"/>
    <w:rsid w:val="004E396A"/>
    <w:rsid w:val="004E4506"/>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6B9C"/>
    <w:rsid w:val="0050762D"/>
    <w:rsid w:val="00507C0C"/>
    <w:rsid w:val="00510617"/>
    <w:rsid w:val="00510F9E"/>
    <w:rsid w:val="00511046"/>
    <w:rsid w:val="00511763"/>
    <w:rsid w:val="00511EF6"/>
    <w:rsid w:val="00511F00"/>
    <w:rsid w:val="00515070"/>
    <w:rsid w:val="0051569C"/>
    <w:rsid w:val="005157D8"/>
    <w:rsid w:val="0051640C"/>
    <w:rsid w:val="00516A2A"/>
    <w:rsid w:val="00516B12"/>
    <w:rsid w:val="005171E4"/>
    <w:rsid w:val="00517517"/>
    <w:rsid w:val="00517664"/>
    <w:rsid w:val="005222C7"/>
    <w:rsid w:val="00522DDB"/>
    <w:rsid w:val="005275E1"/>
    <w:rsid w:val="00531F13"/>
    <w:rsid w:val="0053227B"/>
    <w:rsid w:val="00532693"/>
    <w:rsid w:val="005326A1"/>
    <w:rsid w:val="00535ED0"/>
    <w:rsid w:val="005367FF"/>
    <w:rsid w:val="00536843"/>
    <w:rsid w:val="0053743C"/>
    <w:rsid w:val="00540C1D"/>
    <w:rsid w:val="00542A34"/>
    <w:rsid w:val="00542FE4"/>
    <w:rsid w:val="00543D81"/>
    <w:rsid w:val="00544F59"/>
    <w:rsid w:val="005461F2"/>
    <w:rsid w:val="005471CB"/>
    <w:rsid w:val="00551454"/>
    <w:rsid w:val="00551484"/>
    <w:rsid w:val="00552FAD"/>
    <w:rsid w:val="00553031"/>
    <w:rsid w:val="00554457"/>
    <w:rsid w:val="00554F85"/>
    <w:rsid w:val="00556181"/>
    <w:rsid w:val="00556B8A"/>
    <w:rsid w:val="00556EFB"/>
    <w:rsid w:val="005571E9"/>
    <w:rsid w:val="00560805"/>
    <w:rsid w:val="00560FF2"/>
    <w:rsid w:val="00562235"/>
    <w:rsid w:val="00563189"/>
    <w:rsid w:val="0056402E"/>
    <w:rsid w:val="00564538"/>
    <w:rsid w:val="00565685"/>
    <w:rsid w:val="00567B37"/>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3EA3"/>
    <w:rsid w:val="005B41C4"/>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C4D"/>
    <w:rsid w:val="005E3D84"/>
    <w:rsid w:val="005E5C28"/>
    <w:rsid w:val="005E5C7E"/>
    <w:rsid w:val="005E670C"/>
    <w:rsid w:val="005F1C21"/>
    <w:rsid w:val="005F3BFA"/>
    <w:rsid w:val="005F5870"/>
    <w:rsid w:val="00600EFC"/>
    <w:rsid w:val="00601030"/>
    <w:rsid w:val="0060118D"/>
    <w:rsid w:val="00603182"/>
    <w:rsid w:val="00603F47"/>
    <w:rsid w:val="006056E2"/>
    <w:rsid w:val="00610E08"/>
    <w:rsid w:val="006119E5"/>
    <w:rsid w:val="00612A19"/>
    <w:rsid w:val="00612D5E"/>
    <w:rsid w:val="00614269"/>
    <w:rsid w:val="006144C3"/>
    <w:rsid w:val="00614913"/>
    <w:rsid w:val="00614952"/>
    <w:rsid w:val="00614BCC"/>
    <w:rsid w:val="00615F80"/>
    <w:rsid w:val="00616D29"/>
    <w:rsid w:val="00617B98"/>
    <w:rsid w:val="00621564"/>
    <w:rsid w:val="00630F4F"/>
    <w:rsid w:val="0063665D"/>
    <w:rsid w:val="006366A3"/>
    <w:rsid w:val="00641674"/>
    <w:rsid w:val="006431B3"/>
    <w:rsid w:val="00645353"/>
    <w:rsid w:val="00645777"/>
    <w:rsid w:val="00645B06"/>
    <w:rsid w:val="00645E51"/>
    <w:rsid w:val="00647081"/>
    <w:rsid w:val="00652E0E"/>
    <w:rsid w:val="006539AE"/>
    <w:rsid w:val="00653E10"/>
    <w:rsid w:val="00654E79"/>
    <w:rsid w:val="00657878"/>
    <w:rsid w:val="00657EFD"/>
    <w:rsid w:val="00662BB8"/>
    <w:rsid w:val="00663EAB"/>
    <w:rsid w:val="006646E1"/>
    <w:rsid w:val="006666B3"/>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1705"/>
    <w:rsid w:val="006931DD"/>
    <w:rsid w:val="00695298"/>
    <w:rsid w:val="00696611"/>
    <w:rsid w:val="006A049C"/>
    <w:rsid w:val="006A623F"/>
    <w:rsid w:val="006A73F1"/>
    <w:rsid w:val="006A75C7"/>
    <w:rsid w:val="006B1718"/>
    <w:rsid w:val="006B6654"/>
    <w:rsid w:val="006B79E9"/>
    <w:rsid w:val="006C199D"/>
    <w:rsid w:val="006C28FA"/>
    <w:rsid w:val="006C2E29"/>
    <w:rsid w:val="006C4F2A"/>
    <w:rsid w:val="006C50F7"/>
    <w:rsid w:val="006C5AB0"/>
    <w:rsid w:val="006C6F4B"/>
    <w:rsid w:val="006C71DC"/>
    <w:rsid w:val="006D0142"/>
    <w:rsid w:val="006D05DE"/>
    <w:rsid w:val="006D0D26"/>
    <w:rsid w:val="006D62A2"/>
    <w:rsid w:val="006D65D3"/>
    <w:rsid w:val="006D71B9"/>
    <w:rsid w:val="006E0608"/>
    <w:rsid w:val="006E1334"/>
    <w:rsid w:val="006E3465"/>
    <w:rsid w:val="006E5D28"/>
    <w:rsid w:val="006E6550"/>
    <w:rsid w:val="006E7957"/>
    <w:rsid w:val="006E7D50"/>
    <w:rsid w:val="006F0C22"/>
    <w:rsid w:val="006F10D7"/>
    <w:rsid w:val="006F1E18"/>
    <w:rsid w:val="006F2048"/>
    <w:rsid w:val="006F21BC"/>
    <w:rsid w:val="006F29F7"/>
    <w:rsid w:val="006F34EB"/>
    <w:rsid w:val="006F47C5"/>
    <w:rsid w:val="006F4ABA"/>
    <w:rsid w:val="006F506E"/>
    <w:rsid w:val="006F5C83"/>
    <w:rsid w:val="007009E0"/>
    <w:rsid w:val="00700B49"/>
    <w:rsid w:val="007010A1"/>
    <w:rsid w:val="00702511"/>
    <w:rsid w:val="00702ED2"/>
    <w:rsid w:val="007030F0"/>
    <w:rsid w:val="007045F6"/>
    <w:rsid w:val="007055D8"/>
    <w:rsid w:val="0070611E"/>
    <w:rsid w:val="00707696"/>
    <w:rsid w:val="007076FF"/>
    <w:rsid w:val="007077AC"/>
    <w:rsid w:val="007119AA"/>
    <w:rsid w:val="00711D59"/>
    <w:rsid w:val="00715E01"/>
    <w:rsid w:val="0072305F"/>
    <w:rsid w:val="0072324B"/>
    <w:rsid w:val="00725182"/>
    <w:rsid w:val="007259E5"/>
    <w:rsid w:val="00725A17"/>
    <w:rsid w:val="00726720"/>
    <w:rsid w:val="00726D5F"/>
    <w:rsid w:val="00726DC7"/>
    <w:rsid w:val="00730EBD"/>
    <w:rsid w:val="00733A21"/>
    <w:rsid w:val="00734D89"/>
    <w:rsid w:val="00735F1C"/>
    <w:rsid w:val="00740D80"/>
    <w:rsid w:val="0074121D"/>
    <w:rsid w:val="007416A4"/>
    <w:rsid w:val="007434A8"/>
    <w:rsid w:val="007441FF"/>
    <w:rsid w:val="00744DD7"/>
    <w:rsid w:val="0074504E"/>
    <w:rsid w:val="0074544F"/>
    <w:rsid w:val="00746828"/>
    <w:rsid w:val="007479AE"/>
    <w:rsid w:val="007507E6"/>
    <w:rsid w:val="00751DD0"/>
    <w:rsid w:val="00753AE4"/>
    <w:rsid w:val="00754237"/>
    <w:rsid w:val="00754A40"/>
    <w:rsid w:val="00754AD4"/>
    <w:rsid w:val="00755AF2"/>
    <w:rsid w:val="00756D9F"/>
    <w:rsid w:val="00760558"/>
    <w:rsid w:val="00760981"/>
    <w:rsid w:val="00761074"/>
    <w:rsid w:val="007618D8"/>
    <w:rsid w:val="007625DA"/>
    <w:rsid w:val="0076287C"/>
    <w:rsid w:val="00762A65"/>
    <w:rsid w:val="007639C4"/>
    <w:rsid w:val="00764C77"/>
    <w:rsid w:val="0076511C"/>
    <w:rsid w:val="00770C9F"/>
    <w:rsid w:val="007724A1"/>
    <w:rsid w:val="007733A3"/>
    <w:rsid w:val="00775D5D"/>
    <w:rsid w:val="00776E03"/>
    <w:rsid w:val="00777437"/>
    <w:rsid w:val="00780D26"/>
    <w:rsid w:val="00781E95"/>
    <w:rsid w:val="00782302"/>
    <w:rsid w:val="00786313"/>
    <w:rsid w:val="00786BAB"/>
    <w:rsid w:val="00787C13"/>
    <w:rsid w:val="00790973"/>
    <w:rsid w:val="00790BA2"/>
    <w:rsid w:val="0079229D"/>
    <w:rsid w:val="00792903"/>
    <w:rsid w:val="00792E65"/>
    <w:rsid w:val="007944E6"/>
    <w:rsid w:val="00796954"/>
    <w:rsid w:val="00796BBD"/>
    <w:rsid w:val="007A1DC9"/>
    <w:rsid w:val="007A297A"/>
    <w:rsid w:val="007A5437"/>
    <w:rsid w:val="007A63A8"/>
    <w:rsid w:val="007A6890"/>
    <w:rsid w:val="007A74C2"/>
    <w:rsid w:val="007A7B42"/>
    <w:rsid w:val="007B0741"/>
    <w:rsid w:val="007B0CE1"/>
    <w:rsid w:val="007B100E"/>
    <w:rsid w:val="007B183E"/>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C799B"/>
    <w:rsid w:val="007D1C9B"/>
    <w:rsid w:val="007D25E8"/>
    <w:rsid w:val="007D415A"/>
    <w:rsid w:val="007D53DC"/>
    <w:rsid w:val="007D71C0"/>
    <w:rsid w:val="007D71C7"/>
    <w:rsid w:val="007E0F0A"/>
    <w:rsid w:val="007E0FFE"/>
    <w:rsid w:val="007E1EB5"/>
    <w:rsid w:val="007E394E"/>
    <w:rsid w:val="007E63B9"/>
    <w:rsid w:val="007F2E40"/>
    <w:rsid w:val="007F4DE7"/>
    <w:rsid w:val="007F5E90"/>
    <w:rsid w:val="007F74D2"/>
    <w:rsid w:val="00800596"/>
    <w:rsid w:val="00801151"/>
    <w:rsid w:val="00803B1F"/>
    <w:rsid w:val="00804663"/>
    <w:rsid w:val="00806F1F"/>
    <w:rsid w:val="008104F4"/>
    <w:rsid w:val="00810681"/>
    <w:rsid w:val="008118B2"/>
    <w:rsid w:val="00814C53"/>
    <w:rsid w:val="008156EE"/>
    <w:rsid w:val="00815821"/>
    <w:rsid w:val="00821AA3"/>
    <w:rsid w:val="00821F23"/>
    <w:rsid w:val="00822BB4"/>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48D8"/>
    <w:rsid w:val="008570B5"/>
    <w:rsid w:val="00862973"/>
    <w:rsid w:val="0086311A"/>
    <w:rsid w:val="00863361"/>
    <w:rsid w:val="00863D78"/>
    <w:rsid w:val="00865724"/>
    <w:rsid w:val="00865808"/>
    <w:rsid w:val="008665D0"/>
    <w:rsid w:val="008665FD"/>
    <w:rsid w:val="00866A19"/>
    <w:rsid w:val="008702FB"/>
    <w:rsid w:val="0087034D"/>
    <w:rsid w:val="008707FD"/>
    <w:rsid w:val="00871636"/>
    <w:rsid w:val="00872960"/>
    <w:rsid w:val="00873092"/>
    <w:rsid w:val="0087309F"/>
    <w:rsid w:val="008737C9"/>
    <w:rsid w:val="00874FB2"/>
    <w:rsid w:val="008755E3"/>
    <w:rsid w:val="008758DB"/>
    <w:rsid w:val="00876019"/>
    <w:rsid w:val="00876F94"/>
    <w:rsid w:val="00877746"/>
    <w:rsid w:val="00877B56"/>
    <w:rsid w:val="00881A07"/>
    <w:rsid w:val="008823A6"/>
    <w:rsid w:val="008823EA"/>
    <w:rsid w:val="00883A97"/>
    <w:rsid w:val="00884F41"/>
    <w:rsid w:val="00885149"/>
    <w:rsid w:val="00885719"/>
    <w:rsid w:val="008879EB"/>
    <w:rsid w:val="00887FF9"/>
    <w:rsid w:val="0089191C"/>
    <w:rsid w:val="00891A31"/>
    <w:rsid w:val="0089282E"/>
    <w:rsid w:val="00892A4E"/>
    <w:rsid w:val="00892F21"/>
    <w:rsid w:val="00896324"/>
    <w:rsid w:val="00897894"/>
    <w:rsid w:val="008A28D3"/>
    <w:rsid w:val="008A2ACE"/>
    <w:rsid w:val="008A2F6F"/>
    <w:rsid w:val="008A3B73"/>
    <w:rsid w:val="008A423C"/>
    <w:rsid w:val="008A561B"/>
    <w:rsid w:val="008A58A0"/>
    <w:rsid w:val="008A6C45"/>
    <w:rsid w:val="008A753E"/>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1779"/>
    <w:rsid w:val="008E3928"/>
    <w:rsid w:val="008E4239"/>
    <w:rsid w:val="008E5572"/>
    <w:rsid w:val="008E56C6"/>
    <w:rsid w:val="008E6329"/>
    <w:rsid w:val="008E761A"/>
    <w:rsid w:val="008E7BFD"/>
    <w:rsid w:val="008F003D"/>
    <w:rsid w:val="008F0B18"/>
    <w:rsid w:val="008F1747"/>
    <w:rsid w:val="008F21C6"/>
    <w:rsid w:val="008F30F8"/>
    <w:rsid w:val="008F52D2"/>
    <w:rsid w:val="008F79EA"/>
    <w:rsid w:val="009005BA"/>
    <w:rsid w:val="00900D44"/>
    <w:rsid w:val="009025CD"/>
    <w:rsid w:val="009027A2"/>
    <w:rsid w:val="00903147"/>
    <w:rsid w:val="00906A25"/>
    <w:rsid w:val="00907727"/>
    <w:rsid w:val="00907809"/>
    <w:rsid w:val="00911ACC"/>
    <w:rsid w:val="00911BA9"/>
    <w:rsid w:val="00912108"/>
    <w:rsid w:val="0091329E"/>
    <w:rsid w:val="009145B6"/>
    <w:rsid w:val="00914B9F"/>
    <w:rsid w:val="00920DF1"/>
    <w:rsid w:val="00921D47"/>
    <w:rsid w:val="00921E0B"/>
    <w:rsid w:val="00923867"/>
    <w:rsid w:val="00926836"/>
    <w:rsid w:val="009272F9"/>
    <w:rsid w:val="00927565"/>
    <w:rsid w:val="00932A6F"/>
    <w:rsid w:val="00932D7D"/>
    <w:rsid w:val="009332A4"/>
    <w:rsid w:val="009333FE"/>
    <w:rsid w:val="00936D72"/>
    <w:rsid w:val="009419C3"/>
    <w:rsid w:val="00944142"/>
    <w:rsid w:val="009458A7"/>
    <w:rsid w:val="009458CE"/>
    <w:rsid w:val="00946056"/>
    <w:rsid w:val="0094618E"/>
    <w:rsid w:val="00947BF5"/>
    <w:rsid w:val="0095051F"/>
    <w:rsid w:val="009506A8"/>
    <w:rsid w:val="00952C62"/>
    <w:rsid w:val="00960675"/>
    <w:rsid w:val="00960D64"/>
    <w:rsid w:val="00961DAF"/>
    <w:rsid w:val="00961F2D"/>
    <w:rsid w:val="00963B4C"/>
    <w:rsid w:val="00964C47"/>
    <w:rsid w:val="00967D73"/>
    <w:rsid w:val="00970E33"/>
    <w:rsid w:val="009716AB"/>
    <w:rsid w:val="00972230"/>
    <w:rsid w:val="009738C6"/>
    <w:rsid w:val="00974D42"/>
    <w:rsid w:val="009751DA"/>
    <w:rsid w:val="0097592B"/>
    <w:rsid w:val="00977073"/>
    <w:rsid w:val="009770FE"/>
    <w:rsid w:val="00982148"/>
    <w:rsid w:val="009824E4"/>
    <w:rsid w:val="00983A2C"/>
    <w:rsid w:val="00984AA4"/>
    <w:rsid w:val="009861F5"/>
    <w:rsid w:val="009914E8"/>
    <w:rsid w:val="00992744"/>
    <w:rsid w:val="0099396B"/>
    <w:rsid w:val="00994495"/>
    <w:rsid w:val="009946F6"/>
    <w:rsid w:val="00995C66"/>
    <w:rsid w:val="00996647"/>
    <w:rsid w:val="009A2641"/>
    <w:rsid w:val="009A26E4"/>
    <w:rsid w:val="009A4BFC"/>
    <w:rsid w:val="009A5850"/>
    <w:rsid w:val="009A635D"/>
    <w:rsid w:val="009A6CE7"/>
    <w:rsid w:val="009A7E41"/>
    <w:rsid w:val="009B0882"/>
    <w:rsid w:val="009B1264"/>
    <w:rsid w:val="009B16AE"/>
    <w:rsid w:val="009B35FC"/>
    <w:rsid w:val="009B37AE"/>
    <w:rsid w:val="009B470A"/>
    <w:rsid w:val="009B5890"/>
    <w:rsid w:val="009B622D"/>
    <w:rsid w:val="009B6E06"/>
    <w:rsid w:val="009B76C4"/>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3BA6"/>
    <w:rsid w:val="009E5A18"/>
    <w:rsid w:val="009E6786"/>
    <w:rsid w:val="009E79A5"/>
    <w:rsid w:val="009F119F"/>
    <w:rsid w:val="009F1390"/>
    <w:rsid w:val="009F3067"/>
    <w:rsid w:val="009F4EAA"/>
    <w:rsid w:val="009F748A"/>
    <w:rsid w:val="009F7582"/>
    <w:rsid w:val="009F78A1"/>
    <w:rsid w:val="00A01454"/>
    <w:rsid w:val="00A01DDB"/>
    <w:rsid w:val="00A01FA0"/>
    <w:rsid w:val="00A029B5"/>
    <w:rsid w:val="00A05AEF"/>
    <w:rsid w:val="00A05F0C"/>
    <w:rsid w:val="00A06013"/>
    <w:rsid w:val="00A115CD"/>
    <w:rsid w:val="00A11890"/>
    <w:rsid w:val="00A11E73"/>
    <w:rsid w:val="00A13038"/>
    <w:rsid w:val="00A1456A"/>
    <w:rsid w:val="00A14C14"/>
    <w:rsid w:val="00A1569A"/>
    <w:rsid w:val="00A15908"/>
    <w:rsid w:val="00A16568"/>
    <w:rsid w:val="00A168EC"/>
    <w:rsid w:val="00A209EA"/>
    <w:rsid w:val="00A22259"/>
    <w:rsid w:val="00A252CC"/>
    <w:rsid w:val="00A276CC"/>
    <w:rsid w:val="00A3115B"/>
    <w:rsid w:val="00A320A1"/>
    <w:rsid w:val="00A3266F"/>
    <w:rsid w:val="00A32FB3"/>
    <w:rsid w:val="00A33522"/>
    <w:rsid w:val="00A339E0"/>
    <w:rsid w:val="00A3647E"/>
    <w:rsid w:val="00A37310"/>
    <w:rsid w:val="00A41052"/>
    <w:rsid w:val="00A416F9"/>
    <w:rsid w:val="00A420C3"/>
    <w:rsid w:val="00A4299E"/>
    <w:rsid w:val="00A42B2B"/>
    <w:rsid w:val="00A4543C"/>
    <w:rsid w:val="00A4686B"/>
    <w:rsid w:val="00A50841"/>
    <w:rsid w:val="00A515F2"/>
    <w:rsid w:val="00A51BED"/>
    <w:rsid w:val="00A52AB9"/>
    <w:rsid w:val="00A53CD1"/>
    <w:rsid w:val="00A53FD2"/>
    <w:rsid w:val="00A63469"/>
    <w:rsid w:val="00A63AD0"/>
    <w:rsid w:val="00A6434E"/>
    <w:rsid w:val="00A64576"/>
    <w:rsid w:val="00A65AD1"/>
    <w:rsid w:val="00A65CAA"/>
    <w:rsid w:val="00A677D9"/>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97F88"/>
    <w:rsid w:val="00AA0C01"/>
    <w:rsid w:val="00AA198F"/>
    <w:rsid w:val="00AA2932"/>
    <w:rsid w:val="00AA4E7B"/>
    <w:rsid w:val="00AA5F95"/>
    <w:rsid w:val="00AA6341"/>
    <w:rsid w:val="00AA6D6C"/>
    <w:rsid w:val="00AA7586"/>
    <w:rsid w:val="00AB02D6"/>
    <w:rsid w:val="00AB05C5"/>
    <w:rsid w:val="00AB15F9"/>
    <w:rsid w:val="00AB2600"/>
    <w:rsid w:val="00AB3186"/>
    <w:rsid w:val="00AB44D2"/>
    <w:rsid w:val="00AB5F84"/>
    <w:rsid w:val="00AC0EF9"/>
    <w:rsid w:val="00AC27CE"/>
    <w:rsid w:val="00AC2A3B"/>
    <w:rsid w:val="00AC4478"/>
    <w:rsid w:val="00AC5D5B"/>
    <w:rsid w:val="00AD0495"/>
    <w:rsid w:val="00AD0E57"/>
    <w:rsid w:val="00AD1A7E"/>
    <w:rsid w:val="00AD2644"/>
    <w:rsid w:val="00AD2F7B"/>
    <w:rsid w:val="00AD32DC"/>
    <w:rsid w:val="00AD3E3C"/>
    <w:rsid w:val="00AD48B2"/>
    <w:rsid w:val="00AD63E9"/>
    <w:rsid w:val="00AD656E"/>
    <w:rsid w:val="00AD6A29"/>
    <w:rsid w:val="00AD7DB5"/>
    <w:rsid w:val="00AD7F1B"/>
    <w:rsid w:val="00AE0A30"/>
    <w:rsid w:val="00AE1123"/>
    <w:rsid w:val="00AE1AC4"/>
    <w:rsid w:val="00AE284F"/>
    <w:rsid w:val="00AE30C2"/>
    <w:rsid w:val="00AE5576"/>
    <w:rsid w:val="00AF0AC8"/>
    <w:rsid w:val="00AF3967"/>
    <w:rsid w:val="00AF3A45"/>
    <w:rsid w:val="00AF3FEC"/>
    <w:rsid w:val="00AF408C"/>
    <w:rsid w:val="00AF4878"/>
    <w:rsid w:val="00AF4C8D"/>
    <w:rsid w:val="00AF7FBC"/>
    <w:rsid w:val="00B00ACB"/>
    <w:rsid w:val="00B01532"/>
    <w:rsid w:val="00B016CD"/>
    <w:rsid w:val="00B018B3"/>
    <w:rsid w:val="00B036EE"/>
    <w:rsid w:val="00B03D80"/>
    <w:rsid w:val="00B04224"/>
    <w:rsid w:val="00B050D1"/>
    <w:rsid w:val="00B115E9"/>
    <w:rsid w:val="00B11A45"/>
    <w:rsid w:val="00B11ED2"/>
    <w:rsid w:val="00B12C1C"/>
    <w:rsid w:val="00B130F0"/>
    <w:rsid w:val="00B14537"/>
    <w:rsid w:val="00B16619"/>
    <w:rsid w:val="00B177CB"/>
    <w:rsid w:val="00B21F54"/>
    <w:rsid w:val="00B22405"/>
    <w:rsid w:val="00B224BE"/>
    <w:rsid w:val="00B23CD3"/>
    <w:rsid w:val="00B23EB1"/>
    <w:rsid w:val="00B24282"/>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56F0"/>
    <w:rsid w:val="00B4601C"/>
    <w:rsid w:val="00B51787"/>
    <w:rsid w:val="00B52441"/>
    <w:rsid w:val="00B5291C"/>
    <w:rsid w:val="00B52923"/>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7E29"/>
    <w:rsid w:val="00B91535"/>
    <w:rsid w:val="00B932B6"/>
    <w:rsid w:val="00B93EA3"/>
    <w:rsid w:val="00B95355"/>
    <w:rsid w:val="00B956DE"/>
    <w:rsid w:val="00B9580E"/>
    <w:rsid w:val="00B95E3D"/>
    <w:rsid w:val="00B96020"/>
    <w:rsid w:val="00B969C8"/>
    <w:rsid w:val="00B9715D"/>
    <w:rsid w:val="00B977D3"/>
    <w:rsid w:val="00B97E1E"/>
    <w:rsid w:val="00BA0575"/>
    <w:rsid w:val="00BA0D93"/>
    <w:rsid w:val="00BA0E45"/>
    <w:rsid w:val="00BA2CCB"/>
    <w:rsid w:val="00BA2E27"/>
    <w:rsid w:val="00BA723E"/>
    <w:rsid w:val="00BA736A"/>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4F3B"/>
    <w:rsid w:val="00BC531B"/>
    <w:rsid w:val="00BC542A"/>
    <w:rsid w:val="00BC6700"/>
    <w:rsid w:val="00BC7D0B"/>
    <w:rsid w:val="00BD0816"/>
    <w:rsid w:val="00BD08AF"/>
    <w:rsid w:val="00BD0D42"/>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48DA"/>
    <w:rsid w:val="00C063FE"/>
    <w:rsid w:val="00C06655"/>
    <w:rsid w:val="00C114BD"/>
    <w:rsid w:val="00C11BA9"/>
    <w:rsid w:val="00C14A1F"/>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38C5"/>
    <w:rsid w:val="00C46113"/>
    <w:rsid w:val="00C46301"/>
    <w:rsid w:val="00C50A9E"/>
    <w:rsid w:val="00C50E25"/>
    <w:rsid w:val="00C51A2D"/>
    <w:rsid w:val="00C51BFB"/>
    <w:rsid w:val="00C52F23"/>
    <w:rsid w:val="00C52F8A"/>
    <w:rsid w:val="00C5324A"/>
    <w:rsid w:val="00C53758"/>
    <w:rsid w:val="00C53812"/>
    <w:rsid w:val="00C55084"/>
    <w:rsid w:val="00C60FD4"/>
    <w:rsid w:val="00C62223"/>
    <w:rsid w:val="00C629E2"/>
    <w:rsid w:val="00C63603"/>
    <w:rsid w:val="00C63DDE"/>
    <w:rsid w:val="00C642C0"/>
    <w:rsid w:val="00C6582B"/>
    <w:rsid w:val="00C70895"/>
    <w:rsid w:val="00C720B7"/>
    <w:rsid w:val="00C72A60"/>
    <w:rsid w:val="00C7312D"/>
    <w:rsid w:val="00C734D5"/>
    <w:rsid w:val="00C73A6E"/>
    <w:rsid w:val="00C762B8"/>
    <w:rsid w:val="00C766F3"/>
    <w:rsid w:val="00C77277"/>
    <w:rsid w:val="00C80D42"/>
    <w:rsid w:val="00C8207A"/>
    <w:rsid w:val="00C82B59"/>
    <w:rsid w:val="00C8395A"/>
    <w:rsid w:val="00C842A9"/>
    <w:rsid w:val="00C8724D"/>
    <w:rsid w:val="00C90933"/>
    <w:rsid w:val="00C9120D"/>
    <w:rsid w:val="00C912F9"/>
    <w:rsid w:val="00C9255C"/>
    <w:rsid w:val="00C93D23"/>
    <w:rsid w:val="00C94167"/>
    <w:rsid w:val="00C94FA1"/>
    <w:rsid w:val="00C9553E"/>
    <w:rsid w:val="00C95FE4"/>
    <w:rsid w:val="00C97459"/>
    <w:rsid w:val="00C979EA"/>
    <w:rsid w:val="00C979FE"/>
    <w:rsid w:val="00CA1401"/>
    <w:rsid w:val="00CA1D8B"/>
    <w:rsid w:val="00CA3DF5"/>
    <w:rsid w:val="00CA3EC8"/>
    <w:rsid w:val="00CA5829"/>
    <w:rsid w:val="00CA5F10"/>
    <w:rsid w:val="00CA6E5B"/>
    <w:rsid w:val="00CA7AF2"/>
    <w:rsid w:val="00CB1495"/>
    <w:rsid w:val="00CB1ECB"/>
    <w:rsid w:val="00CB479F"/>
    <w:rsid w:val="00CB5618"/>
    <w:rsid w:val="00CB5C75"/>
    <w:rsid w:val="00CB65B6"/>
    <w:rsid w:val="00CB6D81"/>
    <w:rsid w:val="00CC388A"/>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565D"/>
    <w:rsid w:val="00CF7906"/>
    <w:rsid w:val="00D0016C"/>
    <w:rsid w:val="00D00328"/>
    <w:rsid w:val="00D02989"/>
    <w:rsid w:val="00D032C1"/>
    <w:rsid w:val="00D03866"/>
    <w:rsid w:val="00D050A2"/>
    <w:rsid w:val="00D07230"/>
    <w:rsid w:val="00D07BFD"/>
    <w:rsid w:val="00D118C0"/>
    <w:rsid w:val="00D11ACB"/>
    <w:rsid w:val="00D122B6"/>
    <w:rsid w:val="00D13394"/>
    <w:rsid w:val="00D14C77"/>
    <w:rsid w:val="00D15364"/>
    <w:rsid w:val="00D17466"/>
    <w:rsid w:val="00D17C6B"/>
    <w:rsid w:val="00D20C2D"/>
    <w:rsid w:val="00D20DC6"/>
    <w:rsid w:val="00D21110"/>
    <w:rsid w:val="00D2198B"/>
    <w:rsid w:val="00D22BD0"/>
    <w:rsid w:val="00D23926"/>
    <w:rsid w:val="00D23E40"/>
    <w:rsid w:val="00D23F8D"/>
    <w:rsid w:val="00D24785"/>
    <w:rsid w:val="00D24FA4"/>
    <w:rsid w:val="00D25954"/>
    <w:rsid w:val="00D26498"/>
    <w:rsid w:val="00D264A9"/>
    <w:rsid w:val="00D26788"/>
    <w:rsid w:val="00D2736D"/>
    <w:rsid w:val="00D274A5"/>
    <w:rsid w:val="00D301B4"/>
    <w:rsid w:val="00D322B6"/>
    <w:rsid w:val="00D32549"/>
    <w:rsid w:val="00D33CFE"/>
    <w:rsid w:val="00D34911"/>
    <w:rsid w:val="00D35AD1"/>
    <w:rsid w:val="00D35B2F"/>
    <w:rsid w:val="00D37796"/>
    <w:rsid w:val="00D37E42"/>
    <w:rsid w:val="00D40ADE"/>
    <w:rsid w:val="00D40B65"/>
    <w:rsid w:val="00D40C4F"/>
    <w:rsid w:val="00D40FCB"/>
    <w:rsid w:val="00D416AB"/>
    <w:rsid w:val="00D4178B"/>
    <w:rsid w:val="00D430B6"/>
    <w:rsid w:val="00D432E5"/>
    <w:rsid w:val="00D434B4"/>
    <w:rsid w:val="00D44089"/>
    <w:rsid w:val="00D4410F"/>
    <w:rsid w:val="00D46AA0"/>
    <w:rsid w:val="00D47527"/>
    <w:rsid w:val="00D504D7"/>
    <w:rsid w:val="00D50A3A"/>
    <w:rsid w:val="00D51D14"/>
    <w:rsid w:val="00D532AC"/>
    <w:rsid w:val="00D53719"/>
    <w:rsid w:val="00D54289"/>
    <w:rsid w:val="00D550D4"/>
    <w:rsid w:val="00D57E17"/>
    <w:rsid w:val="00D615FC"/>
    <w:rsid w:val="00D616A7"/>
    <w:rsid w:val="00D61A22"/>
    <w:rsid w:val="00D62059"/>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879D0"/>
    <w:rsid w:val="00D90163"/>
    <w:rsid w:val="00D92AB6"/>
    <w:rsid w:val="00D94989"/>
    <w:rsid w:val="00D94A10"/>
    <w:rsid w:val="00D96BE6"/>
    <w:rsid w:val="00D96F2F"/>
    <w:rsid w:val="00D97E8D"/>
    <w:rsid w:val="00D97F2A"/>
    <w:rsid w:val="00DA0961"/>
    <w:rsid w:val="00DA1198"/>
    <w:rsid w:val="00DA2078"/>
    <w:rsid w:val="00DA44EA"/>
    <w:rsid w:val="00DA4804"/>
    <w:rsid w:val="00DA511E"/>
    <w:rsid w:val="00DA540C"/>
    <w:rsid w:val="00DA5C6D"/>
    <w:rsid w:val="00DB0C06"/>
    <w:rsid w:val="00DB0EE4"/>
    <w:rsid w:val="00DB2121"/>
    <w:rsid w:val="00DB2BD1"/>
    <w:rsid w:val="00DB3F4C"/>
    <w:rsid w:val="00DB4E4A"/>
    <w:rsid w:val="00DB6653"/>
    <w:rsid w:val="00DB66FB"/>
    <w:rsid w:val="00DC138D"/>
    <w:rsid w:val="00DC16A7"/>
    <w:rsid w:val="00DC464E"/>
    <w:rsid w:val="00DC514F"/>
    <w:rsid w:val="00DC53A4"/>
    <w:rsid w:val="00DC6480"/>
    <w:rsid w:val="00DC6DE0"/>
    <w:rsid w:val="00DC6F14"/>
    <w:rsid w:val="00DD4D13"/>
    <w:rsid w:val="00DD59E1"/>
    <w:rsid w:val="00DD7130"/>
    <w:rsid w:val="00DE08B9"/>
    <w:rsid w:val="00DE0EE6"/>
    <w:rsid w:val="00DE1F1D"/>
    <w:rsid w:val="00DE2A3D"/>
    <w:rsid w:val="00DE4873"/>
    <w:rsid w:val="00DE6A90"/>
    <w:rsid w:val="00DE7DC5"/>
    <w:rsid w:val="00DF0111"/>
    <w:rsid w:val="00DF0112"/>
    <w:rsid w:val="00DF011B"/>
    <w:rsid w:val="00DF23B3"/>
    <w:rsid w:val="00DF2DA8"/>
    <w:rsid w:val="00DF39AB"/>
    <w:rsid w:val="00DF4B50"/>
    <w:rsid w:val="00DF6D21"/>
    <w:rsid w:val="00E0065C"/>
    <w:rsid w:val="00E00A73"/>
    <w:rsid w:val="00E037A1"/>
    <w:rsid w:val="00E03A45"/>
    <w:rsid w:val="00E04F0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4578"/>
    <w:rsid w:val="00E36A35"/>
    <w:rsid w:val="00E37C06"/>
    <w:rsid w:val="00E40627"/>
    <w:rsid w:val="00E40883"/>
    <w:rsid w:val="00E41ED2"/>
    <w:rsid w:val="00E43949"/>
    <w:rsid w:val="00E445B8"/>
    <w:rsid w:val="00E46000"/>
    <w:rsid w:val="00E503B5"/>
    <w:rsid w:val="00E50C78"/>
    <w:rsid w:val="00E51353"/>
    <w:rsid w:val="00E532C1"/>
    <w:rsid w:val="00E54BA9"/>
    <w:rsid w:val="00E5681B"/>
    <w:rsid w:val="00E56AB0"/>
    <w:rsid w:val="00E608A3"/>
    <w:rsid w:val="00E610B7"/>
    <w:rsid w:val="00E62BDB"/>
    <w:rsid w:val="00E6524A"/>
    <w:rsid w:val="00E665D8"/>
    <w:rsid w:val="00E66B9A"/>
    <w:rsid w:val="00E66BA3"/>
    <w:rsid w:val="00E6783B"/>
    <w:rsid w:val="00E67B97"/>
    <w:rsid w:val="00E74FE9"/>
    <w:rsid w:val="00E774FF"/>
    <w:rsid w:val="00E80D38"/>
    <w:rsid w:val="00E8101E"/>
    <w:rsid w:val="00E8137D"/>
    <w:rsid w:val="00E825B8"/>
    <w:rsid w:val="00E85312"/>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58B3"/>
    <w:rsid w:val="00EA7383"/>
    <w:rsid w:val="00EB0D24"/>
    <w:rsid w:val="00EB1168"/>
    <w:rsid w:val="00EB20FE"/>
    <w:rsid w:val="00EB3AA0"/>
    <w:rsid w:val="00EB43F7"/>
    <w:rsid w:val="00EB4560"/>
    <w:rsid w:val="00EB7F0D"/>
    <w:rsid w:val="00EB7FC6"/>
    <w:rsid w:val="00EC2054"/>
    <w:rsid w:val="00EC561F"/>
    <w:rsid w:val="00EC57DC"/>
    <w:rsid w:val="00EC628A"/>
    <w:rsid w:val="00EC7C2F"/>
    <w:rsid w:val="00ED01C3"/>
    <w:rsid w:val="00ED3320"/>
    <w:rsid w:val="00ED3873"/>
    <w:rsid w:val="00ED72B4"/>
    <w:rsid w:val="00EE06D1"/>
    <w:rsid w:val="00EE28BA"/>
    <w:rsid w:val="00EE2A3B"/>
    <w:rsid w:val="00EE3500"/>
    <w:rsid w:val="00EE38B7"/>
    <w:rsid w:val="00EE662C"/>
    <w:rsid w:val="00EE7518"/>
    <w:rsid w:val="00EF1001"/>
    <w:rsid w:val="00EF6013"/>
    <w:rsid w:val="00EF6826"/>
    <w:rsid w:val="00EF740A"/>
    <w:rsid w:val="00EF7F40"/>
    <w:rsid w:val="00F02011"/>
    <w:rsid w:val="00F04298"/>
    <w:rsid w:val="00F04C55"/>
    <w:rsid w:val="00F04D3E"/>
    <w:rsid w:val="00F055CD"/>
    <w:rsid w:val="00F10B2C"/>
    <w:rsid w:val="00F10D5B"/>
    <w:rsid w:val="00F11EDB"/>
    <w:rsid w:val="00F12A22"/>
    <w:rsid w:val="00F133A3"/>
    <w:rsid w:val="00F14194"/>
    <w:rsid w:val="00F1475C"/>
    <w:rsid w:val="00F14F50"/>
    <w:rsid w:val="00F23422"/>
    <w:rsid w:val="00F24A43"/>
    <w:rsid w:val="00F24E03"/>
    <w:rsid w:val="00F25432"/>
    <w:rsid w:val="00F256A3"/>
    <w:rsid w:val="00F25A6E"/>
    <w:rsid w:val="00F27BB0"/>
    <w:rsid w:val="00F30AD4"/>
    <w:rsid w:val="00F3141F"/>
    <w:rsid w:val="00F3173C"/>
    <w:rsid w:val="00F32761"/>
    <w:rsid w:val="00F344C7"/>
    <w:rsid w:val="00F355D1"/>
    <w:rsid w:val="00F36D02"/>
    <w:rsid w:val="00F40C89"/>
    <w:rsid w:val="00F42389"/>
    <w:rsid w:val="00F42979"/>
    <w:rsid w:val="00F432C0"/>
    <w:rsid w:val="00F43D62"/>
    <w:rsid w:val="00F457DD"/>
    <w:rsid w:val="00F47FC9"/>
    <w:rsid w:val="00F50EA4"/>
    <w:rsid w:val="00F5129A"/>
    <w:rsid w:val="00F5203C"/>
    <w:rsid w:val="00F52404"/>
    <w:rsid w:val="00F5356A"/>
    <w:rsid w:val="00F5450F"/>
    <w:rsid w:val="00F61D79"/>
    <w:rsid w:val="00F632D3"/>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50EC"/>
    <w:rsid w:val="00F865C4"/>
    <w:rsid w:val="00F86688"/>
    <w:rsid w:val="00F86849"/>
    <w:rsid w:val="00F8736D"/>
    <w:rsid w:val="00F90CF5"/>
    <w:rsid w:val="00F91AD3"/>
    <w:rsid w:val="00F92702"/>
    <w:rsid w:val="00F93BD9"/>
    <w:rsid w:val="00F94F94"/>
    <w:rsid w:val="00F96D34"/>
    <w:rsid w:val="00FA429E"/>
    <w:rsid w:val="00FA6B50"/>
    <w:rsid w:val="00FB592B"/>
    <w:rsid w:val="00FB748C"/>
    <w:rsid w:val="00FC04DD"/>
    <w:rsid w:val="00FC1FBB"/>
    <w:rsid w:val="00FC4673"/>
    <w:rsid w:val="00FC6616"/>
    <w:rsid w:val="00FC75C5"/>
    <w:rsid w:val="00FD16FC"/>
    <w:rsid w:val="00FD1E91"/>
    <w:rsid w:val="00FD2074"/>
    <w:rsid w:val="00FD3183"/>
    <w:rsid w:val="00FD35D5"/>
    <w:rsid w:val="00FD4152"/>
    <w:rsid w:val="00FD52AB"/>
    <w:rsid w:val="00FD5926"/>
    <w:rsid w:val="00FD6A78"/>
    <w:rsid w:val="00FD6D31"/>
    <w:rsid w:val="00FD753F"/>
    <w:rsid w:val="00FE24E8"/>
    <w:rsid w:val="00FE28D3"/>
    <w:rsid w:val="00FE32B4"/>
    <w:rsid w:val="00FE331E"/>
    <w:rsid w:val="00FE6161"/>
    <w:rsid w:val="00FF1941"/>
    <w:rsid w:val="00FF2E6C"/>
    <w:rsid w:val="00FF3EDC"/>
    <w:rsid w:val="00FF4728"/>
    <w:rsid w:val="00FF6C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95E38"/>
  <w15:docId w15:val="{4BD8C313-5C81-445A-B3E9-212FE965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0DE"/>
    <w:pPr>
      <w:bidi/>
    </w:pPr>
    <w:rPr>
      <w:rFonts w:cs="Calibri"/>
    </w:rPr>
  </w:style>
  <w:style w:type="paragraph" w:styleId="1">
    <w:name w:val="heading 1"/>
    <w:basedOn w:val="a0"/>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680703"/>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680703"/>
    <w:rPr>
      <w:rFonts w:ascii="Tahoma" w:hAnsi="Tahoma" w:cs="Tahoma"/>
      <w:sz w:val="16"/>
      <w:szCs w:val="16"/>
    </w:rPr>
  </w:style>
  <w:style w:type="paragraph" w:styleId="a6">
    <w:name w:val="List Paragraph"/>
    <w:basedOn w:val="a0"/>
    <w:link w:val="a7"/>
    <w:uiPriority w:val="34"/>
    <w:qFormat/>
    <w:rsid w:val="00167449"/>
    <w:pPr>
      <w:ind w:left="720"/>
      <w:contextualSpacing/>
    </w:pPr>
  </w:style>
  <w:style w:type="character" w:styleId="a8">
    <w:name w:val="annotation reference"/>
    <w:basedOn w:val="a1"/>
    <w:unhideWhenUsed/>
    <w:rsid w:val="00EB43F7"/>
    <w:rPr>
      <w:sz w:val="16"/>
      <w:szCs w:val="16"/>
    </w:rPr>
  </w:style>
  <w:style w:type="paragraph" w:styleId="a9">
    <w:name w:val="annotation text"/>
    <w:basedOn w:val="a0"/>
    <w:link w:val="aa"/>
    <w:unhideWhenUsed/>
    <w:rsid w:val="00EB43F7"/>
    <w:pPr>
      <w:spacing w:line="240" w:lineRule="auto"/>
    </w:pPr>
    <w:rPr>
      <w:sz w:val="20"/>
      <w:szCs w:val="20"/>
    </w:rPr>
  </w:style>
  <w:style w:type="character" w:customStyle="1" w:styleId="aa">
    <w:name w:val="טקסט הערה תו"/>
    <w:basedOn w:val="a1"/>
    <w:link w:val="a9"/>
    <w:rsid w:val="00EB43F7"/>
    <w:rPr>
      <w:sz w:val="20"/>
      <w:szCs w:val="20"/>
    </w:rPr>
  </w:style>
  <w:style w:type="paragraph" w:styleId="ab">
    <w:name w:val="annotation subject"/>
    <w:basedOn w:val="a9"/>
    <w:next w:val="a9"/>
    <w:link w:val="ac"/>
    <w:uiPriority w:val="99"/>
    <w:semiHidden/>
    <w:unhideWhenUsed/>
    <w:rsid w:val="00EB43F7"/>
    <w:rPr>
      <w:b/>
      <w:bCs/>
    </w:rPr>
  </w:style>
  <w:style w:type="character" w:customStyle="1" w:styleId="ac">
    <w:name w:val="נושא הערה תו"/>
    <w:basedOn w:val="aa"/>
    <w:link w:val="ab"/>
    <w:uiPriority w:val="99"/>
    <w:semiHidden/>
    <w:rsid w:val="00EB43F7"/>
    <w:rPr>
      <w:b/>
      <w:bCs/>
      <w:sz w:val="20"/>
      <w:szCs w:val="20"/>
    </w:rPr>
  </w:style>
  <w:style w:type="character" w:styleId="Hyperlink">
    <w:name w:val="Hyperlink"/>
    <w:basedOn w:val="a1"/>
    <w:uiPriority w:val="99"/>
    <w:unhideWhenUsed/>
    <w:rsid w:val="00242CED"/>
    <w:rPr>
      <w:color w:val="0000FF" w:themeColor="hyperlink"/>
      <w:u w:val="single"/>
    </w:rPr>
  </w:style>
  <w:style w:type="paragraph" w:styleId="ad">
    <w:name w:val="header"/>
    <w:basedOn w:val="a0"/>
    <w:link w:val="ae"/>
    <w:uiPriority w:val="99"/>
    <w:unhideWhenUsed/>
    <w:rsid w:val="008755E3"/>
    <w:pPr>
      <w:tabs>
        <w:tab w:val="center" w:pos="4153"/>
        <w:tab w:val="right" w:pos="8306"/>
      </w:tabs>
      <w:spacing w:after="0" w:line="240" w:lineRule="auto"/>
    </w:pPr>
  </w:style>
  <w:style w:type="character" w:customStyle="1" w:styleId="ae">
    <w:name w:val="כותרת עליונה תו"/>
    <w:basedOn w:val="a1"/>
    <w:link w:val="ad"/>
    <w:uiPriority w:val="99"/>
    <w:rsid w:val="008755E3"/>
  </w:style>
  <w:style w:type="paragraph" w:styleId="af">
    <w:name w:val="footer"/>
    <w:basedOn w:val="a0"/>
    <w:link w:val="af0"/>
    <w:uiPriority w:val="99"/>
    <w:unhideWhenUsed/>
    <w:rsid w:val="008755E3"/>
    <w:pPr>
      <w:tabs>
        <w:tab w:val="center" w:pos="4153"/>
        <w:tab w:val="right" w:pos="8306"/>
      </w:tabs>
      <w:spacing w:after="0" w:line="240" w:lineRule="auto"/>
    </w:pPr>
  </w:style>
  <w:style w:type="character" w:customStyle="1" w:styleId="af0">
    <w:name w:val="כותרת תחתונה תו"/>
    <w:basedOn w:val="a1"/>
    <w:link w:val="af"/>
    <w:uiPriority w:val="99"/>
    <w:rsid w:val="008755E3"/>
  </w:style>
  <w:style w:type="character" w:styleId="FollowedHyperlink">
    <w:name w:val="FollowedHyperlink"/>
    <w:basedOn w:val="a1"/>
    <w:uiPriority w:val="99"/>
    <w:semiHidden/>
    <w:unhideWhenUsed/>
    <w:rsid w:val="00AC5D5B"/>
    <w:rPr>
      <w:color w:val="800080" w:themeColor="followedHyperlink"/>
      <w:u w:val="single"/>
    </w:rPr>
  </w:style>
  <w:style w:type="paragraph" w:styleId="af1">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0"/>
    <w:link w:val="af2"/>
    <w:uiPriority w:val="99"/>
    <w:unhideWhenUsed/>
    <w:qFormat/>
    <w:rsid w:val="006E5D28"/>
    <w:pPr>
      <w:spacing w:after="0" w:line="240" w:lineRule="auto"/>
    </w:pPr>
    <w:rPr>
      <w:sz w:val="20"/>
      <w:szCs w:val="20"/>
    </w:rPr>
  </w:style>
  <w:style w:type="character" w:customStyle="1" w:styleId="af2">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1"/>
    <w:link w:val="af1"/>
    <w:uiPriority w:val="99"/>
    <w:rsid w:val="006E5D28"/>
    <w:rPr>
      <w:sz w:val="20"/>
      <w:szCs w:val="20"/>
    </w:rPr>
  </w:style>
  <w:style w:type="character" w:styleId="af3">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6E5D28"/>
    <w:rPr>
      <w:vertAlign w:val="superscript"/>
    </w:rPr>
  </w:style>
  <w:style w:type="table" w:styleId="af4">
    <w:name w:val="Table Grid"/>
    <w:basedOn w:val="a2"/>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71B6D"/>
    <w:rPr>
      <w:color w:val="605E5C"/>
      <w:shd w:val="clear" w:color="auto" w:fill="E1DFDD"/>
    </w:rPr>
  </w:style>
  <w:style w:type="paragraph" w:styleId="af5">
    <w:name w:val="Revision"/>
    <w:hidden/>
    <w:uiPriority w:val="99"/>
    <w:semiHidden/>
    <w:rsid w:val="0074544F"/>
    <w:pPr>
      <w:spacing w:after="0" w:line="240" w:lineRule="auto"/>
    </w:pPr>
  </w:style>
  <w:style w:type="paragraph" w:styleId="NormalWeb">
    <w:name w:val="Normal (Web)"/>
    <w:basedOn w:val="a0"/>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פיסקת רשימה תו"/>
    <w:basedOn w:val="a1"/>
    <w:link w:val="a6"/>
    <w:uiPriority w:val="34"/>
    <w:locked/>
    <w:rsid w:val="00C95FE4"/>
  </w:style>
  <w:style w:type="character" w:styleId="af6">
    <w:name w:val="Strong"/>
    <w:basedOn w:val="a1"/>
    <w:uiPriority w:val="22"/>
    <w:qFormat/>
    <w:rsid w:val="00DC16A7"/>
    <w:rPr>
      <w:b/>
      <w:bCs/>
    </w:rPr>
  </w:style>
  <w:style w:type="character" w:customStyle="1" w:styleId="ui-provider">
    <w:name w:val="ui-provider"/>
    <w:basedOn w:val="a1"/>
    <w:rsid w:val="00CA1D8B"/>
  </w:style>
  <w:style w:type="character" w:customStyle="1" w:styleId="10">
    <w:name w:val="כותרת 1 תו"/>
    <w:basedOn w:val="a1"/>
    <w:link w:val="1"/>
    <w:uiPriority w:val="9"/>
    <w:rsid w:val="00482E9C"/>
    <w:rPr>
      <w:rFonts w:ascii="Times New Roman" w:eastAsia="Times New Roman" w:hAnsi="Times New Roman" w:cs="Times New Roman"/>
      <w:b/>
      <w:bCs/>
      <w:kern w:val="36"/>
      <w:sz w:val="48"/>
      <w:szCs w:val="48"/>
    </w:rPr>
  </w:style>
  <w:style w:type="paragraph" w:styleId="af7">
    <w:name w:val="Title"/>
    <w:aliases w:val="איור כותרת ראשית"/>
    <w:basedOn w:val="1"/>
    <w:next w:val="a0"/>
    <w:link w:val="af8"/>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8">
    <w:name w:val="כותרת טקסט תו"/>
    <w:aliases w:val="איור כותרת ראשית תו"/>
    <w:basedOn w:val="a1"/>
    <w:link w:val="af7"/>
    <w:rsid w:val="000F40AF"/>
    <w:rPr>
      <w:rFonts w:ascii="Calibri" w:eastAsia="Times New Roman" w:hAnsi="Calibri" w:cs="Calibri"/>
      <w:b/>
      <w:bCs/>
      <w:sz w:val="24"/>
      <w:szCs w:val="24"/>
    </w:rPr>
  </w:style>
  <w:style w:type="paragraph" w:styleId="af9">
    <w:name w:val="Subtitle"/>
    <w:aliases w:val="איור כותרת משנה"/>
    <w:basedOn w:val="1"/>
    <w:next w:val="a0"/>
    <w:link w:val="afa"/>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a">
    <w:name w:val="כותרת משנה תו"/>
    <w:aliases w:val="איור כותרת משנה תו"/>
    <w:basedOn w:val="a1"/>
    <w:link w:val="af9"/>
    <w:rsid w:val="000F40AF"/>
    <w:rPr>
      <w:rFonts w:ascii="Calibri" w:eastAsia="Times New Roman" w:hAnsi="Calibri" w:cs="Calibri"/>
      <w:sz w:val="24"/>
      <w:szCs w:val="24"/>
    </w:rPr>
  </w:style>
  <w:style w:type="character" w:customStyle="1" w:styleId="20">
    <w:name w:val="כותרת 2 תו"/>
    <w:basedOn w:val="a1"/>
    <w:link w:val="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a2"/>
    <w:next w:val="af4"/>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כותרת ראשית"/>
    <w:basedOn w:val="a0"/>
    <w:next w:val="a0"/>
    <w:link w:val="afc"/>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a0"/>
    <w:next w:val="a0"/>
    <w:link w:val="afd"/>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fc">
    <w:name w:val="כותרת ראשית תו"/>
    <w:basedOn w:val="a1"/>
    <w:link w:val="afb"/>
    <w:rsid w:val="00202530"/>
    <w:rPr>
      <w:rFonts w:ascii="David" w:hAnsi="David" w:cs="David"/>
      <w:b/>
      <w:bCs/>
      <w:spacing w:val="5"/>
      <w:kern w:val="28"/>
      <w:sz w:val="28"/>
      <w:szCs w:val="28"/>
    </w:rPr>
  </w:style>
  <w:style w:type="paragraph" w:customStyle="1" w:styleId="11">
    <w:name w:val="כותרת משנה רמה 1"/>
    <w:basedOn w:val="a0"/>
    <w:next w:val="a0"/>
    <w:link w:val="12"/>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fd">
    <w:name w:val="כותרת משנה ממוספרת תו"/>
    <w:basedOn w:val="a1"/>
    <w:link w:val="a"/>
    <w:rsid w:val="007C40DE"/>
    <w:rPr>
      <w:rFonts w:asciiTheme="minorHAnsi" w:eastAsiaTheme="minorEastAsia" w:hAnsiTheme="minorHAnsi" w:cstheme="minorHAnsi"/>
      <w:bCs/>
      <w:sz w:val="28"/>
      <w:szCs w:val="24"/>
    </w:rPr>
  </w:style>
  <w:style w:type="character" w:customStyle="1" w:styleId="12">
    <w:name w:val="כותרת משנה רמה 1 תו"/>
    <w:basedOn w:val="a1"/>
    <w:link w:val="11"/>
    <w:rsid w:val="00202530"/>
    <w:rPr>
      <w:rFonts w:ascii="David" w:eastAsia="Calibri" w:hAnsi="David" w:cs="David"/>
      <w:b/>
      <w:bCs/>
      <w:sz w:val="24"/>
      <w:szCs w:val="24"/>
    </w:rPr>
  </w:style>
  <w:style w:type="paragraph" w:customStyle="1" w:styleId="-">
    <w:name w:val="בולטים - תכנון מוניטרי"/>
    <w:basedOn w:val="a6"/>
    <w:link w:val="-0"/>
    <w:qFormat/>
    <w:rsid w:val="008A28D3"/>
    <w:pPr>
      <w:numPr>
        <w:numId w:val="24"/>
      </w:numPr>
      <w:spacing w:after="120" w:line="360" w:lineRule="auto"/>
      <w:contextualSpacing w:val="0"/>
      <w:jc w:val="both"/>
    </w:pPr>
    <w:rPr>
      <w:rFonts w:ascii="Times New Roman" w:eastAsia="Calibri" w:hAnsi="Times New Roman" w:cs="David"/>
      <w:sz w:val="24"/>
      <w:szCs w:val="24"/>
    </w:rPr>
  </w:style>
  <w:style w:type="character" w:customStyle="1" w:styleId="-0">
    <w:name w:val="בולטים - תכנון מוניטרי תו"/>
    <w:basedOn w:val="a7"/>
    <w:link w:val="-"/>
    <w:rsid w:val="008A28D3"/>
    <w:rPr>
      <w:rFonts w:ascii="Times New Roman" w:eastAsia="Calibri"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873250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559286877">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12556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67052929">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15609522">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4761-6274-44E2-A042-B043E29D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6815</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ברנדר</dc:creator>
  <cp:lastModifiedBy>מיטל רולניצקי</cp:lastModifiedBy>
  <cp:revision>2</cp:revision>
  <dcterms:created xsi:type="dcterms:W3CDTF">2025-07-07T11:31:00Z</dcterms:created>
  <dcterms:modified xsi:type="dcterms:W3CDTF">2025-07-07T11:31:00Z</dcterms:modified>
</cp:coreProperties>
</file>