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3418"/>
        <w:gridCol w:w="2845"/>
        <w:gridCol w:w="2845"/>
      </w:tblGrid>
      <w:tr w:rsidR="009608EE" w:rsidRPr="00752E50" w:rsidTr="00056554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E52BDF" w:rsidRDefault="00E52BDF" w:rsidP="002D5576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B36FEC">
              <w:rPr>
                <w:rFonts w:cs="David" w:hint="eastAsia"/>
                <w:sz w:val="22"/>
                <w:szCs w:val="22"/>
                <w:rtl/>
              </w:rPr>
              <w:t>‏יום </w:t>
            </w:r>
            <w:r w:rsidR="00F54E7B">
              <w:rPr>
                <w:rFonts w:cs="David" w:hint="cs"/>
                <w:sz w:val="22"/>
                <w:szCs w:val="22"/>
                <w:rtl/>
              </w:rPr>
              <w:t>ש</w:t>
            </w:r>
            <w:r w:rsidR="00C450DB">
              <w:rPr>
                <w:rFonts w:cs="David" w:hint="cs"/>
                <w:sz w:val="22"/>
                <w:szCs w:val="22"/>
                <w:rtl/>
              </w:rPr>
              <w:t>לישי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F54E7B">
              <w:rPr>
                <w:rFonts w:cs="David" w:hint="cs"/>
                <w:sz w:val="22"/>
                <w:szCs w:val="22"/>
                <w:rtl/>
              </w:rPr>
              <w:t>כ</w:t>
            </w:r>
            <w:r w:rsidR="00AF6AC6">
              <w:rPr>
                <w:rFonts w:cs="David" w:hint="cs"/>
                <w:sz w:val="22"/>
                <w:szCs w:val="22"/>
                <w:rtl/>
              </w:rPr>
              <w:t>"</w:t>
            </w:r>
            <w:r w:rsidR="002D5576">
              <w:rPr>
                <w:rFonts w:cs="David" w:hint="cs"/>
                <w:sz w:val="22"/>
                <w:szCs w:val="22"/>
                <w:rtl/>
              </w:rPr>
              <w:t>ה</w:t>
            </w:r>
            <w:r w:rsidR="00B36FEC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C450DB">
              <w:rPr>
                <w:rFonts w:cs="David" w:hint="cs"/>
                <w:sz w:val="22"/>
                <w:szCs w:val="22"/>
                <w:rtl/>
              </w:rPr>
              <w:t>אדר</w:t>
            </w:r>
            <w:r w:rsidR="00AF6AC6">
              <w:rPr>
                <w:rFonts w:cs="David"/>
                <w:sz w:val="22"/>
                <w:szCs w:val="22"/>
                <w:rtl/>
              </w:rPr>
              <w:t xml:space="preserve"> תשע"</w:t>
            </w:r>
            <w:r w:rsidR="00AF6AC6">
              <w:rPr>
                <w:rFonts w:cs="David" w:hint="cs"/>
                <w:sz w:val="22"/>
                <w:szCs w:val="22"/>
                <w:rtl/>
              </w:rPr>
              <w:t>ה</w:t>
            </w:r>
          </w:p>
          <w:p w:rsidR="00972D12" w:rsidRPr="00E52BDF" w:rsidRDefault="00972D12" w:rsidP="002D5576">
            <w:pPr>
              <w:spacing w:line="480" w:lineRule="auto"/>
              <w:jc w:val="right"/>
              <w:rPr>
                <w:rFonts w:cs="David" w:hint="cs"/>
                <w:sz w:val="22"/>
                <w:szCs w:val="22"/>
                <w:rtl/>
              </w:rPr>
            </w:pPr>
            <w:r w:rsidRPr="00972D12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E52BDF">
              <w:rPr>
                <w:rFonts w:cs="David" w:hint="eastAsia"/>
                <w:sz w:val="22"/>
                <w:szCs w:val="22"/>
                <w:rtl/>
              </w:rPr>
              <w:t>‏</w:t>
            </w:r>
            <w:r w:rsidR="002D5576">
              <w:rPr>
                <w:rFonts w:cs="David" w:hint="cs"/>
                <w:sz w:val="22"/>
                <w:szCs w:val="22"/>
                <w:rtl/>
              </w:rPr>
              <w:t>16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</w:t>
            </w:r>
            <w:r w:rsidR="00AF6AC6">
              <w:rPr>
                <w:rFonts w:cs="David" w:hint="cs"/>
                <w:sz w:val="22"/>
                <w:szCs w:val="22"/>
                <w:rtl/>
              </w:rPr>
              <w:t>ב</w:t>
            </w:r>
            <w:r w:rsidR="00C450DB">
              <w:rPr>
                <w:rFonts w:cs="David" w:hint="cs"/>
                <w:sz w:val="22"/>
                <w:szCs w:val="22"/>
                <w:rtl/>
              </w:rPr>
              <w:t>מרץ</w:t>
            </w:r>
            <w:r w:rsidR="00E52BDF">
              <w:rPr>
                <w:rFonts w:cs="David"/>
                <w:sz w:val="22"/>
                <w:szCs w:val="22"/>
                <w:rtl/>
              </w:rPr>
              <w:t xml:space="preserve"> 201</w:t>
            </w:r>
            <w:r w:rsidR="00C450DB">
              <w:rPr>
                <w:rFonts w:cs="David" w:hint="cs"/>
                <w:sz w:val="22"/>
                <w:szCs w:val="22"/>
                <w:rtl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608EE" w:rsidRDefault="00056554" w:rsidP="00A73408">
            <w:pPr>
              <w:jc w:val="center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0BD021D" wp14:editId="1E070A59">
                  <wp:extent cx="1200150" cy="666750"/>
                  <wp:effectExtent l="0" t="0" r="0" b="0"/>
                  <wp:docPr id="2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/>
                <w:b/>
                <w:bCs/>
                <w:szCs w:val="28"/>
                <w:rtl/>
              </w:rPr>
              <w:t>בנק ישראל</w:t>
            </w:r>
          </w:p>
          <w:p w:rsidR="004B1624" w:rsidRDefault="009608EE" w:rsidP="002D5576">
            <w:pPr>
              <w:spacing w:line="480" w:lineRule="auto"/>
              <w:jc w:val="center"/>
              <w:rPr>
                <w:rFonts w:cs="David" w:hint="cs"/>
                <w:rtl/>
              </w:rPr>
            </w:pPr>
            <w:r w:rsidRPr="00752E50">
              <w:rPr>
                <w:rFonts w:cs="David" w:hint="cs"/>
                <w:rtl/>
              </w:rPr>
              <w:t>דוברות והסברה כלכלית</w:t>
            </w:r>
          </w:p>
          <w:p w:rsidR="009608EE" w:rsidRPr="00752E50" w:rsidRDefault="009608EE" w:rsidP="00F466A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9608EE" w:rsidRPr="00972D12" w:rsidRDefault="00DB2C69" w:rsidP="00056554">
      <w:pPr>
        <w:spacing w:before="240" w:after="240" w:line="360" w:lineRule="auto"/>
        <w:rPr>
          <w:rFonts w:cs="David" w:hint="cs"/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BB4BBF" w:rsidRPr="00056554" w:rsidRDefault="00673D6C" w:rsidP="00BB4BBF">
      <w:pPr>
        <w:pStyle w:val="1"/>
        <w:rPr>
          <w:rFonts w:cs="David" w:hint="cs"/>
          <w:sz w:val="28"/>
          <w:szCs w:val="28"/>
          <w:rtl/>
        </w:rPr>
      </w:pPr>
      <w:r w:rsidRPr="00056554">
        <w:rPr>
          <w:rFonts w:cs="David"/>
          <w:sz w:val="28"/>
          <w:szCs w:val="28"/>
          <w:rtl/>
        </w:rPr>
        <w:t xml:space="preserve">הנכסים וההתחייבויות של המשק </w:t>
      </w:r>
      <w:r w:rsidR="00807F97" w:rsidRPr="00056554">
        <w:rPr>
          <w:rFonts w:cs="David" w:hint="cs"/>
          <w:sz w:val="28"/>
          <w:szCs w:val="28"/>
          <w:rtl/>
        </w:rPr>
        <w:t xml:space="preserve">מול </w:t>
      </w:r>
      <w:r w:rsidRPr="00056554">
        <w:rPr>
          <w:rFonts w:cs="David"/>
          <w:sz w:val="28"/>
          <w:szCs w:val="28"/>
          <w:rtl/>
        </w:rPr>
        <w:t>חו"ל</w:t>
      </w:r>
      <w:r w:rsidR="00922F75" w:rsidRPr="00056554">
        <w:rPr>
          <w:rFonts w:cs="David" w:hint="cs"/>
          <w:sz w:val="28"/>
          <w:szCs w:val="28"/>
          <w:rtl/>
        </w:rPr>
        <w:t>,</w:t>
      </w:r>
      <w:r w:rsidR="00D77467" w:rsidRPr="00056554">
        <w:rPr>
          <w:rFonts w:cs="David" w:hint="cs"/>
          <w:sz w:val="28"/>
          <w:szCs w:val="28"/>
          <w:rtl/>
        </w:rPr>
        <w:t xml:space="preserve"> </w:t>
      </w:r>
      <w:r w:rsidR="00C450DB" w:rsidRPr="00056554">
        <w:rPr>
          <w:rFonts w:cs="David" w:hint="cs"/>
          <w:sz w:val="28"/>
          <w:szCs w:val="28"/>
          <w:rtl/>
        </w:rPr>
        <w:t>דצמבר</w:t>
      </w:r>
      <w:r w:rsidR="00391D54" w:rsidRPr="00056554">
        <w:rPr>
          <w:rFonts w:cs="David" w:hint="cs"/>
          <w:sz w:val="28"/>
          <w:szCs w:val="28"/>
          <w:rtl/>
        </w:rPr>
        <w:t xml:space="preserve"> </w:t>
      </w:r>
      <w:r w:rsidR="000D38A1" w:rsidRPr="00056554">
        <w:rPr>
          <w:rFonts w:cs="David" w:hint="cs"/>
          <w:sz w:val="28"/>
          <w:szCs w:val="28"/>
          <w:rtl/>
        </w:rPr>
        <w:t>2014</w:t>
      </w:r>
    </w:p>
    <w:p w:rsidR="002D5576" w:rsidRPr="002D5576" w:rsidRDefault="002D5576" w:rsidP="002D5576">
      <w:pPr>
        <w:rPr>
          <w:rFonts w:hint="cs"/>
          <w:rtl/>
        </w:rPr>
      </w:pPr>
    </w:p>
    <w:p w:rsidR="00DC15F9" w:rsidRDefault="00BB4BBF" w:rsidP="002D55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>ברביע הרביעי של שנת 2014 חלה עלייה של</w:t>
      </w:r>
      <w:r w:rsidR="00413CCA">
        <w:rPr>
          <w:rFonts w:ascii="Arial" w:hAnsi="Arial" w:cs="David" w:hint="cs"/>
          <w:b/>
          <w:bCs/>
          <w:rtl/>
        </w:rPr>
        <w:t xml:space="preserve"> 4.9 מיליארדי דולרים (9.5%)</w:t>
      </w:r>
      <w:r>
        <w:rPr>
          <w:rFonts w:ascii="Arial" w:hAnsi="Arial" w:cs="David" w:hint="cs"/>
          <w:b/>
          <w:bCs/>
          <w:rtl/>
        </w:rPr>
        <w:t xml:space="preserve"> בעודף הנכסים של המשק מול חו"ל</w:t>
      </w:r>
      <w:r w:rsidR="00DC15F9">
        <w:rPr>
          <w:rFonts w:ascii="Arial" w:hAnsi="Arial" w:cs="David" w:hint="cs"/>
          <w:b/>
          <w:bCs/>
          <w:rtl/>
        </w:rPr>
        <w:t>, זאת בניגוד ל-3 הרביעים הקודמים של 20</w:t>
      </w:r>
      <w:bookmarkStart w:id="0" w:name="_GoBack"/>
      <w:bookmarkEnd w:id="0"/>
      <w:r w:rsidR="00DC15F9">
        <w:rPr>
          <w:rFonts w:ascii="Arial" w:hAnsi="Arial" w:cs="David" w:hint="cs"/>
          <w:b/>
          <w:bCs/>
          <w:rtl/>
        </w:rPr>
        <w:t>14 בהם חלה ירידה של כ-</w:t>
      </w:r>
      <w:r w:rsidR="00447840">
        <w:rPr>
          <w:rFonts w:ascii="Arial" w:hAnsi="Arial" w:cs="David" w:hint="cs"/>
          <w:b/>
          <w:bCs/>
          <w:rtl/>
        </w:rPr>
        <w:t>9.7</w:t>
      </w:r>
      <w:r w:rsidR="00DC15F9">
        <w:rPr>
          <w:rFonts w:ascii="Arial" w:hAnsi="Arial" w:cs="David" w:hint="cs"/>
          <w:b/>
          <w:bCs/>
          <w:rtl/>
        </w:rPr>
        <w:t xml:space="preserve"> מיליארדי דולרים (</w:t>
      </w:r>
      <w:r w:rsidR="00447840">
        <w:rPr>
          <w:rFonts w:ascii="Arial" w:hAnsi="Arial" w:cs="David" w:hint="cs"/>
          <w:b/>
          <w:bCs/>
          <w:rtl/>
        </w:rPr>
        <w:t>16</w:t>
      </w:r>
      <w:r w:rsidR="00DC15F9">
        <w:rPr>
          <w:rFonts w:ascii="Arial" w:hAnsi="Arial" w:cs="David" w:hint="cs"/>
          <w:b/>
          <w:bCs/>
          <w:rtl/>
        </w:rPr>
        <w:t>%) בעודף הנכסים</w:t>
      </w:r>
      <w:r w:rsidR="00447840">
        <w:rPr>
          <w:rFonts w:ascii="Arial" w:hAnsi="Arial" w:cs="David" w:hint="cs"/>
          <w:b/>
          <w:bCs/>
          <w:rtl/>
        </w:rPr>
        <w:t xml:space="preserve"> על ההתחייבויות </w:t>
      </w:r>
      <w:r w:rsidR="00DC15F9">
        <w:rPr>
          <w:rFonts w:ascii="Arial" w:hAnsi="Arial" w:cs="David" w:hint="cs"/>
          <w:b/>
          <w:bCs/>
          <w:rtl/>
        </w:rPr>
        <w:t>של המשק.</w:t>
      </w:r>
      <w:r w:rsidR="00447840">
        <w:rPr>
          <w:rFonts w:ascii="Arial" w:hAnsi="Arial" w:cs="David" w:hint="cs"/>
          <w:b/>
          <w:bCs/>
          <w:rtl/>
        </w:rPr>
        <w:t xml:space="preserve"> הגידול בעודף נבע בעיקר מהמשך זרם ההשקעות של תושבי ישראל באג"ח זרות, ומצבירה של הבנקים בפיקדונות בחו"ל.</w:t>
      </w:r>
    </w:p>
    <w:p w:rsidR="008D3D52" w:rsidRDefault="00A55860" w:rsidP="002D55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במהלך </w:t>
      </w:r>
      <w:r w:rsidR="000D38A1" w:rsidRPr="00251DFE">
        <w:rPr>
          <w:rFonts w:ascii="Arial" w:hAnsi="Arial" w:cs="David" w:hint="cs"/>
          <w:b/>
          <w:bCs/>
          <w:rtl/>
        </w:rPr>
        <w:t xml:space="preserve">שנת 2014 </w:t>
      </w:r>
      <w:r w:rsidR="00167951">
        <w:rPr>
          <w:rFonts w:ascii="Arial" w:hAnsi="Arial" w:cs="David" w:hint="cs"/>
          <w:b/>
          <w:bCs/>
          <w:rtl/>
        </w:rPr>
        <w:t>חלה ירידה</w:t>
      </w:r>
      <w:r w:rsidR="003C7778" w:rsidRPr="00251DFE">
        <w:rPr>
          <w:rFonts w:ascii="Arial" w:hAnsi="Arial" w:cs="David" w:hint="cs"/>
          <w:b/>
          <w:bCs/>
          <w:rtl/>
        </w:rPr>
        <w:t xml:space="preserve"> </w:t>
      </w:r>
      <w:r w:rsidR="0094360F">
        <w:rPr>
          <w:rFonts w:ascii="Arial" w:hAnsi="Arial" w:cs="David" w:hint="cs"/>
          <w:b/>
          <w:bCs/>
          <w:rtl/>
        </w:rPr>
        <w:t xml:space="preserve">של </w:t>
      </w:r>
      <w:r>
        <w:rPr>
          <w:rFonts w:ascii="Arial" w:hAnsi="Arial" w:cs="David" w:hint="cs"/>
          <w:b/>
          <w:bCs/>
          <w:rtl/>
        </w:rPr>
        <w:t>4</w:t>
      </w:r>
      <w:r w:rsidR="0094360F" w:rsidRPr="00251DFE">
        <w:rPr>
          <w:rFonts w:ascii="Arial" w:hAnsi="Arial" w:cs="David" w:hint="cs"/>
          <w:b/>
          <w:bCs/>
          <w:rtl/>
        </w:rPr>
        <w:t>.</w:t>
      </w:r>
      <w:r>
        <w:rPr>
          <w:rFonts w:ascii="Arial" w:hAnsi="Arial" w:cs="David" w:hint="cs"/>
          <w:b/>
          <w:bCs/>
          <w:rtl/>
        </w:rPr>
        <w:t>8</w:t>
      </w:r>
      <w:r w:rsidR="0094360F">
        <w:rPr>
          <w:rFonts w:ascii="Arial" w:hAnsi="Arial" w:cs="David" w:hint="cs"/>
          <w:b/>
          <w:bCs/>
          <w:rtl/>
        </w:rPr>
        <w:t xml:space="preserve"> מיליארדי דולרים</w:t>
      </w:r>
      <w:r w:rsidR="0094360F" w:rsidRPr="00251DFE">
        <w:rPr>
          <w:rFonts w:ascii="Arial" w:hAnsi="Arial" w:cs="David" w:hint="cs"/>
          <w:b/>
          <w:bCs/>
          <w:rtl/>
        </w:rPr>
        <w:t xml:space="preserve"> (</w:t>
      </w:r>
      <w:r>
        <w:rPr>
          <w:rFonts w:ascii="Arial" w:hAnsi="Arial" w:cs="David" w:hint="cs"/>
          <w:b/>
          <w:bCs/>
          <w:rtl/>
        </w:rPr>
        <w:t>7</w:t>
      </w:r>
      <w:r w:rsidR="0094360F" w:rsidRPr="00251DFE">
        <w:rPr>
          <w:rFonts w:ascii="Arial" w:hAnsi="Arial" w:cs="David" w:hint="cs"/>
          <w:b/>
          <w:bCs/>
          <w:rtl/>
        </w:rPr>
        <w:t>.</w:t>
      </w:r>
      <w:r>
        <w:rPr>
          <w:rFonts w:ascii="Arial" w:hAnsi="Arial" w:cs="David" w:hint="cs"/>
          <w:b/>
          <w:bCs/>
          <w:rtl/>
        </w:rPr>
        <w:t>7</w:t>
      </w:r>
      <w:r w:rsidR="0094360F" w:rsidRPr="00251DFE">
        <w:rPr>
          <w:rFonts w:ascii="Arial" w:hAnsi="Arial" w:cs="David" w:hint="cs"/>
          <w:b/>
          <w:bCs/>
          <w:rtl/>
        </w:rPr>
        <w:t>%</w:t>
      </w:r>
      <w:r w:rsidR="00217D61">
        <w:rPr>
          <w:rFonts w:ascii="Arial" w:hAnsi="Arial" w:cs="David" w:hint="cs"/>
          <w:b/>
          <w:bCs/>
          <w:rtl/>
        </w:rPr>
        <w:t>-</w:t>
      </w:r>
      <w:r w:rsidR="0094360F" w:rsidRPr="00251DFE">
        <w:rPr>
          <w:rFonts w:ascii="Arial" w:hAnsi="Arial" w:cs="David" w:hint="cs"/>
          <w:b/>
          <w:bCs/>
          <w:rtl/>
        </w:rPr>
        <w:t xml:space="preserve">) </w:t>
      </w:r>
      <w:r w:rsidR="00167951">
        <w:rPr>
          <w:rFonts w:ascii="Arial" w:hAnsi="Arial" w:cs="David" w:hint="cs"/>
          <w:b/>
          <w:bCs/>
          <w:rtl/>
        </w:rPr>
        <w:t>ב</w:t>
      </w:r>
      <w:r w:rsidR="003C7778" w:rsidRPr="00251DFE">
        <w:rPr>
          <w:rFonts w:ascii="Arial" w:hAnsi="Arial" w:cs="David" w:hint="cs"/>
          <w:b/>
          <w:bCs/>
          <w:rtl/>
        </w:rPr>
        <w:t>עודף הנכסים של המשק</w:t>
      </w:r>
      <w:r w:rsidR="00217D61" w:rsidRPr="00217D61">
        <w:rPr>
          <w:rFonts w:ascii="Arial" w:hAnsi="Arial" w:cs="David" w:hint="cs"/>
          <w:b/>
          <w:bCs/>
          <w:rtl/>
        </w:rPr>
        <w:t xml:space="preserve"> </w:t>
      </w:r>
      <w:r w:rsidR="00217D61" w:rsidRPr="00251DFE">
        <w:rPr>
          <w:rFonts w:ascii="Arial" w:hAnsi="Arial" w:cs="David" w:hint="cs"/>
          <w:b/>
          <w:bCs/>
          <w:rtl/>
        </w:rPr>
        <w:t>מול חו"ל</w:t>
      </w:r>
      <w:r w:rsidR="00217D61">
        <w:rPr>
          <w:rFonts w:ascii="Arial" w:hAnsi="Arial" w:cs="David" w:hint="cs"/>
          <w:b/>
          <w:bCs/>
          <w:rtl/>
        </w:rPr>
        <w:t>, לראשונה מאז 2009,</w:t>
      </w:r>
      <w:r w:rsidR="003C7778" w:rsidRPr="00251DFE">
        <w:rPr>
          <w:rFonts w:ascii="Arial" w:hAnsi="Arial" w:cs="David" w:hint="cs"/>
          <w:b/>
          <w:bCs/>
          <w:rtl/>
        </w:rPr>
        <w:t xml:space="preserve"> </w:t>
      </w:r>
      <w:r w:rsidR="008D3D52" w:rsidRPr="00251DFE">
        <w:rPr>
          <w:rFonts w:ascii="Arial" w:hAnsi="Arial" w:cs="David" w:hint="cs"/>
          <w:b/>
          <w:bCs/>
          <w:rtl/>
        </w:rPr>
        <w:t>ו</w:t>
      </w:r>
      <w:r w:rsidR="00167951">
        <w:rPr>
          <w:rFonts w:ascii="Arial" w:hAnsi="Arial" w:cs="David" w:hint="cs"/>
          <w:b/>
          <w:bCs/>
          <w:rtl/>
        </w:rPr>
        <w:t xml:space="preserve">הוא </w:t>
      </w:r>
      <w:r w:rsidR="008D3D52" w:rsidRPr="00251DFE">
        <w:rPr>
          <w:rFonts w:ascii="Arial" w:hAnsi="Arial" w:cs="David" w:hint="cs"/>
          <w:b/>
          <w:bCs/>
          <w:rtl/>
        </w:rPr>
        <w:t xml:space="preserve">עמד </w:t>
      </w:r>
      <w:r w:rsidR="008D3D52" w:rsidRPr="0094360F">
        <w:rPr>
          <w:rFonts w:ascii="Arial" w:hAnsi="Arial" w:cs="David" w:hint="cs"/>
          <w:b/>
          <w:bCs/>
          <w:rtl/>
        </w:rPr>
        <w:t xml:space="preserve">בסוף </w:t>
      </w:r>
      <w:r>
        <w:rPr>
          <w:rFonts w:ascii="Arial" w:hAnsi="Arial" w:cs="David" w:hint="cs"/>
          <w:b/>
          <w:bCs/>
          <w:rtl/>
        </w:rPr>
        <w:t>דצמבר</w:t>
      </w:r>
      <w:r w:rsidR="008D3D52" w:rsidRPr="0094360F">
        <w:rPr>
          <w:rFonts w:ascii="Arial" w:hAnsi="Arial" w:cs="David" w:hint="cs"/>
          <w:b/>
          <w:bCs/>
          <w:rtl/>
        </w:rPr>
        <w:t xml:space="preserve"> על </w:t>
      </w:r>
      <w:r w:rsidR="00D21FDB" w:rsidRPr="0094360F">
        <w:rPr>
          <w:rFonts w:ascii="Arial" w:hAnsi="Arial" w:cs="David" w:hint="cs"/>
          <w:b/>
          <w:bCs/>
          <w:rtl/>
        </w:rPr>
        <w:t>5</w:t>
      </w:r>
      <w:r>
        <w:rPr>
          <w:rFonts w:ascii="Arial" w:hAnsi="Arial" w:cs="David" w:hint="cs"/>
          <w:b/>
          <w:bCs/>
          <w:rtl/>
        </w:rPr>
        <w:t>7</w:t>
      </w:r>
      <w:r w:rsidR="008D3D52" w:rsidRPr="0094360F">
        <w:rPr>
          <w:rFonts w:ascii="Arial" w:hAnsi="Arial" w:cs="David" w:hint="cs"/>
          <w:b/>
          <w:bCs/>
          <w:rtl/>
        </w:rPr>
        <w:t xml:space="preserve"> מיליארדי דולרים</w:t>
      </w:r>
      <w:r w:rsidR="00167951" w:rsidRPr="0094360F">
        <w:rPr>
          <w:rFonts w:ascii="Arial" w:hAnsi="Arial" w:cs="David" w:hint="cs"/>
          <w:b/>
          <w:bCs/>
          <w:rtl/>
        </w:rPr>
        <w:t>:</w:t>
      </w:r>
      <w:r w:rsidR="008D3D52" w:rsidRPr="0094360F">
        <w:rPr>
          <w:rFonts w:ascii="Arial" w:hAnsi="Arial" w:cs="David" w:hint="cs"/>
          <w:b/>
          <w:bCs/>
          <w:rtl/>
        </w:rPr>
        <w:t xml:space="preserve"> </w:t>
      </w:r>
      <w:r w:rsidR="00251DFE" w:rsidRPr="0094360F">
        <w:rPr>
          <w:rFonts w:ascii="Arial" w:hAnsi="Arial" w:cs="David" w:hint="cs"/>
          <w:b/>
          <w:bCs/>
          <w:rtl/>
        </w:rPr>
        <w:t>עלייה</w:t>
      </w:r>
      <w:r w:rsidR="00167951" w:rsidRPr="0094360F">
        <w:rPr>
          <w:rFonts w:ascii="Arial" w:hAnsi="Arial" w:cs="David" w:hint="cs"/>
          <w:b/>
          <w:bCs/>
          <w:rtl/>
        </w:rPr>
        <w:t xml:space="preserve"> של </w:t>
      </w:r>
      <w:r>
        <w:rPr>
          <w:rFonts w:ascii="Arial" w:hAnsi="Arial" w:cs="David" w:hint="cs"/>
          <w:b/>
          <w:bCs/>
          <w:rtl/>
        </w:rPr>
        <w:t>27.3</w:t>
      </w:r>
      <w:r w:rsidR="00167951" w:rsidRPr="0094360F">
        <w:rPr>
          <w:rFonts w:ascii="Arial" w:hAnsi="Arial" w:cs="David" w:hint="cs"/>
          <w:b/>
          <w:bCs/>
          <w:rtl/>
        </w:rPr>
        <w:t xml:space="preserve"> מיליארדי דולרים</w:t>
      </w:r>
      <w:r w:rsidR="0094360F" w:rsidRPr="0094360F">
        <w:rPr>
          <w:rFonts w:ascii="Arial" w:hAnsi="Arial" w:cs="David" w:hint="cs"/>
          <w:b/>
          <w:bCs/>
          <w:rtl/>
        </w:rPr>
        <w:t xml:space="preserve"> </w:t>
      </w:r>
      <w:r w:rsidR="00167951" w:rsidRPr="0094360F">
        <w:rPr>
          <w:rFonts w:ascii="Arial" w:hAnsi="Arial" w:cs="David" w:hint="cs"/>
          <w:b/>
          <w:bCs/>
          <w:rtl/>
        </w:rPr>
        <w:t>(</w:t>
      </w:r>
      <w:r>
        <w:rPr>
          <w:rFonts w:ascii="Arial" w:hAnsi="Arial" w:cs="David" w:hint="cs"/>
          <w:b/>
          <w:bCs/>
          <w:rtl/>
        </w:rPr>
        <w:t>10</w:t>
      </w:r>
      <w:r w:rsidR="00167951" w:rsidRPr="0094360F">
        <w:rPr>
          <w:rFonts w:ascii="Arial" w:hAnsi="Arial" w:cs="David" w:hint="cs"/>
          <w:b/>
          <w:bCs/>
          <w:rtl/>
        </w:rPr>
        <w:t>.</w:t>
      </w:r>
      <w:r>
        <w:rPr>
          <w:rFonts w:ascii="Arial" w:hAnsi="Arial" w:cs="David" w:hint="cs"/>
          <w:b/>
          <w:bCs/>
          <w:rtl/>
        </w:rPr>
        <w:t>9</w:t>
      </w:r>
      <w:r w:rsidR="00167951" w:rsidRPr="0094360F">
        <w:rPr>
          <w:rFonts w:ascii="Arial" w:hAnsi="Arial" w:cs="David" w:hint="cs"/>
          <w:b/>
          <w:bCs/>
          <w:rtl/>
        </w:rPr>
        <w:t>%)</w:t>
      </w:r>
      <w:r w:rsidR="00251DFE" w:rsidRPr="0094360F">
        <w:rPr>
          <w:rFonts w:ascii="Arial" w:hAnsi="Arial" w:cs="David" w:hint="cs"/>
          <w:b/>
          <w:bCs/>
          <w:rtl/>
        </w:rPr>
        <w:t xml:space="preserve"> בשווי יתרת ההתחייבויות של המשק כלפי </w:t>
      </w:r>
      <w:r w:rsidR="00167951" w:rsidRPr="0094360F">
        <w:rPr>
          <w:rFonts w:ascii="Arial" w:hAnsi="Arial" w:cs="David" w:hint="cs"/>
          <w:b/>
          <w:bCs/>
          <w:rtl/>
        </w:rPr>
        <w:t>חו"ל</w:t>
      </w:r>
      <w:r w:rsidR="00251DFE" w:rsidRPr="0094360F">
        <w:rPr>
          <w:rFonts w:ascii="Arial" w:hAnsi="Arial" w:cs="David" w:hint="cs"/>
          <w:b/>
          <w:bCs/>
          <w:rtl/>
        </w:rPr>
        <w:t xml:space="preserve">, קוזזה </w:t>
      </w:r>
      <w:r w:rsidR="00217D61">
        <w:rPr>
          <w:rFonts w:ascii="Arial" w:hAnsi="Arial" w:cs="David" w:hint="cs"/>
          <w:b/>
          <w:bCs/>
          <w:rtl/>
        </w:rPr>
        <w:t xml:space="preserve">בחלקה </w:t>
      </w:r>
      <w:r w:rsidR="00251DFE" w:rsidRPr="0094360F">
        <w:rPr>
          <w:rFonts w:ascii="Arial" w:hAnsi="Arial" w:cs="David" w:hint="cs"/>
          <w:b/>
          <w:bCs/>
          <w:rtl/>
        </w:rPr>
        <w:t xml:space="preserve">בעלייה של </w:t>
      </w:r>
      <w:r w:rsidR="0093237B">
        <w:rPr>
          <w:rFonts w:ascii="Arial" w:hAnsi="Arial" w:cs="David" w:hint="cs"/>
          <w:b/>
          <w:bCs/>
          <w:rtl/>
        </w:rPr>
        <w:t>22.5</w:t>
      </w:r>
      <w:r w:rsidR="00251DFE" w:rsidRPr="0094360F">
        <w:rPr>
          <w:rFonts w:ascii="Arial" w:hAnsi="Arial" w:cs="David" w:hint="cs"/>
          <w:b/>
          <w:bCs/>
          <w:rtl/>
        </w:rPr>
        <w:t xml:space="preserve"> מיליארדים (</w:t>
      </w:r>
      <w:r w:rsidR="0093237B">
        <w:rPr>
          <w:rFonts w:ascii="Arial" w:hAnsi="Arial" w:cs="David" w:hint="cs"/>
          <w:b/>
          <w:bCs/>
          <w:rtl/>
        </w:rPr>
        <w:t>7</w:t>
      </w:r>
      <w:r w:rsidR="00251DFE" w:rsidRPr="0094360F">
        <w:rPr>
          <w:rFonts w:ascii="Arial" w:hAnsi="Arial" w:cs="David" w:hint="cs"/>
          <w:b/>
          <w:bCs/>
          <w:rtl/>
        </w:rPr>
        <w:t>.2%) בשווי יתרת הנכסים של המשק בחו"ל.</w:t>
      </w:r>
    </w:p>
    <w:p w:rsidR="008D3D52" w:rsidRPr="0093344B" w:rsidRDefault="00E12F98" w:rsidP="002D55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D21D55">
        <w:rPr>
          <w:rFonts w:ascii="Arial" w:hAnsi="Arial" w:cs="David" w:hint="cs"/>
          <w:b/>
          <w:bCs/>
          <w:rtl/>
        </w:rPr>
        <w:t>העליי</w:t>
      </w:r>
      <w:r w:rsidRPr="00D21D55">
        <w:rPr>
          <w:rFonts w:ascii="Arial" w:hAnsi="Arial" w:cs="David" w:hint="eastAsia"/>
          <w:b/>
          <w:bCs/>
          <w:rtl/>
        </w:rPr>
        <w:t>ה</w:t>
      </w:r>
      <w:r w:rsidRPr="00D21D55">
        <w:rPr>
          <w:rFonts w:ascii="Arial" w:hAnsi="Arial" w:cs="David" w:hint="cs"/>
          <w:b/>
          <w:bCs/>
          <w:rtl/>
        </w:rPr>
        <w:t xml:space="preserve"> ביתרת ההתחייבויות ברוטו של המשק לחו"ל נבעה </w:t>
      </w:r>
      <w:r w:rsidR="00217D61" w:rsidRPr="00D21D55">
        <w:rPr>
          <w:rFonts w:ascii="Arial" w:hAnsi="Arial" w:cs="David" w:hint="cs"/>
          <w:b/>
          <w:bCs/>
          <w:rtl/>
        </w:rPr>
        <w:t>בעיקר מ</w:t>
      </w:r>
      <w:r w:rsidR="00152295" w:rsidRPr="00D21D55">
        <w:rPr>
          <w:rFonts w:ascii="Arial" w:hAnsi="Arial" w:cs="David" w:hint="cs"/>
          <w:b/>
          <w:bCs/>
          <w:rtl/>
        </w:rPr>
        <w:t>עליית מחירי המניות</w:t>
      </w:r>
      <w:r w:rsidR="00217D61" w:rsidRPr="00D21D55">
        <w:rPr>
          <w:rFonts w:ascii="Arial" w:hAnsi="Arial" w:cs="David" w:hint="cs"/>
          <w:b/>
          <w:bCs/>
          <w:rtl/>
        </w:rPr>
        <w:t xml:space="preserve"> שמחזיקים תושבי חוץ</w:t>
      </w:r>
      <w:r w:rsidR="00152295" w:rsidRPr="00D21D55">
        <w:rPr>
          <w:rFonts w:ascii="Arial" w:hAnsi="Arial" w:cs="David" w:hint="cs"/>
          <w:b/>
          <w:bCs/>
          <w:rtl/>
        </w:rPr>
        <w:t xml:space="preserve"> (</w:t>
      </w:r>
      <w:r w:rsidR="00D21D55">
        <w:rPr>
          <w:rFonts w:ascii="Arial" w:hAnsi="Arial" w:cs="David" w:hint="cs"/>
          <w:b/>
          <w:bCs/>
          <w:rtl/>
        </w:rPr>
        <w:t>כ-</w:t>
      </w:r>
      <w:r w:rsidR="00A84F30" w:rsidRPr="00D21D55">
        <w:rPr>
          <w:rFonts w:ascii="Arial" w:hAnsi="Arial" w:cs="David" w:hint="cs"/>
          <w:b/>
          <w:bCs/>
          <w:rtl/>
        </w:rPr>
        <w:t>21</w:t>
      </w:r>
      <w:r w:rsidR="00C67BB1" w:rsidRPr="00D21D55">
        <w:rPr>
          <w:rFonts w:ascii="Arial" w:hAnsi="Arial" w:cs="David" w:hint="cs"/>
          <w:b/>
          <w:bCs/>
          <w:rtl/>
        </w:rPr>
        <w:t>%</w:t>
      </w:r>
      <w:r w:rsidR="00152295" w:rsidRPr="00D21D55">
        <w:rPr>
          <w:rFonts w:ascii="Arial" w:hAnsi="Arial" w:cs="David" w:hint="cs"/>
          <w:b/>
          <w:bCs/>
          <w:rtl/>
        </w:rPr>
        <w:t>)</w:t>
      </w:r>
      <w:r w:rsidR="00D21D55">
        <w:rPr>
          <w:rFonts w:ascii="Arial" w:hAnsi="Arial" w:cs="David" w:hint="cs"/>
          <w:b/>
          <w:bCs/>
          <w:rtl/>
        </w:rPr>
        <w:t>, אך</w:t>
      </w:r>
      <w:r w:rsidR="00217D61" w:rsidRPr="00D21D55">
        <w:rPr>
          <w:rFonts w:ascii="Arial" w:hAnsi="Arial" w:cs="David" w:hint="cs"/>
          <w:b/>
          <w:bCs/>
          <w:rtl/>
        </w:rPr>
        <w:t xml:space="preserve"> גם מ</w:t>
      </w:r>
      <w:r w:rsidR="00AA4DF3" w:rsidRPr="00D21D55">
        <w:rPr>
          <w:rFonts w:ascii="Arial" w:hAnsi="Arial" w:cs="David" w:hint="cs"/>
          <w:b/>
          <w:bCs/>
          <w:rtl/>
        </w:rPr>
        <w:t>זרם השקעות</w:t>
      </w:r>
      <w:r w:rsidR="00217D61" w:rsidRPr="00D21D55">
        <w:rPr>
          <w:rFonts w:ascii="Arial" w:hAnsi="Arial" w:cs="David" w:hint="cs"/>
          <w:b/>
          <w:bCs/>
          <w:rtl/>
        </w:rPr>
        <w:t xml:space="preserve"> נטו</w:t>
      </w:r>
      <w:r w:rsidR="00AA4DF3" w:rsidRPr="00D21D55">
        <w:rPr>
          <w:rFonts w:ascii="Arial" w:hAnsi="Arial" w:cs="David" w:hint="cs"/>
          <w:b/>
          <w:bCs/>
          <w:rtl/>
        </w:rPr>
        <w:t xml:space="preserve"> במשק (</w:t>
      </w:r>
      <w:r w:rsidR="00152295" w:rsidRPr="00D21D55">
        <w:rPr>
          <w:rFonts w:ascii="Arial" w:hAnsi="Arial" w:cs="David" w:hint="cs"/>
          <w:b/>
          <w:bCs/>
          <w:rtl/>
        </w:rPr>
        <w:t>9.5</w:t>
      </w:r>
      <w:r w:rsidR="00AA4DF3" w:rsidRPr="00D21D55">
        <w:rPr>
          <w:rFonts w:ascii="Arial" w:hAnsi="Arial" w:cs="David" w:hint="cs"/>
          <w:b/>
          <w:bCs/>
          <w:rtl/>
        </w:rPr>
        <w:t xml:space="preserve"> מיליארדי דולר</w:t>
      </w:r>
      <w:r w:rsidR="00C67BB1" w:rsidRPr="00D21D55">
        <w:rPr>
          <w:rFonts w:ascii="Arial" w:hAnsi="Arial" w:cs="David" w:hint="cs"/>
          <w:b/>
          <w:bCs/>
          <w:rtl/>
        </w:rPr>
        <w:t xml:space="preserve">, </w:t>
      </w:r>
      <w:r w:rsidR="00A84F30" w:rsidRPr="00D21D55">
        <w:rPr>
          <w:rFonts w:ascii="Arial" w:hAnsi="Arial" w:cs="David" w:hint="cs"/>
          <w:b/>
          <w:bCs/>
          <w:rtl/>
        </w:rPr>
        <w:t>3.8</w:t>
      </w:r>
      <w:r w:rsidR="00C67BB1" w:rsidRPr="00D21D55">
        <w:rPr>
          <w:rFonts w:ascii="Arial" w:hAnsi="Arial" w:cs="David" w:hint="cs"/>
          <w:b/>
          <w:bCs/>
          <w:rtl/>
        </w:rPr>
        <w:t>%</w:t>
      </w:r>
      <w:r w:rsidR="00AA4DF3" w:rsidRPr="00D21D55">
        <w:rPr>
          <w:rFonts w:ascii="Arial" w:hAnsi="Arial" w:cs="David" w:hint="cs"/>
          <w:b/>
          <w:bCs/>
          <w:rtl/>
        </w:rPr>
        <w:t>)</w:t>
      </w:r>
      <w:r w:rsidR="0093344B">
        <w:rPr>
          <w:rFonts w:ascii="Arial" w:hAnsi="Arial" w:cs="David" w:hint="cs"/>
          <w:b/>
          <w:bCs/>
          <w:rtl/>
        </w:rPr>
        <w:t xml:space="preserve"> </w:t>
      </w:r>
      <w:r w:rsidR="0093344B" w:rsidRPr="0093344B">
        <w:rPr>
          <w:rFonts w:ascii="Arial" w:hAnsi="Arial" w:cs="David" w:hint="cs"/>
          <w:b/>
          <w:bCs/>
          <w:rtl/>
        </w:rPr>
        <w:t>שהיה גדול משמעותית</w:t>
      </w:r>
      <w:r w:rsidR="0093344B">
        <w:rPr>
          <w:rFonts w:ascii="Arial" w:hAnsi="Arial" w:cs="David" w:hint="cs"/>
          <w:b/>
          <w:bCs/>
          <w:rtl/>
        </w:rPr>
        <w:t>,</w:t>
      </w:r>
      <w:r w:rsidR="0093344B" w:rsidRPr="0093344B">
        <w:rPr>
          <w:rFonts w:ascii="Arial" w:hAnsi="Arial" w:cs="David" w:hint="cs"/>
          <w:b/>
          <w:bCs/>
          <w:rtl/>
        </w:rPr>
        <w:t xml:space="preserve"> ב-2014</w:t>
      </w:r>
      <w:r w:rsidR="0093344B">
        <w:rPr>
          <w:rFonts w:ascii="Arial" w:hAnsi="Arial" w:cs="David" w:hint="cs"/>
          <w:b/>
          <w:bCs/>
          <w:rtl/>
        </w:rPr>
        <w:t>,</w:t>
      </w:r>
      <w:r w:rsidR="0093344B" w:rsidRPr="0093344B">
        <w:rPr>
          <w:rFonts w:ascii="Arial" w:hAnsi="Arial" w:cs="David" w:hint="cs"/>
          <w:b/>
          <w:bCs/>
          <w:rtl/>
        </w:rPr>
        <w:t xml:space="preserve"> מממוצע 3 השנים האחרונות</w:t>
      </w:r>
      <w:r w:rsidR="00152295" w:rsidRPr="0093344B">
        <w:rPr>
          <w:rFonts w:ascii="Arial" w:hAnsi="Arial" w:cs="David" w:hint="cs"/>
          <w:b/>
          <w:bCs/>
          <w:rtl/>
        </w:rPr>
        <w:t>.</w:t>
      </w:r>
      <w:r w:rsidR="00A84F30" w:rsidRPr="0093344B">
        <w:rPr>
          <w:rFonts w:ascii="Arial" w:hAnsi="Arial" w:cs="David" w:hint="cs"/>
          <w:b/>
          <w:bCs/>
          <w:rtl/>
        </w:rPr>
        <w:t xml:space="preserve"> </w:t>
      </w:r>
    </w:p>
    <w:p w:rsidR="006515C7" w:rsidRPr="00E12F98" w:rsidRDefault="00E12F98" w:rsidP="002D55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E12F98">
        <w:rPr>
          <w:rFonts w:ascii="Arial" w:hAnsi="Arial" w:cs="David" w:hint="cs"/>
          <w:b/>
          <w:bCs/>
          <w:rtl/>
        </w:rPr>
        <w:t xml:space="preserve">הגידול בשווי תיק הנכסים, נבע </w:t>
      </w:r>
      <w:r w:rsidR="009857AF">
        <w:rPr>
          <w:rFonts w:ascii="Arial" w:hAnsi="Arial" w:cs="David" w:hint="cs"/>
          <w:b/>
          <w:bCs/>
          <w:rtl/>
        </w:rPr>
        <w:t xml:space="preserve">בעיקר מזרם השקעות בכל האפיקים: </w:t>
      </w:r>
      <w:r w:rsidR="00217D61">
        <w:rPr>
          <w:rFonts w:ascii="Arial" w:hAnsi="Arial" w:cs="David" w:hint="cs"/>
          <w:b/>
          <w:bCs/>
          <w:rtl/>
        </w:rPr>
        <w:t>שילוב של</w:t>
      </w:r>
      <w:r w:rsidR="009857AF">
        <w:rPr>
          <w:rFonts w:ascii="Arial" w:hAnsi="Arial" w:cs="David" w:hint="cs"/>
          <w:b/>
          <w:bCs/>
          <w:rtl/>
        </w:rPr>
        <w:t xml:space="preserve"> </w:t>
      </w:r>
      <w:r w:rsidR="00554574" w:rsidRPr="00E12F98">
        <w:rPr>
          <w:rFonts w:ascii="Arial" w:hAnsi="Arial" w:cs="David" w:hint="cs"/>
          <w:b/>
          <w:bCs/>
          <w:rtl/>
        </w:rPr>
        <w:t xml:space="preserve">השקעות </w:t>
      </w:r>
      <w:r w:rsidR="00554574">
        <w:rPr>
          <w:rFonts w:ascii="Arial" w:hAnsi="Arial" w:cs="David" w:hint="cs"/>
          <w:b/>
          <w:bCs/>
          <w:rtl/>
        </w:rPr>
        <w:t>פיננסיות בחו"ל (</w:t>
      </w:r>
      <w:r w:rsidR="00152295">
        <w:rPr>
          <w:rFonts w:ascii="Arial" w:hAnsi="Arial" w:cs="David" w:hint="cs"/>
          <w:b/>
          <w:bCs/>
          <w:rtl/>
        </w:rPr>
        <w:t>10.1</w:t>
      </w:r>
      <w:r w:rsidR="00554574">
        <w:rPr>
          <w:rFonts w:ascii="Arial" w:hAnsi="Arial" w:cs="David" w:hint="cs"/>
          <w:b/>
          <w:bCs/>
          <w:rtl/>
        </w:rPr>
        <w:t xml:space="preserve"> מיליארדי</w:t>
      </w:r>
      <w:r w:rsidR="0094360F">
        <w:rPr>
          <w:rFonts w:ascii="Arial" w:hAnsi="Arial" w:cs="David" w:hint="cs"/>
          <w:b/>
          <w:bCs/>
          <w:rtl/>
        </w:rPr>
        <w:t xml:space="preserve"> דולרים</w:t>
      </w:r>
      <w:r w:rsidR="00554574">
        <w:rPr>
          <w:rFonts w:ascii="Arial" w:hAnsi="Arial" w:cs="David" w:hint="cs"/>
          <w:b/>
          <w:bCs/>
          <w:rtl/>
        </w:rPr>
        <w:t>)</w:t>
      </w:r>
      <w:r w:rsidR="0023163B">
        <w:rPr>
          <w:rFonts w:ascii="Arial" w:hAnsi="Arial" w:cs="David" w:hint="cs"/>
          <w:b/>
          <w:bCs/>
          <w:rtl/>
        </w:rPr>
        <w:t>,</w:t>
      </w:r>
      <w:r w:rsidR="00554574">
        <w:rPr>
          <w:rFonts w:ascii="Arial" w:hAnsi="Arial" w:cs="David" w:hint="cs"/>
          <w:b/>
          <w:bCs/>
          <w:rtl/>
        </w:rPr>
        <w:t xml:space="preserve"> </w:t>
      </w:r>
      <w:r w:rsidR="0023163B">
        <w:rPr>
          <w:rFonts w:ascii="Arial" w:hAnsi="Arial" w:cs="David" w:hint="cs"/>
          <w:b/>
          <w:bCs/>
          <w:rtl/>
        </w:rPr>
        <w:t xml:space="preserve">גידול </w:t>
      </w:r>
      <w:r w:rsidR="009857AF">
        <w:rPr>
          <w:rFonts w:ascii="Arial" w:hAnsi="Arial" w:cs="David" w:hint="cs"/>
          <w:b/>
          <w:bCs/>
          <w:rtl/>
        </w:rPr>
        <w:t>ב</w:t>
      </w:r>
      <w:r w:rsidR="0023163B">
        <w:rPr>
          <w:rFonts w:ascii="Arial" w:hAnsi="Arial" w:cs="David" w:hint="cs"/>
          <w:b/>
          <w:bCs/>
          <w:rtl/>
        </w:rPr>
        <w:t>נכסי הרזרבה (</w:t>
      </w:r>
      <w:r w:rsidR="009857AF">
        <w:rPr>
          <w:rFonts w:ascii="Arial" w:hAnsi="Arial" w:cs="David" w:hint="cs"/>
          <w:b/>
          <w:bCs/>
          <w:rtl/>
        </w:rPr>
        <w:t>7</w:t>
      </w:r>
      <w:r w:rsidR="0023163B">
        <w:rPr>
          <w:rFonts w:ascii="Arial" w:hAnsi="Arial" w:cs="David" w:hint="cs"/>
          <w:b/>
          <w:bCs/>
          <w:rtl/>
        </w:rPr>
        <w:t>.</w:t>
      </w:r>
      <w:r w:rsidR="009857AF">
        <w:rPr>
          <w:rFonts w:ascii="Arial" w:hAnsi="Arial" w:cs="David" w:hint="cs"/>
          <w:b/>
          <w:bCs/>
          <w:rtl/>
        </w:rPr>
        <w:t>4</w:t>
      </w:r>
      <w:r w:rsidR="0023163B">
        <w:rPr>
          <w:rFonts w:ascii="Arial" w:hAnsi="Arial" w:cs="David" w:hint="cs"/>
          <w:b/>
          <w:bCs/>
          <w:rtl/>
        </w:rPr>
        <w:t xml:space="preserve"> מיליארדים), ו</w:t>
      </w:r>
      <w:r w:rsidR="00554574" w:rsidRPr="00DF6832">
        <w:rPr>
          <w:rFonts w:ascii="Arial" w:hAnsi="Arial" w:cs="David" w:hint="cs"/>
          <w:b/>
          <w:bCs/>
          <w:rtl/>
        </w:rPr>
        <w:t>צבירה</w:t>
      </w:r>
      <w:r w:rsidR="00554574" w:rsidRPr="00F0018D">
        <w:rPr>
          <w:rFonts w:ascii="Arial" w:hAnsi="Arial" w:cs="David" w:hint="cs"/>
          <w:rtl/>
        </w:rPr>
        <w:t xml:space="preserve"> </w:t>
      </w:r>
      <w:r w:rsidRPr="004A162A">
        <w:rPr>
          <w:rFonts w:ascii="Arial" w:hAnsi="Arial" w:cs="David" w:hint="cs"/>
          <w:b/>
          <w:bCs/>
          <w:rtl/>
        </w:rPr>
        <w:t>ב</w:t>
      </w:r>
      <w:r w:rsidR="00F0018D" w:rsidRPr="004A162A">
        <w:rPr>
          <w:rFonts w:ascii="Arial" w:hAnsi="Arial" w:cs="David" w:hint="cs"/>
          <w:b/>
          <w:bCs/>
          <w:rtl/>
        </w:rPr>
        <w:t>פיקדונות בנקים</w:t>
      </w:r>
      <w:r w:rsidR="00F0018D">
        <w:rPr>
          <w:rFonts w:ascii="Arial" w:hAnsi="Arial" w:cs="David" w:hint="cs"/>
          <w:b/>
          <w:bCs/>
          <w:rtl/>
        </w:rPr>
        <w:t xml:space="preserve"> ישראלים בחו"ל (</w:t>
      </w:r>
      <w:r w:rsidR="00152295">
        <w:rPr>
          <w:rFonts w:ascii="Arial" w:hAnsi="Arial" w:cs="David" w:hint="cs"/>
          <w:b/>
          <w:bCs/>
          <w:rtl/>
        </w:rPr>
        <w:t>3</w:t>
      </w:r>
      <w:r w:rsidR="00F0018D">
        <w:rPr>
          <w:rFonts w:ascii="Arial" w:hAnsi="Arial" w:cs="David" w:hint="cs"/>
          <w:b/>
          <w:bCs/>
          <w:rtl/>
        </w:rPr>
        <w:t>.</w:t>
      </w:r>
      <w:r w:rsidR="00152295">
        <w:rPr>
          <w:rFonts w:ascii="Arial" w:hAnsi="Arial" w:cs="David" w:hint="cs"/>
          <w:b/>
          <w:bCs/>
          <w:rtl/>
        </w:rPr>
        <w:t>1</w:t>
      </w:r>
      <w:r w:rsidR="00F0018D">
        <w:rPr>
          <w:rFonts w:ascii="Arial" w:hAnsi="Arial" w:cs="David" w:hint="cs"/>
          <w:b/>
          <w:bCs/>
          <w:rtl/>
        </w:rPr>
        <w:t xml:space="preserve"> מיליארדי</w:t>
      </w:r>
      <w:r w:rsidR="0094360F">
        <w:rPr>
          <w:rFonts w:ascii="Arial" w:hAnsi="Arial" w:cs="David" w:hint="cs"/>
          <w:b/>
          <w:bCs/>
          <w:rtl/>
        </w:rPr>
        <w:t>ם</w:t>
      </w:r>
      <w:r w:rsidR="00865562">
        <w:rPr>
          <w:rFonts w:ascii="Arial" w:hAnsi="Arial" w:cs="David" w:hint="cs"/>
          <w:b/>
          <w:bCs/>
          <w:rtl/>
        </w:rPr>
        <w:t>)</w:t>
      </w:r>
      <w:r w:rsidR="00D21D55">
        <w:rPr>
          <w:rFonts w:ascii="Arial" w:hAnsi="Arial" w:cs="David" w:hint="cs"/>
          <w:b/>
          <w:bCs/>
          <w:rtl/>
        </w:rPr>
        <w:t>.</w:t>
      </w:r>
    </w:p>
    <w:p w:rsidR="00AD79F3" w:rsidRPr="00AD79F3" w:rsidRDefault="00AD736C" w:rsidP="002D5576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 w:hint="cs"/>
          <w:b/>
          <w:bCs/>
          <w:rtl/>
        </w:rPr>
      </w:pPr>
      <w:r w:rsidRPr="00AD736C">
        <w:rPr>
          <w:rFonts w:ascii="Arial" w:hAnsi="Arial" w:cs="David" w:hint="cs"/>
          <w:b/>
          <w:bCs/>
          <w:rtl/>
        </w:rPr>
        <w:t xml:space="preserve">היחס שבין החוב החיצוני לתמ"ג עלה </w:t>
      </w:r>
      <w:r w:rsidR="00152295">
        <w:rPr>
          <w:rFonts w:ascii="Arial" w:hAnsi="Arial" w:cs="David" w:hint="cs"/>
          <w:b/>
          <w:bCs/>
          <w:rtl/>
        </w:rPr>
        <w:t>בשנת 2014</w:t>
      </w:r>
      <w:r w:rsidRPr="00AD736C">
        <w:rPr>
          <w:rFonts w:ascii="Arial" w:hAnsi="Arial" w:cs="David" w:hint="cs"/>
          <w:b/>
          <w:bCs/>
          <w:rtl/>
        </w:rPr>
        <w:t xml:space="preserve"> ב-</w:t>
      </w:r>
      <w:r w:rsidR="00152295">
        <w:rPr>
          <w:rFonts w:ascii="Arial" w:hAnsi="Arial" w:cs="David" w:hint="cs"/>
          <w:b/>
          <w:bCs/>
          <w:rtl/>
        </w:rPr>
        <w:t>3.3</w:t>
      </w:r>
      <w:r w:rsidRPr="00AD736C">
        <w:rPr>
          <w:rFonts w:ascii="Arial" w:hAnsi="Arial" w:cs="David" w:hint="cs"/>
          <w:b/>
          <w:bCs/>
          <w:rtl/>
        </w:rPr>
        <w:t xml:space="preserve"> נקודות אחוז ועמד בסוף </w:t>
      </w:r>
      <w:r w:rsidR="000E1CA2">
        <w:rPr>
          <w:rFonts w:ascii="Arial" w:hAnsi="Arial" w:cs="David" w:hint="cs"/>
          <w:b/>
          <w:bCs/>
          <w:rtl/>
        </w:rPr>
        <w:t>דצמבר</w:t>
      </w:r>
      <w:r w:rsidRPr="00AD736C">
        <w:rPr>
          <w:rFonts w:ascii="Arial" w:hAnsi="Arial" w:cs="David" w:hint="cs"/>
          <w:b/>
          <w:bCs/>
          <w:rtl/>
        </w:rPr>
        <w:t xml:space="preserve"> על 34.</w:t>
      </w:r>
      <w:r w:rsidR="00152295">
        <w:rPr>
          <w:rFonts w:ascii="Arial" w:hAnsi="Arial" w:cs="David" w:hint="cs"/>
          <w:b/>
          <w:bCs/>
          <w:rtl/>
        </w:rPr>
        <w:t>9</w:t>
      </w:r>
      <w:r w:rsidRPr="00AD736C">
        <w:rPr>
          <w:rFonts w:ascii="Arial" w:hAnsi="Arial" w:cs="David" w:hint="cs"/>
          <w:b/>
          <w:bCs/>
          <w:rtl/>
        </w:rPr>
        <w:t>%, זאת ב</w:t>
      </w:r>
      <w:r w:rsidR="00152295">
        <w:rPr>
          <w:rFonts w:ascii="Arial" w:hAnsi="Arial" w:cs="David" w:hint="cs"/>
          <w:b/>
          <w:bCs/>
          <w:rtl/>
        </w:rPr>
        <w:t>ניגוד</w:t>
      </w:r>
      <w:r w:rsidRPr="00AD736C">
        <w:rPr>
          <w:rFonts w:ascii="Arial" w:hAnsi="Arial" w:cs="David" w:hint="cs"/>
          <w:b/>
          <w:bCs/>
          <w:rtl/>
        </w:rPr>
        <w:t xml:space="preserve"> ל</w:t>
      </w:r>
      <w:r w:rsidR="00152295">
        <w:rPr>
          <w:rFonts w:ascii="Arial" w:hAnsi="Arial" w:cs="David" w:hint="cs"/>
          <w:b/>
          <w:bCs/>
          <w:rtl/>
        </w:rPr>
        <w:t>ירידה</w:t>
      </w:r>
      <w:r w:rsidRPr="00AD736C">
        <w:rPr>
          <w:rFonts w:ascii="Arial" w:hAnsi="Arial" w:cs="David" w:hint="cs"/>
          <w:b/>
          <w:bCs/>
          <w:rtl/>
        </w:rPr>
        <w:t xml:space="preserve"> של </w:t>
      </w:r>
      <w:r w:rsidR="00152295">
        <w:rPr>
          <w:rFonts w:ascii="Arial" w:hAnsi="Arial" w:cs="David" w:hint="cs"/>
          <w:b/>
          <w:bCs/>
          <w:rtl/>
        </w:rPr>
        <w:t>5</w:t>
      </w:r>
      <w:r w:rsidRPr="00AD736C">
        <w:rPr>
          <w:rFonts w:ascii="Arial" w:hAnsi="Arial" w:cs="David" w:hint="cs"/>
          <w:b/>
          <w:bCs/>
          <w:rtl/>
        </w:rPr>
        <w:t>.</w:t>
      </w:r>
      <w:r w:rsidR="00152295">
        <w:rPr>
          <w:rFonts w:ascii="Arial" w:hAnsi="Arial" w:cs="David" w:hint="cs"/>
          <w:b/>
          <w:bCs/>
          <w:rtl/>
        </w:rPr>
        <w:t>1</w:t>
      </w:r>
      <w:r w:rsidRPr="00AD736C">
        <w:rPr>
          <w:rFonts w:ascii="Arial" w:hAnsi="Arial" w:cs="David" w:hint="cs"/>
          <w:b/>
          <w:bCs/>
          <w:rtl/>
        </w:rPr>
        <w:t xml:space="preserve"> נקודות אחוז </w:t>
      </w:r>
      <w:r w:rsidR="00152295">
        <w:rPr>
          <w:rFonts w:ascii="Arial" w:hAnsi="Arial" w:cs="David" w:hint="cs"/>
          <w:b/>
          <w:bCs/>
          <w:rtl/>
        </w:rPr>
        <w:t>בשנת 2013</w:t>
      </w:r>
      <w:r w:rsidRPr="00AD736C">
        <w:rPr>
          <w:rFonts w:ascii="Arial" w:hAnsi="Arial" w:cs="David" w:hint="cs"/>
          <w:b/>
          <w:bCs/>
          <w:rtl/>
        </w:rPr>
        <w:t xml:space="preserve">. </w:t>
      </w:r>
      <w:r w:rsidR="00AD79F3" w:rsidRPr="00AD79F3">
        <w:rPr>
          <w:rFonts w:ascii="Arial" w:hAnsi="Arial" w:cs="David" w:hint="cs"/>
          <w:b/>
          <w:bCs/>
          <w:rtl/>
        </w:rPr>
        <w:t xml:space="preserve">הגידול ביחס החוב לתוצר נבע בעיקר מהשפעת הפיחות בשקל על השווי השקלי של החוב. </w:t>
      </w:r>
    </w:p>
    <w:p w:rsidR="009857AF" w:rsidRDefault="00F54E7B" w:rsidP="002D5576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 w:hint="cs"/>
          <w:b/>
          <w:bCs/>
        </w:rPr>
      </w:pPr>
      <w:r w:rsidRPr="00821218">
        <w:rPr>
          <w:rFonts w:ascii="Arial" w:hAnsi="Arial" w:cs="David" w:hint="cs"/>
          <w:b/>
          <w:bCs/>
          <w:rtl/>
        </w:rPr>
        <w:t xml:space="preserve">עודף הנכסים על ההתחייבויות של המשק מול חו"ל במכשירי חוב בלבד (חוב חיצוני שלילי), </w:t>
      </w:r>
      <w:r w:rsidR="00784606" w:rsidRPr="00821218">
        <w:rPr>
          <w:rFonts w:ascii="Arial" w:hAnsi="Arial" w:cs="David" w:hint="cs"/>
          <w:b/>
          <w:bCs/>
          <w:rtl/>
        </w:rPr>
        <w:t>עלה</w:t>
      </w:r>
      <w:r w:rsidRPr="00821218">
        <w:rPr>
          <w:rFonts w:ascii="Arial" w:hAnsi="Arial" w:cs="David" w:hint="cs"/>
          <w:b/>
          <w:bCs/>
          <w:rtl/>
        </w:rPr>
        <w:t xml:space="preserve"> </w:t>
      </w:r>
      <w:r w:rsidR="00152295">
        <w:rPr>
          <w:rFonts w:ascii="Arial" w:hAnsi="Arial" w:cs="David" w:hint="cs"/>
          <w:b/>
          <w:bCs/>
          <w:rtl/>
        </w:rPr>
        <w:t>בשנת 2014</w:t>
      </w:r>
      <w:r w:rsidRPr="00821218">
        <w:rPr>
          <w:rFonts w:ascii="Arial" w:hAnsi="Arial" w:cs="David" w:hint="cs"/>
          <w:b/>
          <w:bCs/>
          <w:rtl/>
        </w:rPr>
        <w:t xml:space="preserve"> ב-</w:t>
      </w:r>
      <w:r w:rsidR="00152295">
        <w:rPr>
          <w:rFonts w:ascii="Arial" w:hAnsi="Arial" w:cs="David" w:hint="cs"/>
          <w:b/>
          <w:bCs/>
          <w:rtl/>
        </w:rPr>
        <w:t>10.7</w:t>
      </w:r>
      <w:r w:rsidRPr="00821218">
        <w:rPr>
          <w:rFonts w:ascii="Arial" w:hAnsi="Arial" w:cs="David" w:hint="cs"/>
          <w:b/>
          <w:bCs/>
          <w:rtl/>
        </w:rPr>
        <w:t xml:space="preserve"> מיליארדי דולרים (</w:t>
      </w:r>
      <w:r w:rsidR="00152295">
        <w:rPr>
          <w:rFonts w:ascii="Arial" w:hAnsi="Arial" w:cs="David" w:hint="cs"/>
          <w:b/>
          <w:bCs/>
          <w:rtl/>
        </w:rPr>
        <w:t>12.3</w:t>
      </w:r>
      <w:r w:rsidRPr="00821218">
        <w:rPr>
          <w:rFonts w:ascii="Arial" w:hAnsi="Arial" w:cs="David" w:hint="cs"/>
          <w:b/>
          <w:bCs/>
          <w:rtl/>
        </w:rPr>
        <w:t xml:space="preserve">%) ועמד בסוף </w:t>
      </w:r>
      <w:r w:rsidR="00152295">
        <w:rPr>
          <w:rFonts w:ascii="Arial" w:hAnsi="Arial" w:cs="David" w:hint="cs"/>
          <w:b/>
          <w:bCs/>
          <w:rtl/>
        </w:rPr>
        <w:t>דצמבר</w:t>
      </w:r>
      <w:r w:rsidRPr="00821218">
        <w:rPr>
          <w:rFonts w:ascii="Arial" w:hAnsi="Arial" w:cs="David" w:hint="cs"/>
          <w:b/>
          <w:bCs/>
          <w:rtl/>
        </w:rPr>
        <w:t xml:space="preserve"> על </w:t>
      </w:r>
      <w:r w:rsidR="0094360F">
        <w:rPr>
          <w:rFonts w:ascii="Arial" w:hAnsi="Arial" w:cs="David" w:hint="cs"/>
          <w:b/>
          <w:bCs/>
          <w:rtl/>
        </w:rPr>
        <w:t>כ-</w:t>
      </w:r>
      <w:r w:rsidRPr="00821218">
        <w:rPr>
          <w:rFonts w:ascii="Arial" w:hAnsi="Arial" w:cs="David" w:hint="cs"/>
          <w:b/>
          <w:bCs/>
          <w:rtl/>
        </w:rPr>
        <w:t>9</w:t>
      </w:r>
      <w:r w:rsidR="00152295">
        <w:rPr>
          <w:rFonts w:ascii="Arial" w:hAnsi="Arial" w:cs="David" w:hint="cs"/>
          <w:b/>
          <w:bCs/>
          <w:rtl/>
        </w:rPr>
        <w:t>7</w:t>
      </w:r>
      <w:r w:rsidRPr="00821218">
        <w:rPr>
          <w:rFonts w:ascii="Arial" w:hAnsi="Arial" w:cs="David" w:hint="cs"/>
          <w:b/>
          <w:bCs/>
          <w:rtl/>
        </w:rPr>
        <w:t xml:space="preserve"> מיליארדים.</w:t>
      </w:r>
      <w:r w:rsidR="00784606" w:rsidRPr="00821218">
        <w:rPr>
          <w:rFonts w:ascii="Arial" w:hAnsi="Arial" w:cs="David" w:hint="cs"/>
          <w:rtl/>
        </w:rPr>
        <w:t xml:space="preserve"> </w:t>
      </w:r>
    </w:p>
    <w:p w:rsidR="002D5576" w:rsidRDefault="002D5576" w:rsidP="0023163B">
      <w:pPr>
        <w:spacing w:line="360" w:lineRule="auto"/>
        <w:jc w:val="center"/>
        <w:rPr>
          <w:rFonts w:ascii="Arial" w:hAnsi="Arial" w:cs="David" w:hint="cs"/>
          <w:b/>
          <w:bCs/>
          <w:u w:val="single"/>
          <w:rtl/>
        </w:rPr>
      </w:pPr>
      <w:r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056554" w:rsidRDefault="00092131" w:rsidP="0023163B">
      <w:pPr>
        <w:spacing w:line="360" w:lineRule="auto"/>
        <w:jc w:val="center"/>
        <w:rPr>
          <w:rFonts w:ascii="Arial" w:hAnsi="Arial" w:cs="David" w:hint="cs"/>
          <w:b/>
          <w:bCs/>
          <w:rtl/>
        </w:rPr>
      </w:pPr>
      <w:r w:rsidRPr="00056554">
        <w:rPr>
          <w:rFonts w:ascii="Arial" w:hAnsi="Arial" w:cs="David" w:hint="cs"/>
          <w:b/>
          <w:bCs/>
          <w:rtl/>
        </w:rPr>
        <w:lastRenderedPageBreak/>
        <w:t xml:space="preserve">לוח 1: </w:t>
      </w:r>
      <w:r w:rsidR="00054C99" w:rsidRPr="00056554">
        <w:rPr>
          <w:rFonts w:ascii="Arial" w:hAnsi="Arial" w:cs="David" w:hint="cs"/>
          <w:b/>
          <w:bCs/>
          <w:rtl/>
        </w:rPr>
        <w:t>יתרות הנכסים וההתחייבויות והשינויים בהם</w:t>
      </w:r>
    </w:p>
    <w:p w:rsidR="00854096" w:rsidRPr="0023163B" w:rsidRDefault="00056554" w:rsidP="00854096">
      <w:pPr>
        <w:spacing w:line="360" w:lineRule="auto"/>
        <w:jc w:val="both"/>
      </w:pPr>
      <w:r>
        <w:rPr>
          <w:noProof/>
          <w:lang w:eastAsia="en-US"/>
        </w:rPr>
        <w:drawing>
          <wp:inline distT="0" distB="0" distL="0" distR="0">
            <wp:extent cx="5800725" cy="2924175"/>
            <wp:effectExtent l="0" t="0" r="9525" b="9525"/>
            <wp:docPr id="3" name="תמונה 1" descr="לוח 1: יתרות הנכסים וההתחייבויות והשינויים בהם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7A5" w:rsidRDefault="008B17A5" w:rsidP="00854096">
      <w:p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A16F73" w:rsidRPr="00056554" w:rsidRDefault="006F7093" w:rsidP="00056554">
      <w:pPr>
        <w:pStyle w:val="ab"/>
        <w:numPr>
          <w:ilvl w:val="0"/>
          <w:numId w:val="11"/>
        </w:numPr>
        <w:spacing w:line="360" w:lineRule="auto"/>
        <w:ind w:right="426"/>
        <w:jc w:val="both"/>
        <w:rPr>
          <w:rFonts w:ascii="Arial" w:hAnsi="Arial" w:cs="David" w:hint="cs"/>
        </w:rPr>
      </w:pPr>
      <w:r w:rsidRPr="00056554">
        <w:rPr>
          <w:rFonts w:ascii="Arial" w:hAnsi="Arial" w:cs="David" w:hint="cs"/>
          <w:b/>
          <w:bCs/>
          <w:rtl/>
        </w:rPr>
        <w:t>עודף הנכסים על ההתחייבויות</w:t>
      </w:r>
      <w:r w:rsidR="00CC3A41" w:rsidRPr="00056554">
        <w:rPr>
          <w:rFonts w:ascii="Arial" w:hAnsi="Arial" w:cs="David" w:hint="cs"/>
          <w:b/>
          <w:bCs/>
          <w:rtl/>
        </w:rPr>
        <w:t xml:space="preserve"> של המשק מול חו"ל</w:t>
      </w:r>
      <w:r w:rsidR="00CE3CF7" w:rsidRPr="00056554">
        <w:rPr>
          <w:rFonts w:ascii="Arial" w:hAnsi="Arial" w:cs="David" w:hint="cs"/>
          <w:rtl/>
        </w:rPr>
        <w:t xml:space="preserve"> </w:t>
      </w:r>
      <w:r w:rsidR="000E6E2D" w:rsidRPr="00056554">
        <w:rPr>
          <w:rFonts w:ascii="Arial" w:hAnsi="Arial" w:cs="David" w:hint="cs"/>
          <w:rtl/>
        </w:rPr>
        <w:t>ירד</w:t>
      </w:r>
      <w:r w:rsidR="00CC3A41" w:rsidRPr="00056554">
        <w:rPr>
          <w:rFonts w:ascii="Arial" w:hAnsi="Arial" w:cs="David" w:hint="cs"/>
          <w:rtl/>
        </w:rPr>
        <w:t xml:space="preserve"> </w:t>
      </w:r>
      <w:r w:rsidR="005C4E3E" w:rsidRPr="00056554">
        <w:rPr>
          <w:rFonts w:ascii="Arial" w:hAnsi="Arial" w:cs="David" w:hint="cs"/>
          <w:rtl/>
        </w:rPr>
        <w:t>במהלך</w:t>
      </w:r>
      <w:r w:rsidR="00B46419" w:rsidRPr="00056554">
        <w:rPr>
          <w:rFonts w:ascii="Arial" w:hAnsi="Arial" w:cs="David" w:hint="cs"/>
          <w:rtl/>
        </w:rPr>
        <w:t xml:space="preserve"> </w:t>
      </w:r>
      <w:r w:rsidR="003558C7" w:rsidRPr="00056554">
        <w:rPr>
          <w:rFonts w:ascii="Arial" w:hAnsi="Arial" w:cs="David" w:hint="cs"/>
          <w:rtl/>
        </w:rPr>
        <w:t>שנת 2014</w:t>
      </w:r>
      <w:r w:rsidR="00CC3A41" w:rsidRPr="00056554">
        <w:rPr>
          <w:rFonts w:ascii="Arial" w:hAnsi="Arial" w:cs="David" w:hint="cs"/>
          <w:rtl/>
        </w:rPr>
        <w:t xml:space="preserve"> </w:t>
      </w:r>
      <w:r w:rsidR="005C4E3E" w:rsidRPr="00056554">
        <w:rPr>
          <w:rFonts w:ascii="Arial" w:hAnsi="Arial" w:cs="David" w:hint="cs"/>
          <w:rtl/>
        </w:rPr>
        <w:t>ב-</w:t>
      </w:r>
      <w:r w:rsidR="00A21C8B" w:rsidRPr="00056554">
        <w:rPr>
          <w:rFonts w:ascii="Arial" w:hAnsi="Arial" w:cs="David" w:hint="cs"/>
          <w:rtl/>
        </w:rPr>
        <w:t>4</w:t>
      </w:r>
      <w:r w:rsidR="00190C5E" w:rsidRPr="00056554">
        <w:rPr>
          <w:rFonts w:ascii="Arial" w:hAnsi="Arial" w:cs="David" w:hint="cs"/>
          <w:rtl/>
        </w:rPr>
        <w:t>.</w:t>
      </w:r>
      <w:r w:rsidR="000E6E2D" w:rsidRPr="00056554">
        <w:rPr>
          <w:rFonts w:ascii="Arial" w:hAnsi="Arial" w:cs="David" w:hint="cs"/>
          <w:rtl/>
        </w:rPr>
        <w:t>8</w:t>
      </w:r>
      <w:r w:rsidR="00ED0781" w:rsidRPr="00056554">
        <w:rPr>
          <w:rFonts w:ascii="Arial" w:hAnsi="Arial" w:cs="David" w:hint="cs"/>
          <w:rtl/>
        </w:rPr>
        <w:t xml:space="preserve"> </w:t>
      </w:r>
      <w:r w:rsidR="002D6205" w:rsidRPr="00056554">
        <w:rPr>
          <w:rFonts w:ascii="Arial" w:hAnsi="Arial" w:cs="David" w:hint="cs"/>
          <w:rtl/>
        </w:rPr>
        <w:t>מיליארדי דולרים</w:t>
      </w:r>
      <w:r w:rsidR="001654D9" w:rsidRPr="00056554">
        <w:rPr>
          <w:rFonts w:ascii="Arial" w:hAnsi="Arial" w:cs="David" w:hint="cs"/>
          <w:rtl/>
        </w:rPr>
        <w:t xml:space="preserve"> (</w:t>
      </w:r>
      <w:r w:rsidR="000E6E2D" w:rsidRPr="00056554">
        <w:rPr>
          <w:rFonts w:ascii="Arial" w:hAnsi="Arial" w:cs="David" w:hint="cs"/>
          <w:rtl/>
        </w:rPr>
        <w:t>7</w:t>
      </w:r>
      <w:r w:rsidR="00190C5E" w:rsidRPr="00056554">
        <w:rPr>
          <w:rFonts w:ascii="Arial" w:hAnsi="Arial" w:cs="David" w:hint="cs"/>
          <w:rtl/>
        </w:rPr>
        <w:t>.</w:t>
      </w:r>
      <w:r w:rsidR="000E6E2D" w:rsidRPr="00056554">
        <w:rPr>
          <w:rFonts w:ascii="Arial" w:hAnsi="Arial" w:cs="David" w:hint="cs"/>
          <w:rtl/>
        </w:rPr>
        <w:t>7</w:t>
      </w:r>
      <w:r w:rsidR="005C4E3E" w:rsidRPr="00056554">
        <w:rPr>
          <w:rFonts w:ascii="Arial" w:hAnsi="Arial" w:cs="David" w:hint="cs"/>
          <w:rtl/>
        </w:rPr>
        <w:t>%</w:t>
      </w:r>
      <w:r w:rsidR="001654D9" w:rsidRPr="00056554">
        <w:rPr>
          <w:rFonts w:ascii="Arial" w:hAnsi="Arial" w:cs="David" w:hint="cs"/>
          <w:rtl/>
        </w:rPr>
        <w:t>)</w:t>
      </w:r>
      <w:r w:rsidR="006676D5" w:rsidRPr="00056554">
        <w:rPr>
          <w:rFonts w:ascii="Arial" w:hAnsi="Arial" w:cs="David" w:hint="cs"/>
          <w:rtl/>
        </w:rPr>
        <w:t xml:space="preserve"> </w:t>
      </w:r>
      <w:r w:rsidR="007057B4" w:rsidRPr="00056554">
        <w:rPr>
          <w:rFonts w:ascii="Arial" w:hAnsi="Arial" w:cs="David" w:hint="cs"/>
          <w:rtl/>
        </w:rPr>
        <w:t xml:space="preserve">ועמד </w:t>
      </w:r>
      <w:r w:rsidR="00B46419" w:rsidRPr="00056554">
        <w:rPr>
          <w:rFonts w:ascii="Arial" w:hAnsi="Arial" w:cs="David" w:hint="cs"/>
          <w:rtl/>
        </w:rPr>
        <w:t>ב</w:t>
      </w:r>
      <w:r w:rsidR="000E2DCA" w:rsidRPr="00056554">
        <w:rPr>
          <w:rFonts w:ascii="Arial" w:hAnsi="Arial" w:cs="David" w:hint="cs"/>
          <w:rtl/>
        </w:rPr>
        <w:t xml:space="preserve">סוף </w:t>
      </w:r>
      <w:r w:rsidR="00A21C8B" w:rsidRPr="00056554">
        <w:rPr>
          <w:rFonts w:ascii="Arial" w:hAnsi="Arial" w:cs="David" w:hint="cs"/>
          <w:rtl/>
        </w:rPr>
        <w:t>דצמבר</w:t>
      </w:r>
      <w:r w:rsidR="004C7474" w:rsidRPr="00056554">
        <w:rPr>
          <w:rFonts w:ascii="Arial" w:hAnsi="Arial" w:cs="David" w:hint="cs"/>
          <w:rtl/>
        </w:rPr>
        <w:t xml:space="preserve"> </w:t>
      </w:r>
      <w:r w:rsidR="007057B4" w:rsidRPr="00056554">
        <w:rPr>
          <w:rFonts w:ascii="Arial" w:hAnsi="Arial" w:cs="David" w:hint="cs"/>
          <w:rtl/>
        </w:rPr>
        <w:t>על</w:t>
      </w:r>
      <w:r w:rsidR="00D258EC" w:rsidRPr="00056554">
        <w:rPr>
          <w:rFonts w:ascii="Arial" w:hAnsi="Arial" w:cs="David" w:hint="cs"/>
          <w:rtl/>
        </w:rPr>
        <w:t xml:space="preserve"> </w:t>
      </w:r>
      <w:r w:rsidR="00190C5E" w:rsidRPr="00056554">
        <w:rPr>
          <w:rFonts w:ascii="Arial" w:hAnsi="Arial" w:cs="David" w:hint="cs"/>
          <w:rtl/>
        </w:rPr>
        <w:t>5</w:t>
      </w:r>
      <w:r w:rsidR="00A21C8B" w:rsidRPr="00056554">
        <w:rPr>
          <w:rFonts w:ascii="Arial" w:hAnsi="Arial" w:cs="David" w:hint="cs"/>
          <w:rtl/>
        </w:rPr>
        <w:t>7</w:t>
      </w:r>
      <w:r w:rsidR="007057B4" w:rsidRPr="00056554">
        <w:rPr>
          <w:rFonts w:ascii="Arial" w:hAnsi="Arial" w:cs="David" w:hint="cs"/>
          <w:rtl/>
        </w:rPr>
        <w:t xml:space="preserve"> מיליארדי דולרים. </w:t>
      </w:r>
      <w:r w:rsidR="00CC3A41" w:rsidRPr="00056554">
        <w:rPr>
          <w:rFonts w:ascii="Arial" w:hAnsi="Arial" w:cs="David" w:hint="cs"/>
          <w:rtl/>
        </w:rPr>
        <w:t>כך נמסר מהחטיבה למידע ולסטטיסטיקה בבנק ישראל.</w:t>
      </w:r>
      <w:r w:rsidR="00F62040" w:rsidRPr="00056554">
        <w:rPr>
          <w:rFonts w:ascii="Arial" w:hAnsi="Arial" w:cs="David" w:hint="cs"/>
          <w:rtl/>
        </w:rPr>
        <w:t xml:space="preserve"> </w:t>
      </w:r>
    </w:p>
    <w:p w:rsidR="001E5E5C" w:rsidRDefault="00A16F73" w:rsidP="002D557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A16F73">
        <w:rPr>
          <w:rFonts w:ascii="Arial" w:hAnsi="Arial" w:cs="David" w:hint="cs"/>
          <w:rtl/>
        </w:rPr>
        <w:t xml:space="preserve">עלייה </w:t>
      </w:r>
      <w:r w:rsidR="0000797B">
        <w:rPr>
          <w:rFonts w:ascii="Arial" w:hAnsi="Arial" w:cs="David" w:hint="cs"/>
          <w:rtl/>
        </w:rPr>
        <w:t xml:space="preserve">של </w:t>
      </w:r>
      <w:r w:rsidR="000E6E2D">
        <w:rPr>
          <w:rFonts w:ascii="Arial" w:hAnsi="Arial" w:cs="David" w:hint="cs"/>
          <w:rtl/>
        </w:rPr>
        <w:t>27.3</w:t>
      </w:r>
      <w:r w:rsidR="0000797B">
        <w:rPr>
          <w:rFonts w:ascii="Arial" w:hAnsi="Arial" w:cs="David" w:hint="cs"/>
          <w:rtl/>
        </w:rPr>
        <w:t xml:space="preserve"> </w:t>
      </w:r>
      <w:r w:rsidR="0000797B" w:rsidRPr="00A16F73">
        <w:rPr>
          <w:rFonts w:ascii="Arial" w:hAnsi="Arial" w:cs="David" w:hint="cs"/>
          <w:rtl/>
        </w:rPr>
        <w:t>מיליארדי דולרים (</w:t>
      </w:r>
      <w:r w:rsidR="00A55860">
        <w:rPr>
          <w:rFonts w:ascii="Arial" w:hAnsi="Arial" w:cs="David" w:hint="cs"/>
          <w:rtl/>
        </w:rPr>
        <w:t>10</w:t>
      </w:r>
      <w:r w:rsidR="0000797B">
        <w:rPr>
          <w:rFonts w:ascii="Arial" w:hAnsi="Arial" w:cs="David" w:hint="cs"/>
          <w:rtl/>
        </w:rPr>
        <w:t>.</w:t>
      </w:r>
      <w:r w:rsidR="00A55860">
        <w:rPr>
          <w:rFonts w:ascii="Arial" w:hAnsi="Arial" w:cs="David" w:hint="cs"/>
          <w:rtl/>
        </w:rPr>
        <w:t>9</w:t>
      </w:r>
      <w:r w:rsidR="0000797B" w:rsidRPr="00A16F73">
        <w:rPr>
          <w:rFonts w:ascii="Arial" w:hAnsi="Arial" w:cs="David" w:hint="cs"/>
          <w:rtl/>
        </w:rPr>
        <w:t>%)</w:t>
      </w:r>
      <w:r w:rsidR="0000797B">
        <w:rPr>
          <w:rFonts w:ascii="Arial" w:hAnsi="Arial" w:cs="David" w:hint="cs"/>
          <w:rtl/>
        </w:rPr>
        <w:t xml:space="preserve">, </w:t>
      </w:r>
      <w:r w:rsidR="00ED0781" w:rsidRPr="00A16F73">
        <w:rPr>
          <w:rFonts w:ascii="Arial" w:hAnsi="Arial" w:cs="David" w:hint="cs"/>
          <w:rtl/>
        </w:rPr>
        <w:t xml:space="preserve">בשווי יתרת </w:t>
      </w:r>
      <w:r w:rsidR="000E1CA2">
        <w:rPr>
          <w:rFonts w:ascii="Arial" w:hAnsi="Arial" w:cs="David" w:hint="cs"/>
          <w:rtl/>
        </w:rPr>
        <w:t>ההתחייבויות של המשק לתושבי חוץ</w:t>
      </w:r>
      <w:r w:rsidR="000E6E2D">
        <w:rPr>
          <w:rFonts w:ascii="Arial" w:hAnsi="Arial" w:cs="David" w:hint="cs"/>
          <w:rtl/>
        </w:rPr>
        <w:t xml:space="preserve"> קוזזה </w:t>
      </w:r>
      <w:r w:rsidR="00217D61">
        <w:rPr>
          <w:rFonts w:ascii="Arial" w:hAnsi="Arial" w:cs="David" w:hint="cs"/>
          <w:rtl/>
        </w:rPr>
        <w:t xml:space="preserve">בחלקה </w:t>
      </w:r>
      <w:r w:rsidR="000E6E2D">
        <w:rPr>
          <w:rFonts w:ascii="Arial" w:hAnsi="Arial" w:cs="David" w:hint="cs"/>
          <w:rtl/>
        </w:rPr>
        <w:t>בעלייה של 22.5 מיליארדי דולרים (</w:t>
      </w:r>
      <w:r w:rsidR="00A55860">
        <w:rPr>
          <w:rFonts w:ascii="Arial" w:hAnsi="Arial" w:cs="David" w:hint="cs"/>
          <w:rtl/>
        </w:rPr>
        <w:t>7</w:t>
      </w:r>
      <w:r w:rsidR="000E6E2D">
        <w:rPr>
          <w:rFonts w:ascii="Arial" w:hAnsi="Arial" w:cs="David" w:hint="cs"/>
          <w:rtl/>
        </w:rPr>
        <w:t>.</w:t>
      </w:r>
      <w:r w:rsidR="00A55860">
        <w:rPr>
          <w:rFonts w:ascii="Arial" w:hAnsi="Arial" w:cs="David" w:hint="cs"/>
          <w:rtl/>
        </w:rPr>
        <w:t>2</w:t>
      </w:r>
      <w:r w:rsidR="000E6E2D">
        <w:rPr>
          <w:rFonts w:ascii="Arial" w:hAnsi="Arial" w:cs="David" w:hint="cs"/>
          <w:rtl/>
        </w:rPr>
        <w:t xml:space="preserve">%) בשווי יתרת </w:t>
      </w:r>
      <w:r w:rsidR="00ED0781">
        <w:rPr>
          <w:rFonts w:ascii="Arial" w:hAnsi="Arial" w:cs="David" w:hint="cs"/>
          <w:rtl/>
        </w:rPr>
        <w:t>ה</w:t>
      </w:r>
      <w:r w:rsidR="00A21C8B">
        <w:rPr>
          <w:rFonts w:ascii="Arial" w:hAnsi="Arial" w:cs="David" w:hint="cs"/>
          <w:rtl/>
        </w:rPr>
        <w:t>נכסים</w:t>
      </w:r>
      <w:r w:rsidR="00ED0781" w:rsidRPr="00A16F73">
        <w:rPr>
          <w:rFonts w:ascii="Arial" w:hAnsi="Arial" w:cs="David" w:hint="cs"/>
          <w:rtl/>
        </w:rPr>
        <w:t xml:space="preserve"> של המשק </w:t>
      </w:r>
      <w:r w:rsidR="00A21C8B">
        <w:rPr>
          <w:rFonts w:ascii="Arial" w:hAnsi="Arial" w:cs="David" w:hint="cs"/>
          <w:rtl/>
        </w:rPr>
        <w:t>בחו"ל</w:t>
      </w:r>
      <w:r w:rsidR="0000797B">
        <w:rPr>
          <w:rFonts w:ascii="Arial" w:hAnsi="Arial" w:cs="David" w:hint="cs"/>
          <w:rtl/>
        </w:rPr>
        <w:t xml:space="preserve"> </w:t>
      </w:r>
      <w:r w:rsidR="005551D7" w:rsidRPr="003F3174">
        <w:rPr>
          <w:rFonts w:ascii="Arial" w:hAnsi="Arial" w:cs="David" w:hint="cs"/>
          <w:rtl/>
        </w:rPr>
        <w:t>(תרשים 1)</w:t>
      </w:r>
      <w:r w:rsidR="0080374B" w:rsidRPr="003F3174">
        <w:rPr>
          <w:rFonts w:ascii="Arial" w:hAnsi="Arial" w:cs="David" w:hint="cs"/>
          <w:rtl/>
        </w:rPr>
        <w:t xml:space="preserve">. </w:t>
      </w:r>
    </w:p>
    <w:p w:rsidR="00616683" w:rsidRDefault="001E5E5C" w:rsidP="002D557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AF6E37">
        <w:rPr>
          <w:rFonts w:ascii="Arial" w:hAnsi="Arial" w:cs="David" w:hint="cs"/>
          <w:rtl/>
        </w:rPr>
        <w:t>העלייה ב</w:t>
      </w:r>
      <w:r>
        <w:rPr>
          <w:rFonts w:ascii="Arial" w:hAnsi="Arial" w:cs="David" w:hint="cs"/>
          <w:rtl/>
        </w:rPr>
        <w:t>שווי יתרת ה</w:t>
      </w:r>
      <w:r w:rsidRPr="00AF6E37">
        <w:rPr>
          <w:rFonts w:ascii="Arial" w:hAnsi="Arial" w:cs="David" w:hint="cs"/>
          <w:rtl/>
        </w:rPr>
        <w:t xml:space="preserve">התחייבויות ברוטו של המשק </w:t>
      </w:r>
      <w:r>
        <w:rPr>
          <w:rFonts w:ascii="Arial" w:hAnsi="Arial" w:cs="David" w:hint="cs"/>
          <w:rtl/>
        </w:rPr>
        <w:t xml:space="preserve">שיקפה, </w:t>
      </w:r>
      <w:r w:rsidR="00DC2F19">
        <w:rPr>
          <w:rFonts w:ascii="Arial" w:hAnsi="Arial" w:cs="David" w:hint="cs"/>
          <w:rtl/>
        </w:rPr>
        <w:t>במהלך השנה</w:t>
      </w:r>
      <w:r>
        <w:rPr>
          <w:rFonts w:ascii="Arial" w:hAnsi="Arial" w:cs="David" w:hint="cs"/>
          <w:rtl/>
        </w:rPr>
        <w:t>,</w:t>
      </w:r>
      <w:r w:rsidRPr="00AF6E37">
        <w:rPr>
          <w:rFonts w:ascii="Arial" w:hAnsi="Arial" w:cs="David" w:hint="cs"/>
          <w:rtl/>
        </w:rPr>
        <w:t xml:space="preserve"> בעיקר עלייה במחירי המניות שמחזיקים תושבי חוץ</w:t>
      </w:r>
      <w:r>
        <w:rPr>
          <w:rFonts w:ascii="Arial" w:hAnsi="Arial" w:cs="David" w:hint="cs"/>
          <w:rtl/>
        </w:rPr>
        <w:t xml:space="preserve">, </w:t>
      </w:r>
      <w:r w:rsidR="002926E9">
        <w:rPr>
          <w:rFonts w:ascii="Arial" w:hAnsi="Arial" w:cs="David" w:hint="cs"/>
          <w:rtl/>
        </w:rPr>
        <w:t>ו</w:t>
      </w:r>
      <w:r w:rsidR="00E95830">
        <w:rPr>
          <w:rFonts w:ascii="Arial" w:hAnsi="Arial" w:cs="David" w:hint="cs"/>
          <w:rtl/>
        </w:rPr>
        <w:t xml:space="preserve">אילו </w:t>
      </w:r>
      <w:r w:rsidR="002926E9">
        <w:rPr>
          <w:rFonts w:ascii="Arial" w:hAnsi="Arial" w:cs="David" w:hint="cs"/>
          <w:rtl/>
        </w:rPr>
        <w:t xml:space="preserve">העלייה בשווי הנכסים של תושבי ישראל בחו"ל שיקפה בעיקר זרם השקעות משמעותי בכל האפיקים שהסתכם ב-25 מיליארד דולרים. </w:t>
      </w:r>
    </w:p>
    <w:p w:rsidR="001E5E5C" w:rsidRDefault="00E95830" w:rsidP="002D5576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562E06">
        <w:rPr>
          <w:rFonts w:ascii="Arial" w:hAnsi="Arial" w:cs="David" w:hint="cs"/>
          <w:b/>
          <w:bCs/>
          <w:rtl/>
        </w:rPr>
        <w:t xml:space="preserve">תופעה בולטת ב-2014 </w:t>
      </w:r>
      <w:r w:rsidR="00616683" w:rsidRPr="00562E06">
        <w:rPr>
          <w:rFonts w:ascii="Arial" w:hAnsi="Arial" w:cs="David" w:hint="cs"/>
          <w:b/>
          <w:bCs/>
          <w:rtl/>
        </w:rPr>
        <w:t>-</w:t>
      </w:r>
      <w:r w:rsidR="00616683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זרם ההשקעות של תושבי ישראל בחו"ל היה גבוה בכ-15 מיליארדי דולר </w:t>
      </w:r>
      <w:r w:rsidR="00616683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זרם ההשקעות של תושבי חוץ במשק</w:t>
      </w:r>
      <w:r w:rsidR="00616683">
        <w:rPr>
          <w:rFonts w:ascii="Arial" w:hAnsi="Arial" w:cs="David" w:hint="cs"/>
          <w:rtl/>
        </w:rPr>
        <w:t>;</w:t>
      </w:r>
      <w:r>
        <w:rPr>
          <w:rFonts w:ascii="Arial" w:hAnsi="Arial" w:cs="David" w:hint="cs"/>
          <w:rtl/>
        </w:rPr>
        <w:t xml:space="preserve"> </w:t>
      </w:r>
      <w:r w:rsidR="00616683">
        <w:rPr>
          <w:rFonts w:ascii="Arial" w:hAnsi="Arial" w:cs="David" w:hint="cs"/>
          <w:rtl/>
        </w:rPr>
        <w:t>לעומת זאת,</w:t>
      </w:r>
      <w:r>
        <w:rPr>
          <w:rFonts w:ascii="Arial" w:hAnsi="Arial" w:cs="David" w:hint="cs"/>
          <w:rtl/>
        </w:rPr>
        <w:t xml:space="preserve"> השפעת המחירים ושערי החליפין על</w:t>
      </w:r>
      <w:r w:rsidR="00616683">
        <w:rPr>
          <w:rFonts w:ascii="Arial" w:hAnsi="Arial" w:cs="David" w:hint="cs"/>
          <w:rtl/>
        </w:rPr>
        <w:t xml:space="preserve"> גידול</w:t>
      </w:r>
      <w:r>
        <w:rPr>
          <w:rFonts w:ascii="Arial" w:hAnsi="Arial" w:cs="David" w:hint="cs"/>
          <w:rtl/>
        </w:rPr>
        <w:t xml:space="preserve"> </w:t>
      </w:r>
      <w:r w:rsidR="00616683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שווי יתרת ההתחייבויות הייתה גבוהה בכ-20 מיליארדי דולרים מהשפעתה על שווי יתרת הנכסים של המשק, וכתוצאה קטן השנה</w:t>
      </w:r>
      <w:r w:rsidR="00217D61">
        <w:rPr>
          <w:rFonts w:ascii="Arial" w:hAnsi="Arial" w:cs="David" w:hint="cs"/>
          <w:rtl/>
        </w:rPr>
        <w:t xml:space="preserve"> עודף הנכסים של המשק,</w:t>
      </w:r>
      <w:r>
        <w:rPr>
          <w:rFonts w:ascii="Arial" w:hAnsi="Arial" w:cs="David" w:hint="cs"/>
          <w:rtl/>
        </w:rPr>
        <w:t xml:space="preserve"> לראש</w:t>
      </w:r>
      <w:r w:rsidR="00616683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>נה</w:t>
      </w:r>
      <w:r w:rsidR="00616683">
        <w:rPr>
          <w:rFonts w:ascii="Arial" w:hAnsi="Arial" w:cs="David" w:hint="cs"/>
          <w:rtl/>
        </w:rPr>
        <w:t xml:space="preserve"> מ</w:t>
      </w:r>
      <w:r w:rsidR="00217D61">
        <w:rPr>
          <w:rFonts w:ascii="Arial" w:hAnsi="Arial" w:cs="David" w:hint="cs"/>
          <w:rtl/>
        </w:rPr>
        <w:t>אז</w:t>
      </w:r>
      <w:r w:rsidR="00616683">
        <w:rPr>
          <w:rFonts w:ascii="Arial" w:hAnsi="Arial" w:cs="David" w:hint="cs"/>
          <w:rtl/>
        </w:rPr>
        <w:t xml:space="preserve"> </w:t>
      </w:r>
      <w:r w:rsidR="00217D61">
        <w:rPr>
          <w:rFonts w:ascii="Arial" w:hAnsi="Arial" w:cs="David" w:hint="cs"/>
          <w:rtl/>
        </w:rPr>
        <w:t>2009.</w:t>
      </w:r>
      <w:r w:rsidR="00616683">
        <w:rPr>
          <w:rFonts w:ascii="Arial" w:hAnsi="Arial" w:cs="David" w:hint="cs"/>
          <w:rtl/>
        </w:rPr>
        <w:t xml:space="preserve"> </w:t>
      </w:r>
      <w:r w:rsidR="001E5E5C">
        <w:rPr>
          <w:rFonts w:ascii="Arial" w:hAnsi="Arial" w:cs="David" w:hint="cs"/>
          <w:rtl/>
        </w:rPr>
        <w:t xml:space="preserve"> </w:t>
      </w:r>
      <w:r w:rsidR="003C2C27">
        <w:rPr>
          <w:rFonts w:ascii="Arial" w:hAnsi="Arial" w:cs="David" w:hint="cs"/>
          <w:rtl/>
        </w:rPr>
        <w:t>נזכיר כי, תושבי חוץ מחזיקים במניות של מספר מצומצם של חברות ישראליות גדולות ששווין גדל  בשיעורים ניכרים, בעיקר במחצית הראשונה של השנה.</w:t>
      </w:r>
    </w:p>
    <w:p w:rsidR="00A16F73" w:rsidRDefault="000E79EF" w:rsidP="00056554">
      <w:pPr>
        <w:spacing w:line="360" w:lineRule="auto"/>
        <w:ind w:right="426"/>
        <w:jc w:val="both"/>
        <w:rPr>
          <w:rFonts w:ascii="Arial" w:hAnsi="Arial" w:cs="David" w:hint="cs"/>
          <w:rtl/>
        </w:rPr>
      </w:pPr>
      <w:r w:rsidRPr="00056554">
        <w:rPr>
          <w:rFonts w:ascii="Arial" w:hAnsi="Arial" w:cs="David" w:hint="cs"/>
          <w:b/>
          <w:bCs/>
          <w:rtl/>
        </w:rPr>
        <w:t>ברביע הרביעי</w:t>
      </w:r>
      <w:r>
        <w:rPr>
          <w:rFonts w:ascii="Arial" w:hAnsi="Arial" w:cs="David" w:hint="cs"/>
          <w:rtl/>
        </w:rPr>
        <w:t xml:space="preserve"> של השנה נעצרה מגמת הירידה בעודף הנכסים של המשק, והוא גדל</w:t>
      </w:r>
      <w:r w:rsidR="00E9583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E95830">
        <w:rPr>
          <w:rFonts w:ascii="Arial" w:hAnsi="Arial" w:cs="David" w:hint="cs"/>
          <w:rtl/>
        </w:rPr>
        <w:t>כ-5 מיליארדי דולרים</w:t>
      </w:r>
      <w:r w:rsidR="00E95830">
        <w:rPr>
          <w:rFonts w:ascii="Arial" w:hAnsi="Arial" w:cs="David"/>
          <w:rtl/>
        </w:rPr>
        <w:t>–</w:t>
      </w:r>
      <w:r w:rsidR="00E95830">
        <w:rPr>
          <w:rFonts w:ascii="Arial" w:hAnsi="Arial" w:cs="David" w:hint="cs"/>
          <w:rtl/>
        </w:rPr>
        <w:t xml:space="preserve"> המשך גידול בזרם ההשקעות בחו"ל</w:t>
      </w:r>
      <w:r>
        <w:rPr>
          <w:rFonts w:ascii="Arial" w:hAnsi="Arial" w:cs="David" w:hint="cs"/>
          <w:rtl/>
        </w:rPr>
        <w:t>,</w:t>
      </w:r>
      <w:r w:rsidR="00E95830">
        <w:rPr>
          <w:rFonts w:ascii="Arial" w:hAnsi="Arial" w:cs="David" w:hint="cs"/>
          <w:rtl/>
        </w:rPr>
        <w:t xml:space="preserve"> </w:t>
      </w:r>
      <w:r w:rsidR="00616683">
        <w:rPr>
          <w:rFonts w:ascii="Arial" w:hAnsi="Arial" w:cs="David" w:hint="cs"/>
          <w:rtl/>
        </w:rPr>
        <w:t xml:space="preserve">אשר </w:t>
      </w:r>
      <w:r w:rsidR="00E95830">
        <w:rPr>
          <w:rFonts w:ascii="Arial" w:hAnsi="Arial" w:cs="David" w:hint="cs"/>
          <w:rtl/>
        </w:rPr>
        <w:t xml:space="preserve">לא לווה בגידול </w:t>
      </w:r>
      <w:r w:rsidR="00892150">
        <w:rPr>
          <w:rFonts w:ascii="Arial" w:hAnsi="Arial" w:cs="David" w:hint="cs"/>
          <w:rtl/>
        </w:rPr>
        <w:t xml:space="preserve"> ביתרת ההתחייבויות של המשק. </w:t>
      </w:r>
    </w:p>
    <w:p w:rsidR="007022B2" w:rsidRDefault="00056554" w:rsidP="005C4E3E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37" name="תמונה 37" descr="תרשים 1: עודף הנכסים על התחייבויות של משק מול חו&quot;ל" title="תרשים 1: עודף הנכסים על התחייבויות של 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096" w:rsidRPr="003F3174" w:rsidRDefault="00854096" w:rsidP="005C0E25">
      <w:pPr>
        <w:tabs>
          <w:tab w:val="left" w:pos="6120"/>
        </w:tabs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</w:p>
    <w:p w:rsidR="00EA785C" w:rsidRPr="00056554" w:rsidRDefault="004C7474" w:rsidP="00056554">
      <w:pPr>
        <w:pStyle w:val="ab"/>
        <w:numPr>
          <w:ilvl w:val="0"/>
          <w:numId w:val="11"/>
        </w:numPr>
        <w:spacing w:line="360" w:lineRule="auto"/>
        <w:jc w:val="both"/>
        <w:rPr>
          <w:rFonts w:ascii="Arial" w:hAnsi="Arial" w:cs="David" w:hint="cs"/>
          <w:rtl/>
        </w:rPr>
      </w:pPr>
      <w:r w:rsidRPr="00056554">
        <w:rPr>
          <w:rFonts w:ascii="Arial" w:hAnsi="Arial" w:cs="David" w:hint="cs"/>
          <w:b/>
          <w:bCs/>
          <w:rtl/>
        </w:rPr>
        <w:t>שווי תיק</w:t>
      </w:r>
      <w:r w:rsidR="00393B21" w:rsidRPr="00056554">
        <w:rPr>
          <w:rFonts w:ascii="Arial" w:hAnsi="Arial" w:cs="David" w:hint="cs"/>
          <w:b/>
          <w:bCs/>
          <w:rtl/>
        </w:rPr>
        <w:t xml:space="preserve"> הנכסים של </w:t>
      </w:r>
      <w:r w:rsidR="00172E92" w:rsidRPr="00056554">
        <w:rPr>
          <w:rFonts w:ascii="Arial" w:hAnsi="Arial" w:cs="David" w:hint="cs"/>
          <w:b/>
          <w:bCs/>
          <w:rtl/>
        </w:rPr>
        <w:t>תושבי ישראל</w:t>
      </w:r>
      <w:r w:rsidR="00393B21" w:rsidRPr="00056554">
        <w:rPr>
          <w:rFonts w:ascii="Arial" w:hAnsi="Arial" w:cs="David" w:hint="cs"/>
          <w:b/>
          <w:bCs/>
          <w:rtl/>
        </w:rPr>
        <w:t xml:space="preserve"> בחו"ל </w:t>
      </w:r>
      <w:r w:rsidR="00CC3A41" w:rsidRPr="00056554">
        <w:rPr>
          <w:rFonts w:ascii="Arial" w:hAnsi="Arial" w:cs="David" w:hint="cs"/>
          <w:b/>
          <w:bCs/>
          <w:rtl/>
        </w:rPr>
        <w:t xml:space="preserve"> </w:t>
      </w:r>
      <w:r w:rsidR="006F5656" w:rsidRPr="00056554">
        <w:rPr>
          <w:rFonts w:ascii="Arial" w:hAnsi="Arial" w:cs="David" w:hint="cs"/>
          <w:rtl/>
        </w:rPr>
        <w:t>עלה</w:t>
      </w:r>
      <w:r w:rsidR="00C11C89" w:rsidRPr="00056554">
        <w:rPr>
          <w:rFonts w:ascii="Arial" w:hAnsi="Arial" w:cs="David" w:hint="cs"/>
          <w:rtl/>
        </w:rPr>
        <w:t xml:space="preserve"> </w:t>
      </w:r>
      <w:r w:rsidR="00931172" w:rsidRPr="00056554">
        <w:rPr>
          <w:rFonts w:ascii="Arial" w:hAnsi="Arial" w:cs="David" w:hint="cs"/>
          <w:rtl/>
        </w:rPr>
        <w:t>ב</w:t>
      </w:r>
      <w:r w:rsidR="006A2664" w:rsidRPr="00056554">
        <w:rPr>
          <w:rFonts w:ascii="Arial" w:hAnsi="Arial" w:cs="David" w:hint="cs"/>
          <w:rtl/>
        </w:rPr>
        <w:t>שנת 2014 ב</w:t>
      </w:r>
      <w:r w:rsidR="00687F2A" w:rsidRPr="00056554">
        <w:rPr>
          <w:rFonts w:ascii="Arial" w:hAnsi="Arial" w:cs="David" w:hint="cs"/>
          <w:rtl/>
        </w:rPr>
        <w:t>-</w:t>
      </w:r>
      <w:r w:rsidR="00931172" w:rsidRPr="00056554">
        <w:rPr>
          <w:rFonts w:ascii="Arial" w:hAnsi="Arial" w:cs="David" w:hint="cs"/>
          <w:rtl/>
        </w:rPr>
        <w:t>22.5</w:t>
      </w:r>
      <w:r w:rsidR="005A02F2" w:rsidRPr="00056554">
        <w:rPr>
          <w:rFonts w:ascii="Arial" w:hAnsi="Arial" w:cs="David" w:hint="cs"/>
          <w:rtl/>
        </w:rPr>
        <w:t xml:space="preserve"> </w:t>
      </w:r>
      <w:r w:rsidR="00287759" w:rsidRPr="00056554">
        <w:rPr>
          <w:rFonts w:ascii="Arial" w:hAnsi="Arial" w:cs="David" w:hint="cs"/>
          <w:rtl/>
        </w:rPr>
        <w:t>מיליארדי</w:t>
      </w:r>
      <w:r w:rsidR="00C11C89" w:rsidRPr="00056554">
        <w:rPr>
          <w:rFonts w:ascii="Arial" w:hAnsi="Arial" w:cs="David" w:hint="cs"/>
          <w:rtl/>
        </w:rPr>
        <w:t xml:space="preserve"> </w:t>
      </w:r>
      <w:r w:rsidR="00687F2A" w:rsidRPr="00056554">
        <w:rPr>
          <w:rFonts w:ascii="Arial" w:hAnsi="Arial" w:cs="David" w:hint="cs"/>
          <w:rtl/>
        </w:rPr>
        <w:t>דולרים</w:t>
      </w:r>
      <w:r w:rsidR="00CB7AE3" w:rsidRPr="00056554">
        <w:rPr>
          <w:rFonts w:ascii="Arial" w:hAnsi="Arial" w:cs="David" w:hint="cs"/>
          <w:rtl/>
        </w:rPr>
        <w:t xml:space="preserve"> (</w:t>
      </w:r>
      <w:r w:rsidR="00931172" w:rsidRPr="00056554">
        <w:rPr>
          <w:rFonts w:ascii="Arial" w:hAnsi="Arial" w:cs="David" w:hint="cs"/>
          <w:rtl/>
        </w:rPr>
        <w:t>7</w:t>
      </w:r>
      <w:r w:rsidR="008960A5" w:rsidRPr="00056554">
        <w:rPr>
          <w:rFonts w:ascii="Arial" w:hAnsi="Arial" w:cs="David" w:hint="cs"/>
          <w:rtl/>
        </w:rPr>
        <w:t>.</w:t>
      </w:r>
      <w:r w:rsidR="00931172" w:rsidRPr="00056554">
        <w:rPr>
          <w:rFonts w:ascii="Arial" w:hAnsi="Arial" w:cs="David" w:hint="cs"/>
          <w:rtl/>
        </w:rPr>
        <w:t>2</w:t>
      </w:r>
      <w:r w:rsidR="00CB7AE3" w:rsidRPr="00056554">
        <w:rPr>
          <w:rFonts w:ascii="Arial" w:hAnsi="Arial" w:cs="David" w:hint="cs"/>
          <w:rtl/>
        </w:rPr>
        <w:t>%)</w:t>
      </w:r>
      <w:r w:rsidR="00800C53" w:rsidRPr="00056554">
        <w:rPr>
          <w:rFonts w:ascii="Arial" w:hAnsi="Arial" w:cs="David" w:hint="cs"/>
          <w:rtl/>
        </w:rPr>
        <w:t xml:space="preserve"> </w:t>
      </w:r>
      <w:r w:rsidR="006A2664" w:rsidRPr="00056554">
        <w:rPr>
          <w:rFonts w:ascii="Arial" w:hAnsi="Arial" w:cs="David" w:hint="cs"/>
          <w:rtl/>
        </w:rPr>
        <w:t>ועמד</w:t>
      </w:r>
      <w:r w:rsidR="00393B21" w:rsidRPr="00056554">
        <w:rPr>
          <w:rFonts w:ascii="Arial" w:hAnsi="Arial" w:cs="David" w:hint="cs"/>
          <w:rtl/>
        </w:rPr>
        <w:t xml:space="preserve"> בסוף </w:t>
      </w:r>
      <w:r w:rsidR="00F96FB7" w:rsidRPr="00056554">
        <w:rPr>
          <w:rFonts w:ascii="Arial" w:hAnsi="Arial" w:cs="David" w:hint="cs"/>
          <w:rtl/>
        </w:rPr>
        <w:t>דצמבר</w:t>
      </w:r>
      <w:r w:rsidR="00F50EC0" w:rsidRPr="00056554">
        <w:rPr>
          <w:rFonts w:ascii="Arial" w:hAnsi="Arial" w:cs="David" w:hint="cs"/>
          <w:rtl/>
        </w:rPr>
        <w:t xml:space="preserve"> </w:t>
      </w:r>
      <w:r w:rsidR="00E91B53" w:rsidRPr="00056554">
        <w:rPr>
          <w:rFonts w:ascii="Arial" w:hAnsi="Arial" w:cs="David" w:hint="cs"/>
          <w:rtl/>
        </w:rPr>
        <w:t xml:space="preserve">על </w:t>
      </w:r>
      <w:r w:rsidR="00393B21" w:rsidRPr="00056554">
        <w:rPr>
          <w:rFonts w:ascii="Arial" w:hAnsi="Arial" w:cs="David" w:hint="cs"/>
          <w:rtl/>
        </w:rPr>
        <w:t>כ</w:t>
      </w:r>
      <w:r w:rsidR="008960A5" w:rsidRPr="00056554">
        <w:rPr>
          <w:rFonts w:ascii="Arial" w:hAnsi="Arial" w:cs="David" w:hint="cs"/>
          <w:rtl/>
        </w:rPr>
        <w:t>-</w:t>
      </w:r>
      <w:r w:rsidR="00F96FB7" w:rsidRPr="00056554">
        <w:rPr>
          <w:rFonts w:ascii="Arial" w:hAnsi="Arial" w:cs="David" w:hint="cs"/>
          <w:rtl/>
        </w:rPr>
        <w:t>334</w:t>
      </w:r>
      <w:r w:rsidR="00BC4789" w:rsidRPr="00056554">
        <w:rPr>
          <w:rFonts w:ascii="Arial" w:hAnsi="Arial" w:cs="David" w:hint="cs"/>
          <w:rtl/>
        </w:rPr>
        <w:t xml:space="preserve"> </w:t>
      </w:r>
      <w:r w:rsidR="00393B21" w:rsidRPr="00056554">
        <w:rPr>
          <w:rFonts w:ascii="Arial" w:hAnsi="Arial" w:cs="David" w:hint="cs"/>
          <w:rtl/>
        </w:rPr>
        <w:t>מיליארדי</w:t>
      </w:r>
      <w:r w:rsidR="007D14BB" w:rsidRPr="00056554">
        <w:rPr>
          <w:rFonts w:ascii="Arial" w:hAnsi="Arial" w:cs="David" w:hint="cs"/>
          <w:rtl/>
        </w:rPr>
        <w:t xml:space="preserve"> דולרים</w:t>
      </w:r>
      <w:r w:rsidR="00BE41CB" w:rsidRPr="00056554">
        <w:rPr>
          <w:rFonts w:ascii="Arial" w:hAnsi="Arial" w:cs="David" w:hint="cs"/>
          <w:rtl/>
        </w:rPr>
        <w:t xml:space="preserve">. </w:t>
      </w:r>
      <w:r w:rsidR="000E79EF" w:rsidRPr="00056554">
        <w:rPr>
          <w:rFonts w:ascii="Arial" w:hAnsi="Arial" w:cs="David" w:hint="cs"/>
          <w:rtl/>
        </w:rPr>
        <w:t>הגידול בתיק הנכסים שיקף בעיקר זרם השקעות משמעותי בכל האפיקים שהסתכם בכ-25 מיליארדי דולרים.</w:t>
      </w:r>
    </w:p>
    <w:p w:rsidR="004E1C27" w:rsidRPr="003F3174" w:rsidRDefault="00EF0BFB" w:rsidP="00141769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 w:rsidRPr="00C4262A">
        <w:rPr>
          <w:rFonts w:ascii="Arial" w:hAnsi="Arial" w:cs="David" w:hint="cs"/>
          <w:b/>
          <w:bCs/>
          <w:rtl/>
        </w:rPr>
        <w:t>שווי תיק המניות</w:t>
      </w:r>
      <w:r w:rsidRPr="003F3174">
        <w:rPr>
          <w:rFonts w:ascii="Arial" w:hAnsi="Arial" w:cs="David" w:hint="cs"/>
          <w:rtl/>
        </w:rPr>
        <w:t xml:space="preserve"> </w:t>
      </w:r>
      <w:r w:rsidR="00F508E4" w:rsidRPr="00F508E4">
        <w:rPr>
          <w:rFonts w:ascii="Arial" w:hAnsi="Arial" w:cs="David" w:hint="cs"/>
          <w:b/>
          <w:bCs/>
          <w:rtl/>
        </w:rPr>
        <w:t>הפיננסיות</w:t>
      </w:r>
      <w:r w:rsidR="00F508E4">
        <w:rPr>
          <w:rFonts w:ascii="Arial" w:hAnsi="Arial" w:cs="David" w:hint="cs"/>
          <w:rtl/>
        </w:rPr>
        <w:t xml:space="preserve"> </w:t>
      </w:r>
      <w:r w:rsidR="00642BE1">
        <w:rPr>
          <w:rFonts w:ascii="Arial" w:hAnsi="Arial" w:cs="David" w:hint="cs"/>
          <w:rtl/>
        </w:rPr>
        <w:t>עלה</w:t>
      </w:r>
      <w:r w:rsidR="00F508E4">
        <w:rPr>
          <w:rFonts w:ascii="Arial" w:hAnsi="Arial" w:cs="David" w:hint="cs"/>
          <w:rtl/>
        </w:rPr>
        <w:t xml:space="preserve"> </w:t>
      </w:r>
      <w:r w:rsidR="006A2664">
        <w:rPr>
          <w:rFonts w:ascii="Arial" w:hAnsi="Arial" w:cs="David" w:hint="cs"/>
          <w:rtl/>
        </w:rPr>
        <w:t xml:space="preserve">במהלך </w:t>
      </w:r>
      <w:r w:rsidR="00642BE1">
        <w:rPr>
          <w:rFonts w:ascii="Arial" w:hAnsi="Arial" w:cs="David" w:hint="cs"/>
          <w:rtl/>
        </w:rPr>
        <w:t>שנת 2014</w:t>
      </w:r>
      <w:r w:rsidR="008B000B" w:rsidRPr="003F3174">
        <w:rPr>
          <w:rFonts w:ascii="Arial" w:hAnsi="Arial" w:cs="David" w:hint="cs"/>
          <w:rtl/>
        </w:rPr>
        <w:t xml:space="preserve"> ב</w:t>
      </w:r>
      <w:r w:rsidR="00C4262A">
        <w:rPr>
          <w:rFonts w:ascii="Arial" w:hAnsi="Arial" w:cs="David" w:hint="cs"/>
          <w:rtl/>
        </w:rPr>
        <w:t>היקף</w:t>
      </w:r>
      <w:r w:rsidR="00F50EC0">
        <w:rPr>
          <w:rFonts w:ascii="Arial" w:hAnsi="Arial" w:cs="David" w:hint="cs"/>
          <w:rtl/>
        </w:rPr>
        <w:t xml:space="preserve"> </w:t>
      </w:r>
      <w:r w:rsidR="008B000B" w:rsidRPr="003F3174">
        <w:rPr>
          <w:rFonts w:ascii="Arial" w:hAnsi="Arial" w:cs="David" w:hint="cs"/>
          <w:rtl/>
        </w:rPr>
        <w:t xml:space="preserve">של </w:t>
      </w:r>
      <w:r w:rsidR="00642BE1">
        <w:rPr>
          <w:rFonts w:ascii="Arial" w:hAnsi="Arial" w:cs="David" w:hint="cs"/>
          <w:rtl/>
        </w:rPr>
        <w:t>4</w:t>
      </w:r>
      <w:r w:rsidR="00423E17">
        <w:rPr>
          <w:rFonts w:ascii="Arial" w:hAnsi="Arial" w:cs="David" w:hint="cs"/>
          <w:rtl/>
        </w:rPr>
        <w:t>.</w:t>
      </w:r>
      <w:r w:rsidR="00642BE1">
        <w:rPr>
          <w:rFonts w:ascii="Arial" w:hAnsi="Arial" w:cs="David" w:hint="cs"/>
          <w:rtl/>
        </w:rPr>
        <w:t>3</w:t>
      </w:r>
      <w:r w:rsidR="006A266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מיליארדים</w:t>
      </w:r>
      <w:r w:rsidR="008B000B" w:rsidRPr="003F3174">
        <w:rPr>
          <w:rFonts w:ascii="Arial" w:hAnsi="Arial" w:cs="David" w:hint="cs"/>
          <w:rtl/>
        </w:rPr>
        <w:t xml:space="preserve"> (</w:t>
      </w:r>
      <w:r w:rsidR="00642BE1">
        <w:rPr>
          <w:rFonts w:ascii="Arial" w:hAnsi="Arial" w:cs="David" w:hint="cs"/>
          <w:rtl/>
        </w:rPr>
        <w:t>7.7</w:t>
      </w:r>
      <w:r w:rsidR="008B000B" w:rsidRPr="003F3174">
        <w:rPr>
          <w:rFonts w:ascii="Arial" w:hAnsi="Arial" w:cs="David" w:hint="cs"/>
          <w:rtl/>
        </w:rPr>
        <w:t>%)</w:t>
      </w:r>
      <w:r w:rsidR="00AF4A83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AF4A83">
        <w:rPr>
          <w:rFonts w:ascii="Arial" w:hAnsi="Arial" w:cs="David" w:hint="cs"/>
          <w:rtl/>
        </w:rPr>
        <w:t xml:space="preserve">זרם </w:t>
      </w:r>
      <w:r w:rsidR="00AF4A83" w:rsidRPr="003F3174">
        <w:rPr>
          <w:rFonts w:ascii="Arial" w:hAnsi="Arial" w:cs="David" w:hint="cs"/>
          <w:rtl/>
        </w:rPr>
        <w:t>השקעות נטו של תושבי ישראל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כ-</w:t>
      </w:r>
      <w:r w:rsidR="00642BE1">
        <w:rPr>
          <w:rFonts w:ascii="Arial" w:hAnsi="Arial" w:cs="David" w:hint="cs"/>
          <w:rtl/>
        </w:rPr>
        <w:t>2.9</w:t>
      </w:r>
      <w:r w:rsidRPr="003F3174">
        <w:rPr>
          <w:rFonts w:ascii="Arial" w:hAnsi="Arial" w:cs="David" w:hint="cs"/>
          <w:rtl/>
        </w:rPr>
        <w:t xml:space="preserve"> מילי</w:t>
      </w:r>
      <w:r w:rsidR="00642BE1">
        <w:rPr>
          <w:rFonts w:ascii="Arial" w:hAnsi="Arial" w:cs="David" w:hint="cs"/>
          <w:rtl/>
        </w:rPr>
        <w:t>ארדים</w:t>
      </w:r>
      <w:r w:rsidR="009003E6">
        <w:rPr>
          <w:rFonts w:ascii="Arial" w:hAnsi="Arial" w:cs="David" w:hint="cs"/>
          <w:rtl/>
        </w:rPr>
        <w:t>,</w:t>
      </w:r>
      <w:r w:rsidRPr="003F3174">
        <w:rPr>
          <w:rFonts w:ascii="Arial" w:hAnsi="Arial" w:cs="David" w:hint="cs"/>
          <w:rtl/>
        </w:rPr>
        <w:t xml:space="preserve"> </w:t>
      </w:r>
      <w:r w:rsidR="00C44ABB">
        <w:rPr>
          <w:rFonts w:ascii="Arial" w:hAnsi="Arial" w:cs="David" w:hint="cs"/>
          <w:rtl/>
        </w:rPr>
        <w:t xml:space="preserve">ועליית </w:t>
      </w:r>
      <w:r w:rsidR="00AF4A83">
        <w:rPr>
          <w:rFonts w:ascii="Arial" w:hAnsi="Arial" w:cs="David" w:hint="cs"/>
          <w:rtl/>
        </w:rPr>
        <w:t>מחירים בשוקי המניות בחו"ל</w:t>
      </w:r>
      <w:r w:rsidR="006A2664">
        <w:rPr>
          <w:rFonts w:ascii="Arial" w:hAnsi="Arial" w:cs="David" w:hint="cs"/>
          <w:rtl/>
        </w:rPr>
        <w:t xml:space="preserve"> </w:t>
      </w:r>
      <w:r w:rsidR="00423E17">
        <w:rPr>
          <w:rFonts w:ascii="Arial" w:hAnsi="Arial" w:cs="David" w:hint="cs"/>
          <w:rtl/>
        </w:rPr>
        <w:t xml:space="preserve">בהיקף </w:t>
      </w:r>
      <w:r w:rsidR="006A2664">
        <w:rPr>
          <w:rFonts w:ascii="Arial" w:hAnsi="Arial" w:cs="David" w:hint="cs"/>
          <w:rtl/>
        </w:rPr>
        <w:t>של כ</w:t>
      </w:r>
      <w:r w:rsidR="00C44ABB">
        <w:rPr>
          <w:rFonts w:ascii="Arial" w:hAnsi="Arial" w:cs="David" w:hint="cs"/>
          <w:rtl/>
        </w:rPr>
        <w:t>-1.2 מיליארדי</w:t>
      </w:r>
      <w:r w:rsidR="00423E17">
        <w:rPr>
          <w:rFonts w:ascii="Arial" w:hAnsi="Arial" w:cs="David" w:hint="cs"/>
          <w:rtl/>
        </w:rPr>
        <w:t xml:space="preserve"> דולרים</w:t>
      </w:r>
      <w:r w:rsidR="006A2664">
        <w:rPr>
          <w:rFonts w:ascii="Arial" w:hAnsi="Arial" w:cs="David" w:hint="cs"/>
          <w:rtl/>
        </w:rPr>
        <w:t>.</w:t>
      </w:r>
    </w:p>
    <w:p w:rsidR="008B000B" w:rsidRPr="003F3174" w:rsidRDefault="00C4262A" w:rsidP="00141769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>יתרת</w:t>
      </w:r>
      <w:r w:rsidR="00AF4A83">
        <w:rPr>
          <w:rFonts w:ascii="Arial" w:hAnsi="Arial" w:cs="David" w:hint="cs"/>
          <w:b/>
          <w:bCs/>
          <w:rtl/>
        </w:rPr>
        <w:t xml:space="preserve"> ההשקעות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AF4A83">
        <w:rPr>
          <w:rFonts w:ascii="Arial" w:hAnsi="Arial" w:cs="David" w:hint="cs"/>
          <w:b/>
          <w:bCs/>
          <w:rtl/>
        </w:rPr>
        <w:t>ב</w:t>
      </w:r>
      <w:r w:rsidR="007E457E" w:rsidRPr="003F3174">
        <w:rPr>
          <w:rFonts w:ascii="Arial" w:hAnsi="Arial" w:cs="David" w:hint="cs"/>
          <w:b/>
          <w:bCs/>
          <w:rtl/>
        </w:rPr>
        <w:t>אג"ח סחיר בחו"ל</w:t>
      </w:r>
      <w:r w:rsidR="007E457E" w:rsidRPr="003F3174">
        <w:rPr>
          <w:rFonts w:ascii="Arial" w:hAnsi="Arial" w:cs="David" w:hint="cs"/>
          <w:rtl/>
        </w:rPr>
        <w:t xml:space="preserve"> </w:t>
      </w:r>
      <w:r w:rsidR="00010F80">
        <w:rPr>
          <w:rFonts w:ascii="Arial" w:hAnsi="Arial" w:cs="David" w:hint="cs"/>
          <w:rtl/>
        </w:rPr>
        <w:t xml:space="preserve">עלתה </w:t>
      </w:r>
      <w:r w:rsidR="00C44ABB">
        <w:rPr>
          <w:rFonts w:ascii="Arial" w:hAnsi="Arial" w:cs="David" w:hint="cs"/>
          <w:rtl/>
        </w:rPr>
        <w:t xml:space="preserve">במהלך שנת </w:t>
      </w:r>
      <w:r w:rsidR="00BB4BBF">
        <w:rPr>
          <w:rFonts w:ascii="Arial" w:hAnsi="Arial" w:cs="David" w:hint="cs"/>
          <w:rtl/>
        </w:rPr>
        <w:t>2014</w:t>
      </w:r>
      <w:r w:rsidR="00C44ABB">
        <w:rPr>
          <w:rFonts w:ascii="Arial" w:hAnsi="Arial" w:cs="David" w:hint="cs"/>
          <w:rtl/>
        </w:rPr>
        <w:t xml:space="preserve"> ב- 6.4 מיליארדי דולרים (16.4%)</w:t>
      </w:r>
      <w:r w:rsidR="0048666F">
        <w:rPr>
          <w:rFonts w:ascii="Arial" w:hAnsi="Arial" w:cs="David" w:hint="cs"/>
          <w:rtl/>
        </w:rPr>
        <w:t>:</w:t>
      </w:r>
      <w:r w:rsidR="00F508E4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זרם השקעות נטו</w:t>
      </w:r>
      <w:r w:rsidR="006A2B48">
        <w:rPr>
          <w:rFonts w:ascii="Arial" w:hAnsi="Arial" w:cs="David" w:hint="cs"/>
          <w:rtl/>
        </w:rPr>
        <w:t xml:space="preserve"> באג"ח זרות</w:t>
      </w:r>
      <w:r w:rsidR="0048666F">
        <w:rPr>
          <w:rFonts w:ascii="Arial" w:hAnsi="Arial" w:cs="David" w:hint="cs"/>
          <w:rtl/>
        </w:rPr>
        <w:t xml:space="preserve"> בהיקף של 7.2 מיליארדי דולרים,</w:t>
      </w:r>
      <w:r w:rsidR="00781463">
        <w:rPr>
          <w:rFonts w:ascii="Arial" w:hAnsi="Arial" w:cs="David" w:hint="cs"/>
          <w:rtl/>
        </w:rPr>
        <w:t xml:space="preserve"> </w:t>
      </w:r>
      <w:r w:rsidR="0048666F">
        <w:rPr>
          <w:rFonts w:ascii="Arial" w:hAnsi="Arial" w:cs="David" w:hint="cs"/>
          <w:rtl/>
        </w:rPr>
        <w:t>בעיקר ע"י</w:t>
      </w:r>
      <w:r w:rsidR="006A2B48">
        <w:rPr>
          <w:rFonts w:ascii="Arial" w:hAnsi="Arial" w:cs="David" w:hint="cs"/>
          <w:rtl/>
        </w:rPr>
        <w:t xml:space="preserve"> </w:t>
      </w:r>
      <w:r w:rsidR="0048666F">
        <w:rPr>
          <w:rFonts w:ascii="Arial" w:hAnsi="Arial" w:cs="David" w:hint="cs"/>
          <w:rtl/>
        </w:rPr>
        <w:t>ה</w:t>
      </w:r>
      <w:r w:rsidR="006A2B48">
        <w:rPr>
          <w:rFonts w:ascii="Arial" w:hAnsi="Arial" w:cs="David" w:hint="cs"/>
          <w:rtl/>
        </w:rPr>
        <w:t>משק</w:t>
      </w:r>
      <w:r w:rsidR="00010F80">
        <w:rPr>
          <w:rFonts w:ascii="Arial" w:hAnsi="Arial" w:cs="David" w:hint="cs"/>
          <w:rtl/>
        </w:rPr>
        <w:t xml:space="preserve">יעים </w:t>
      </w:r>
      <w:r w:rsidR="0048666F">
        <w:rPr>
          <w:rFonts w:ascii="Arial" w:hAnsi="Arial" w:cs="David" w:hint="cs"/>
          <w:rtl/>
        </w:rPr>
        <w:t>המוסדיים</w:t>
      </w:r>
      <w:r w:rsidR="00010F80">
        <w:rPr>
          <w:rFonts w:ascii="Arial" w:hAnsi="Arial" w:cs="David" w:hint="cs"/>
          <w:rtl/>
        </w:rPr>
        <w:t xml:space="preserve"> </w:t>
      </w:r>
      <w:r w:rsidR="0048666F">
        <w:rPr>
          <w:rFonts w:ascii="Arial" w:hAnsi="Arial" w:cs="David" w:hint="cs"/>
          <w:rtl/>
        </w:rPr>
        <w:t>ו</w:t>
      </w:r>
      <w:r w:rsidR="006A2B48">
        <w:rPr>
          <w:rFonts w:ascii="Arial" w:hAnsi="Arial" w:cs="David" w:hint="cs"/>
          <w:rtl/>
        </w:rPr>
        <w:t xml:space="preserve">משקי </w:t>
      </w:r>
      <w:r w:rsidR="0048666F">
        <w:rPr>
          <w:rFonts w:ascii="Arial" w:hAnsi="Arial" w:cs="David" w:hint="cs"/>
          <w:rtl/>
        </w:rPr>
        <w:t>ה</w:t>
      </w:r>
      <w:r w:rsidR="006A2B48">
        <w:rPr>
          <w:rFonts w:ascii="Arial" w:hAnsi="Arial" w:cs="David" w:hint="cs"/>
          <w:rtl/>
        </w:rPr>
        <w:t>בית</w:t>
      </w:r>
      <w:r w:rsidR="0048666F">
        <w:rPr>
          <w:rFonts w:ascii="Arial" w:hAnsi="Arial" w:cs="David" w:hint="cs"/>
          <w:rtl/>
        </w:rPr>
        <w:t>, קוזז בחלקו ע"י הפרשי מחיר ושער בהיקף של 1.1 מיליארדים.</w:t>
      </w:r>
      <w:r w:rsidR="00010F80">
        <w:rPr>
          <w:rFonts w:ascii="Arial" w:hAnsi="Arial" w:cs="David" w:hint="cs"/>
          <w:rtl/>
        </w:rPr>
        <w:t xml:space="preserve"> </w:t>
      </w:r>
    </w:p>
    <w:p w:rsidR="00551E55" w:rsidRDefault="00F508E4" w:rsidP="00141769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b/>
          <w:bCs/>
          <w:rtl/>
        </w:rPr>
        <w:t xml:space="preserve">שווי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 xml:space="preserve">השקעות </w:t>
      </w:r>
      <w:r w:rsidR="0094759D">
        <w:rPr>
          <w:rFonts w:ascii="Arial" w:hAnsi="Arial" w:cs="David" w:hint="cs"/>
          <w:b/>
          <w:bCs/>
          <w:rtl/>
        </w:rPr>
        <w:t>ה</w:t>
      </w:r>
      <w:r w:rsidR="00502209" w:rsidRPr="003F3174">
        <w:rPr>
          <w:rFonts w:ascii="Arial" w:hAnsi="Arial" w:cs="David" w:hint="cs"/>
          <w:b/>
          <w:bCs/>
          <w:rtl/>
        </w:rPr>
        <w:t>אחרות</w:t>
      </w:r>
      <w:r w:rsidR="001A5F2D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657198">
        <w:rPr>
          <w:rFonts w:ascii="Arial" w:hAnsi="Arial" w:cs="David" w:hint="cs"/>
          <w:rtl/>
        </w:rPr>
        <w:t>עלה</w:t>
      </w:r>
      <w:r w:rsidR="00551E55">
        <w:rPr>
          <w:rFonts w:ascii="Arial" w:hAnsi="Arial" w:cs="David" w:hint="cs"/>
          <w:rtl/>
        </w:rPr>
        <w:t xml:space="preserve"> במהלך </w:t>
      </w:r>
      <w:r w:rsidR="0063625C">
        <w:rPr>
          <w:rFonts w:ascii="Arial" w:hAnsi="Arial" w:cs="David" w:hint="cs"/>
          <w:rtl/>
        </w:rPr>
        <w:t xml:space="preserve">שנת 2014 </w:t>
      </w:r>
      <w:r w:rsidR="00551E55">
        <w:rPr>
          <w:rFonts w:ascii="Arial" w:hAnsi="Arial" w:cs="David" w:hint="cs"/>
          <w:rtl/>
        </w:rPr>
        <w:t xml:space="preserve"> ב-</w:t>
      </w:r>
      <w:r w:rsidR="0063625C">
        <w:rPr>
          <w:rFonts w:ascii="Arial" w:hAnsi="Arial" w:cs="David" w:hint="cs"/>
          <w:rtl/>
        </w:rPr>
        <w:t>5</w:t>
      </w:r>
      <w:r w:rsidR="00657198">
        <w:rPr>
          <w:rFonts w:ascii="Arial" w:hAnsi="Arial" w:cs="David" w:hint="cs"/>
          <w:rtl/>
        </w:rPr>
        <w:t xml:space="preserve"> </w:t>
      </w:r>
      <w:r w:rsidR="00551E55">
        <w:rPr>
          <w:rFonts w:ascii="Arial" w:hAnsi="Arial" w:cs="David" w:hint="cs"/>
          <w:rtl/>
        </w:rPr>
        <w:t>מיליארדי דולרים</w:t>
      </w:r>
      <w:r w:rsidR="008D3D52">
        <w:rPr>
          <w:rFonts w:ascii="Arial" w:hAnsi="Arial" w:cs="David" w:hint="cs"/>
          <w:rtl/>
        </w:rPr>
        <w:t xml:space="preserve"> (</w:t>
      </w:r>
      <w:r w:rsidR="0063625C">
        <w:rPr>
          <w:rFonts w:ascii="Arial" w:hAnsi="Arial" w:cs="David" w:hint="cs"/>
          <w:rtl/>
        </w:rPr>
        <w:t>8</w:t>
      </w:r>
      <w:r w:rsidR="00657198">
        <w:rPr>
          <w:rFonts w:ascii="Arial" w:hAnsi="Arial" w:cs="David" w:hint="cs"/>
          <w:rtl/>
        </w:rPr>
        <w:t>.</w:t>
      </w:r>
      <w:r w:rsidR="0063625C">
        <w:rPr>
          <w:rFonts w:ascii="Arial" w:hAnsi="Arial" w:cs="David" w:hint="cs"/>
          <w:rtl/>
        </w:rPr>
        <w:t>4</w:t>
      </w:r>
      <w:r w:rsidR="008D3D52">
        <w:rPr>
          <w:rFonts w:ascii="Arial" w:hAnsi="Arial" w:cs="David" w:hint="cs"/>
          <w:rtl/>
        </w:rPr>
        <w:t>%)</w:t>
      </w:r>
      <w:r w:rsidR="00657198">
        <w:rPr>
          <w:rFonts w:ascii="Arial" w:hAnsi="Arial" w:cs="David" w:hint="cs"/>
          <w:rtl/>
        </w:rPr>
        <w:t>:</w:t>
      </w:r>
      <w:r w:rsidR="00551E55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 xml:space="preserve">עלייה של </w:t>
      </w:r>
      <w:r w:rsidR="0063625C">
        <w:rPr>
          <w:rFonts w:ascii="Arial" w:hAnsi="Arial" w:cs="David" w:hint="cs"/>
          <w:rtl/>
        </w:rPr>
        <w:t>3</w:t>
      </w:r>
      <w:r w:rsidR="00657198">
        <w:rPr>
          <w:rFonts w:ascii="Arial" w:hAnsi="Arial" w:cs="David" w:hint="cs"/>
          <w:rtl/>
        </w:rPr>
        <w:t>.</w:t>
      </w:r>
      <w:r w:rsidR="0063625C">
        <w:rPr>
          <w:rFonts w:ascii="Arial" w:hAnsi="Arial" w:cs="David" w:hint="cs"/>
          <w:rtl/>
        </w:rPr>
        <w:t>1</w:t>
      </w:r>
      <w:r w:rsidR="00657198">
        <w:rPr>
          <w:rFonts w:ascii="Arial" w:hAnsi="Arial" w:cs="David" w:hint="cs"/>
          <w:rtl/>
        </w:rPr>
        <w:t xml:space="preserve"> מיליארדים בפיקדונות בנקים ישראליים בחו"ל</w:t>
      </w:r>
      <w:r w:rsidR="0063625C">
        <w:rPr>
          <w:rFonts w:ascii="Arial" w:hAnsi="Arial" w:cs="David" w:hint="cs"/>
          <w:rtl/>
        </w:rPr>
        <w:t xml:space="preserve"> וכן עלייה בהלוואות ובאשראי הלקוחות</w:t>
      </w:r>
      <w:r w:rsidR="0063625C" w:rsidRPr="0063625C">
        <w:rPr>
          <w:rFonts w:ascii="Arial" w:hAnsi="Arial" w:cs="David" w:hint="cs"/>
          <w:rtl/>
        </w:rPr>
        <w:t xml:space="preserve"> </w:t>
      </w:r>
      <w:r w:rsidR="0063625C">
        <w:rPr>
          <w:rFonts w:ascii="Arial" w:hAnsi="Arial" w:cs="David" w:hint="cs"/>
          <w:rtl/>
        </w:rPr>
        <w:t>בהיקף כולל של כ-1.5 מיליארדים</w:t>
      </w:r>
      <w:r w:rsidR="00657198">
        <w:rPr>
          <w:rFonts w:ascii="Arial" w:hAnsi="Arial" w:cs="David" w:hint="cs"/>
          <w:rtl/>
        </w:rPr>
        <w:t xml:space="preserve">. עלייה זו קוזזה בחלקה ע"י </w:t>
      </w:r>
      <w:r w:rsidR="00551E55">
        <w:rPr>
          <w:rFonts w:ascii="Arial" w:hAnsi="Arial" w:cs="David" w:hint="cs"/>
          <w:rtl/>
        </w:rPr>
        <w:t>משיכ</w:t>
      </w:r>
      <w:r w:rsidR="00044DBE">
        <w:rPr>
          <w:rFonts w:ascii="Arial" w:hAnsi="Arial" w:cs="David" w:hint="cs"/>
          <w:rtl/>
        </w:rPr>
        <w:t>ות</w:t>
      </w:r>
      <w:r w:rsidR="00551E55">
        <w:rPr>
          <w:rFonts w:ascii="Arial" w:hAnsi="Arial" w:cs="David" w:hint="cs"/>
          <w:rtl/>
        </w:rPr>
        <w:t xml:space="preserve"> של כ-</w:t>
      </w:r>
      <w:r w:rsidR="0063625C">
        <w:rPr>
          <w:rFonts w:ascii="Arial" w:hAnsi="Arial" w:cs="David" w:hint="cs"/>
          <w:rtl/>
        </w:rPr>
        <w:t>1.6</w:t>
      </w:r>
      <w:r w:rsidR="00657198">
        <w:rPr>
          <w:rFonts w:ascii="Arial" w:hAnsi="Arial" w:cs="David" w:hint="cs"/>
          <w:rtl/>
        </w:rPr>
        <w:t xml:space="preserve"> מילי</w:t>
      </w:r>
      <w:r w:rsidR="0063625C">
        <w:rPr>
          <w:rFonts w:ascii="Arial" w:hAnsi="Arial" w:cs="David" w:hint="cs"/>
          <w:rtl/>
        </w:rPr>
        <w:t>ארדים</w:t>
      </w:r>
      <w:r w:rsidR="00657198">
        <w:rPr>
          <w:rFonts w:ascii="Arial" w:hAnsi="Arial" w:cs="David" w:hint="cs"/>
          <w:rtl/>
        </w:rPr>
        <w:t xml:space="preserve"> ע"י תושבי ישראל מבנקים בחו"ל</w:t>
      </w:r>
      <w:r w:rsidR="00551E55">
        <w:rPr>
          <w:rFonts w:ascii="Arial" w:hAnsi="Arial" w:cs="David" w:hint="cs"/>
          <w:rtl/>
        </w:rPr>
        <w:t xml:space="preserve">. </w:t>
      </w:r>
    </w:p>
    <w:p w:rsidR="00D95369" w:rsidRPr="003F3174" w:rsidRDefault="00D95369" w:rsidP="00141769">
      <w:pPr>
        <w:spacing w:line="360" w:lineRule="auto"/>
        <w:jc w:val="both"/>
        <w:rPr>
          <w:rFonts w:ascii="Arial" w:hAnsi="Arial" w:cs="David" w:hint="cs"/>
          <w:rtl/>
        </w:rPr>
      </w:pPr>
      <w:r w:rsidRPr="00D95369">
        <w:rPr>
          <w:rFonts w:ascii="Arial" w:hAnsi="Arial" w:cs="David"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63625C">
        <w:rPr>
          <w:rFonts w:ascii="Arial" w:hAnsi="Arial" w:cs="David" w:hint="cs"/>
          <w:rtl/>
        </w:rPr>
        <w:t>עלה בשנת 2014</w:t>
      </w:r>
      <w:r w:rsidR="00657198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בכ-</w:t>
      </w:r>
      <w:r w:rsidR="0063625C">
        <w:rPr>
          <w:rFonts w:ascii="Arial" w:hAnsi="Arial" w:cs="David" w:hint="cs"/>
          <w:rtl/>
        </w:rPr>
        <w:t>4.3</w:t>
      </w:r>
      <w:r w:rsidR="005D378E">
        <w:rPr>
          <w:rFonts w:ascii="Arial" w:hAnsi="Arial" w:cs="David" w:hint="cs"/>
          <w:rtl/>
        </w:rPr>
        <w:t xml:space="preserve"> </w:t>
      </w:r>
      <w:r w:rsidR="00D13C77">
        <w:rPr>
          <w:rFonts w:ascii="Arial" w:hAnsi="Arial" w:cs="David" w:hint="cs"/>
          <w:rtl/>
        </w:rPr>
        <w:t>מילי</w:t>
      </w:r>
      <w:r w:rsidR="0063625C">
        <w:rPr>
          <w:rFonts w:ascii="Arial" w:hAnsi="Arial" w:cs="David" w:hint="cs"/>
          <w:rtl/>
        </w:rPr>
        <w:t>ארד</w:t>
      </w:r>
      <w:r w:rsidR="00657198">
        <w:rPr>
          <w:rFonts w:ascii="Arial" w:hAnsi="Arial" w:cs="David" w:hint="cs"/>
          <w:rtl/>
        </w:rPr>
        <w:t>י דולרים</w:t>
      </w:r>
      <w:r w:rsidR="00B87EFF">
        <w:rPr>
          <w:rFonts w:ascii="Arial" w:hAnsi="Arial" w:cs="David" w:hint="cs"/>
          <w:rtl/>
        </w:rPr>
        <w:t xml:space="preserve"> (5.3%)</w:t>
      </w:r>
      <w:r w:rsidR="00657198">
        <w:rPr>
          <w:rFonts w:ascii="Arial" w:hAnsi="Arial" w:cs="David" w:hint="cs"/>
          <w:rtl/>
        </w:rPr>
        <w:t>:</w:t>
      </w:r>
      <w:r w:rsidR="00D13C7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רכישות</w:t>
      </w:r>
      <w:r w:rsidR="003C2C27">
        <w:rPr>
          <w:rFonts w:ascii="Arial" w:hAnsi="Arial" w:cs="David" w:hint="cs"/>
          <w:rtl/>
        </w:rPr>
        <w:t xml:space="preserve"> מט"ח של בנק ישראל</w:t>
      </w:r>
      <w:r w:rsidR="00657198">
        <w:rPr>
          <w:rFonts w:ascii="Arial" w:hAnsi="Arial" w:cs="David" w:hint="cs"/>
          <w:rtl/>
        </w:rPr>
        <w:t xml:space="preserve"> בסך של </w:t>
      </w:r>
      <w:r w:rsidR="0063625C">
        <w:rPr>
          <w:rFonts w:ascii="Arial" w:hAnsi="Arial" w:cs="David" w:hint="cs"/>
          <w:rtl/>
        </w:rPr>
        <w:t>7</w:t>
      </w:r>
      <w:r w:rsidR="00657198">
        <w:rPr>
          <w:rFonts w:ascii="Arial" w:hAnsi="Arial" w:cs="David" w:hint="cs"/>
          <w:rtl/>
        </w:rPr>
        <w:t>.</w:t>
      </w:r>
      <w:r w:rsidR="0063625C">
        <w:rPr>
          <w:rFonts w:ascii="Arial" w:hAnsi="Arial" w:cs="David" w:hint="cs"/>
          <w:rtl/>
        </w:rPr>
        <w:t>4</w:t>
      </w:r>
      <w:r w:rsidR="00657198">
        <w:rPr>
          <w:rFonts w:ascii="Arial" w:hAnsi="Arial" w:cs="David" w:hint="cs"/>
          <w:rtl/>
        </w:rPr>
        <w:t xml:space="preserve"> מיליארדים</w:t>
      </w:r>
      <w:r w:rsidR="003C2C27">
        <w:rPr>
          <w:rFonts w:ascii="Arial" w:hAnsi="Arial" w:cs="David" w:hint="cs"/>
          <w:rtl/>
        </w:rPr>
        <w:t xml:space="preserve"> </w:t>
      </w:r>
      <w:r w:rsidR="00657198">
        <w:rPr>
          <w:rFonts w:ascii="Arial" w:hAnsi="Arial" w:cs="David" w:hint="cs"/>
          <w:rtl/>
        </w:rPr>
        <w:t>קוזזו</w:t>
      </w:r>
      <w:r w:rsidR="003C2C27">
        <w:rPr>
          <w:rFonts w:ascii="Arial" w:hAnsi="Arial" w:cs="David" w:hint="cs"/>
          <w:rtl/>
        </w:rPr>
        <w:t xml:space="preserve"> בחלקן</w:t>
      </w:r>
      <w:r w:rsidR="00657198">
        <w:rPr>
          <w:rFonts w:ascii="Arial" w:hAnsi="Arial" w:cs="David" w:hint="cs"/>
          <w:rtl/>
        </w:rPr>
        <w:t xml:space="preserve"> </w:t>
      </w:r>
      <w:r w:rsidR="00EA785C">
        <w:rPr>
          <w:rFonts w:ascii="Arial" w:hAnsi="Arial" w:cs="David" w:hint="cs"/>
          <w:rtl/>
        </w:rPr>
        <w:t>בהשפעת</w:t>
      </w:r>
      <w:r w:rsidR="00657198">
        <w:rPr>
          <w:rFonts w:ascii="Arial" w:hAnsi="Arial" w:cs="David" w:hint="cs"/>
          <w:rtl/>
        </w:rPr>
        <w:t xml:space="preserve"> </w:t>
      </w:r>
      <w:r w:rsidR="004E5ADB" w:rsidRPr="004E5ADB">
        <w:rPr>
          <w:rFonts w:ascii="Arial" w:hAnsi="Arial" w:cs="David" w:hint="cs"/>
          <w:rtl/>
        </w:rPr>
        <w:t>התחזקות הדולר מול המטבעות העיקריים</w:t>
      </w:r>
      <w:r w:rsidR="00810FAD">
        <w:rPr>
          <w:rFonts w:ascii="Arial" w:hAnsi="Arial" w:cs="David" w:hint="cs"/>
          <w:rtl/>
        </w:rPr>
        <w:t>.</w:t>
      </w:r>
    </w:p>
    <w:p w:rsidR="0029548E" w:rsidRDefault="003D1887" w:rsidP="00141769">
      <w:pPr>
        <w:spacing w:line="360" w:lineRule="auto"/>
        <w:jc w:val="both"/>
        <w:rPr>
          <w:rFonts w:ascii="Arial" w:hAnsi="Arial" w:cs="David" w:hint="cs"/>
          <w:rtl/>
        </w:rPr>
      </w:pPr>
      <w:r w:rsidRPr="00C940F0">
        <w:rPr>
          <w:rFonts w:ascii="Arial" w:hAnsi="Arial" w:cs="David" w:hint="cs"/>
          <w:b/>
          <w:bCs/>
          <w:rtl/>
        </w:rPr>
        <w:t>ב</w:t>
      </w:r>
      <w:r w:rsidR="002E46BC" w:rsidRPr="00C940F0">
        <w:rPr>
          <w:rFonts w:ascii="Arial" w:hAnsi="Arial" w:cs="David" w:hint="cs"/>
          <w:b/>
          <w:bCs/>
          <w:rtl/>
        </w:rPr>
        <w:t xml:space="preserve">הרכב </w:t>
      </w:r>
      <w:r w:rsidR="00301474" w:rsidRPr="00C940F0">
        <w:rPr>
          <w:rFonts w:ascii="Arial" w:hAnsi="Arial" w:cs="David" w:hint="cs"/>
          <w:b/>
          <w:bCs/>
          <w:rtl/>
        </w:rPr>
        <w:t>ה</w:t>
      </w:r>
      <w:r w:rsidR="002E46BC" w:rsidRPr="00C940F0">
        <w:rPr>
          <w:rFonts w:ascii="Arial" w:hAnsi="Arial" w:cs="David" w:hint="cs"/>
          <w:b/>
          <w:bCs/>
          <w:rtl/>
        </w:rPr>
        <w:t>תיק בחו"ל</w:t>
      </w:r>
      <w:r w:rsidR="005259F9" w:rsidRPr="00C940F0">
        <w:rPr>
          <w:rFonts w:ascii="Arial" w:hAnsi="Arial" w:cs="David" w:hint="cs"/>
          <w:rtl/>
        </w:rPr>
        <w:t xml:space="preserve"> </w:t>
      </w:r>
      <w:r w:rsidR="00C038EE" w:rsidRPr="00C940F0">
        <w:rPr>
          <w:rFonts w:ascii="Arial" w:hAnsi="Arial" w:cs="David" w:hint="cs"/>
          <w:rtl/>
        </w:rPr>
        <w:t xml:space="preserve"> </w:t>
      </w:r>
      <w:r w:rsidR="00EA785C">
        <w:rPr>
          <w:rFonts w:ascii="Arial" w:hAnsi="Arial" w:cs="David" w:hint="cs"/>
          <w:rtl/>
        </w:rPr>
        <w:t xml:space="preserve">לא חלו שינויים משמעותיים ברביע </w:t>
      </w:r>
      <w:r w:rsidR="00EA785C" w:rsidRPr="00CD10BD">
        <w:rPr>
          <w:rFonts w:ascii="Arial" w:hAnsi="Arial" w:cs="David" w:hint="cs"/>
          <w:rtl/>
        </w:rPr>
        <w:t>ה</w:t>
      </w:r>
      <w:r w:rsidR="001C2DA6" w:rsidRPr="00CD10BD">
        <w:rPr>
          <w:rFonts w:ascii="Arial" w:hAnsi="Arial" w:cs="David" w:hint="cs"/>
          <w:rtl/>
        </w:rPr>
        <w:t>רביע</w:t>
      </w:r>
      <w:r w:rsidR="00EA785C" w:rsidRPr="00CD10BD">
        <w:rPr>
          <w:rFonts w:ascii="Arial" w:hAnsi="Arial" w:cs="David" w:hint="cs"/>
          <w:rtl/>
        </w:rPr>
        <w:t>י</w:t>
      </w:r>
      <w:r w:rsidR="002D5576">
        <w:rPr>
          <w:rFonts w:ascii="Arial" w:hAnsi="Arial" w:cs="David" w:hint="cs"/>
          <w:rtl/>
        </w:rPr>
        <w:t xml:space="preserve"> של השנה</w:t>
      </w:r>
      <w:r w:rsidR="00EA785C">
        <w:rPr>
          <w:rFonts w:ascii="Arial" w:hAnsi="Arial" w:cs="David" w:hint="cs"/>
          <w:rtl/>
        </w:rPr>
        <w:t xml:space="preserve"> </w:t>
      </w:r>
      <w:r w:rsidR="00467F09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2</w:t>
      </w:r>
      <w:r w:rsidR="00467F09">
        <w:rPr>
          <w:rFonts w:ascii="Arial" w:hAnsi="Arial" w:cs="David" w:hint="cs"/>
          <w:rtl/>
        </w:rPr>
        <w:t xml:space="preserve">). </w:t>
      </w:r>
    </w:p>
    <w:p w:rsidR="005E155A" w:rsidRPr="005E155A" w:rsidRDefault="00141769" w:rsidP="005E155A">
      <w:pPr>
        <w:spacing w:line="360" w:lineRule="auto"/>
        <w:jc w:val="both"/>
        <w:rPr>
          <w:rFonts w:ascii="Arial" w:hAnsi="Arial" w:cs="David" w:hint="cs"/>
          <w:rtl/>
        </w:rPr>
      </w:pPr>
      <w:r w:rsidRPr="00141769">
        <w:rPr>
          <w:rFonts w:ascii="Arial" w:hAnsi="Arial" w:cs="David"/>
          <w:b/>
          <w:bCs/>
          <w:rtl/>
        </w:rPr>
        <w:t xml:space="preserve">בשנת 2014 </w:t>
      </w:r>
      <w:r w:rsidRPr="00141769">
        <w:rPr>
          <w:rFonts w:ascii="Arial" w:hAnsi="Arial" w:cs="David"/>
          <w:rtl/>
        </w:rPr>
        <w:t>התמנתה העלייה במשקל המניות בתיק וכן התמתנה הירידה במשקל הפיקדונות בחו"ל, מגמות שהואצו מאוד לאחר ההתאוששות מהמשבר הפיננסי הגלובלי.</w:t>
      </w:r>
    </w:p>
    <w:p w:rsidR="00333E3E" w:rsidRPr="00781463" w:rsidRDefault="00056554" w:rsidP="0004499D">
      <w:pPr>
        <w:spacing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u w:val="single"/>
          <w:lang w:eastAsia="en-US"/>
        </w:rPr>
        <w:lastRenderedPageBreak/>
        <w:drawing>
          <wp:inline distT="0" distB="0" distL="0" distR="0">
            <wp:extent cx="6264275" cy="4100830"/>
            <wp:effectExtent l="0" t="0" r="3175" b="0"/>
            <wp:docPr id="38" name="תמונה 38" descr="תרשים 2: הרכב תיק הנכסים של תושבי ישראל בחו&quot;ל" title="תרשים 2: הרכב תיק הנכסים של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908" w:rsidRPr="00056554" w:rsidRDefault="00393B21" w:rsidP="00056554">
      <w:pPr>
        <w:pStyle w:val="ab"/>
        <w:numPr>
          <w:ilvl w:val="0"/>
          <w:numId w:val="11"/>
        </w:numPr>
        <w:spacing w:before="480" w:line="360" w:lineRule="auto"/>
        <w:jc w:val="both"/>
        <w:rPr>
          <w:rFonts w:ascii="Arial" w:hAnsi="Arial" w:cs="David" w:hint="cs"/>
          <w:rtl/>
        </w:rPr>
      </w:pPr>
      <w:r w:rsidRPr="00056554">
        <w:rPr>
          <w:rFonts w:ascii="Arial" w:hAnsi="Arial" w:cs="David" w:hint="cs"/>
          <w:b/>
          <w:bCs/>
          <w:rtl/>
        </w:rPr>
        <w:t>יתרת ההתחייבויו</w:t>
      </w:r>
      <w:r w:rsidRPr="00056554">
        <w:rPr>
          <w:rFonts w:ascii="Arial" w:hAnsi="Arial" w:cs="David" w:hint="eastAsia"/>
          <w:b/>
          <w:bCs/>
          <w:rtl/>
        </w:rPr>
        <w:t>ת</w:t>
      </w:r>
      <w:r w:rsidRPr="00056554">
        <w:rPr>
          <w:rFonts w:ascii="Arial" w:hAnsi="Arial" w:cs="David" w:hint="cs"/>
          <w:b/>
          <w:bCs/>
          <w:rtl/>
        </w:rPr>
        <w:t xml:space="preserve"> של המשק לחו"ל</w:t>
      </w:r>
      <w:r w:rsidRPr="00056554">
        <w:rPr>
          <w:rFonts w:ascii="Arial" w:hAnsi="Arial" w:cs="David" w:hint="cs"/>
          <w:rtl/>
        </w:rPr>
        <w:t xml:space="preserve"> </w:t>
      </w:r>
      <w:r w:rsidR="007622E4" w:rsidRPr="00056554">
        <w:rPr>
          <w:rFonts w:ascii="Arial" w:hAnsi="Arial" w:cs="David" w:hint="cs"/>
          <w:rtl/>
        </w:rPr>
        <w:t xml:space="preserve">עלתה </w:t>
      </w:r>
      <w:r w:rsidR="00205E8F" w:rsidRPr="00056554">
        <w:rPr>
          <w:rFonts w:ascii="Arial" w:hAnsi="Arial" w:cs="David" w:hint="cs"/>
          <w:rtl/>
        </w:rPr>
        <w:t xml:space="preserve">במהלך </w:t>
      </w:r>
      <w:r w:rsidR="00255131" w:rsidRPr="00056554">
        <w:rPr>
          <w:rFonts w:ascii="Arial" w:hAnsi="Arial" w:cs="David" w:hint="cs"/>
          <w:rtl/>
        </w:rPr>
        <w:t>שנת 2014</w:t>
      </w:r>
      <w:r w:rsidR="000C4143" w:rsidRPr="00056554">
        <w:rPr>
          <w:rFonts w:ascii="Arial" w:hAnsi="Arial" w:cs="David" w:hint="cs"/>
          <w:b/>
          <w:bCs/>
          <w:rtl/>
        </w:rPr>
        <w:t xml:space="preserve"> </w:t>
      </w:r>
      <w:r w:rsidR="0055104F" w:rsidRPr="00056554">
        <w:rPr>
          <w:rFonts w:ascii="Arial" w:hAnsi="Arial" w:cs="David" w:hint="cs"/>
          <w:rtl/>
        </w:rPr>
        <w:t>ב-</w:t>
      </w:r>
      <w:r w:rsidR="00A757D8" w:rsidRPr="00056554">
        <w:rPr>
          <w:rFonts w:ascii="Arial" w:hAnsi="Arial" w:cs="David" w:hint="cs"/>
          <w:rtl/>
        </w:rPr>
        <w:t>27</w:t>
      </w:r>
      <w:r w:rsidR="00901C8E" w:rsidRPr="00056554">
        <w:rPr>
          <w:rFonts w:ascii="Arial" w:hAnsi="Arial" w:cs="David" w:hint="cs"/>
          <w:rtl/>
        </w:rPr>
        <w:t>.</w:t>
      </w:r>
      <w:r w:rsidR="00A757D8" w:rsidRPr="00056554">
        <w:rPr>
          <w:rFonts w:ascii="Arial" w:hAnsi="Arial" w:cs="David" w:hint="cs"/>
          <w:rtl/>
        </w:rPr>
        <w:t>3</w:t>
      </w:r>
      <w:r w:rsidR="0055104F" w:rsidRPr="00056554">
        <w:rPr>
          <w:rFonts w:ascii="Arial" w:hAnsi="Arial" w:cs="David" w:hint="cs"/>
          <w:rtl/>
        </w:rPr>
        <w:t xml:space="preserve"> מיליארדי דולרים</w:t>
      </w:r>
      <w:r w:rsidR="001B5E81" w:rsidRPr="00056554">
        <w:rPr>
          <w:rFonts w:ascii="Arial" w:hAnsi="Arial" w:cs="David" w:hint="cs"/>
          <w:rtl/>
        </w:rPr>
        <w:t xml:space="preserve"> (</w:t>
      </w:r>
      <w:r w:rsidR="00A757D8" w:rsidRPr="00056554">
        <w:rPr>
          <w:rFonts w:ascii="Arial" w:hAnsi="Arial" w:cs="David" w:hint="cs"/>
          <w:rtl/>
        </w:rPr>
        <w:t>10</w:t>
      </w:r>
      <w:r w:rsidR="001B5E81" w:rsidRPr="00056554">
        <w:rPr>
          <w:rFonts w:ascii="Arial" w:hAnsi="Arial" w:cs="David" w:hint="cs"/>
          <w:rtl/>
        </w:rPr>
        <w:t>.</w:t>
      </w:r>
      <w:r w:rsidR="00A757D8" w:rsidRPr="00056554">
        <w:rPr>
          <w:rFonts w:ascii="Arial" w:hAnsi="Arial" w:cs="David" w:hint="cs"/>
          <w:rtl/>
        </w:rPr>
        <w:t>9</w:t>
      </w:r>
      <w:r w:rsidR="001B5E81" w:rsidRPr="00056554">
        <w:rPr>
          <w:rFonts w:ascii="Arial" w:hAnsi="Arial" w:cs="David" w:hint="cs"/>
          <w:rtl/>
        </w:rPr>
        <w:t>%)</w:t>
      </w:r>
      <w:r w:rsidR="00BA7343" w:rsidRPr="00056554">
        <w:rPr>
          <w:rFonts w:ascii="Arial" w:hAnsi="Arial" w:cs="David" w:hint="cs"/>
          <w:rtl/>
        </w:rPr>
        <w:t>:</w:t>
      </w:r>
      <w:r w:rsidR="005324F5" w:rsidRPr="00056554">
        <w:rPr>
          <w:rFonts w:ascii="Arial" w:hAnsi="Arial" w:cs="David" w:hint="cs"/>
          <w:rtl/>
        </w:rPr>
        <w:t xml:space="preserve"> </w:t>
      </w:r>
      <w:r w:rsidR="003C2C27" w:rsidRPr="00056554">
        <w:rPr>
          <w:rFonts w:ascii="Arial" w:hAnsi="Arial" w:cs="David" w:hint="cs"/>
          <w:rtl/>
        </w:rPr>
        <w:t xml:space="preserve">שילוב של </w:t>
      </w:r>
      <w:r w:rsidR="00BA7343" w:rsidRPr="00056554">
        <w:rPr>
          <w:rFonts w:ascii="Arial" w:hAnsi="Arial" w:cs="David" w:hint="cs"/>
          <w:rtl/>
        </w:rPr>
        <w:t>עליי</w:t>
      </w:r>
      <w:r w:rsidR="003C2C27" w:rsidRPr="00056554">
        <w:rPr>
          <w:rFonts w:ascii="Arial" w:hAnsi="Arial" w:cs="David" w:hint="cs"/>
          <w:rtl/>
        </w:rPr>
        <w:t>ה ניכרת</w:t>
      </w:r>
      <w:r w:rsidR="00BA7343" w:rsidRPr="00056554">
        <w:rPr>
          <w:rFonts w:ascii="Arial" w:hAnsi="Arial" w:cs="David" w:hint="cs"/>
          <w:rtl/>
        </w:rPr>
        <w:t xml:space="preserve"> </w:t>
      </w:r>
      <w:r w:rsidR="003C2C27" w:rsidRPr="00056554">
        <w:rPr>
          <w:rFonts w:ascii="Arial" w:hAnsi="Arial" w:cs="David" w:hint="cs"/>
          <w:rtl/>
        </w:rPr>
        <w:t>ב</w:t>
      </w:r>
      <w:r w:rsidR="00AA4DF3" w:rsidRPr="00056554">
        <w:rPr>
          <w:rFonts w:ascii="Arial" w:hAnsi="Arial" w:cs="David" w:hint="cs"/>
          <w:rtl/>
        </w:rPr>
        <w:t>מחירי המניות הישראליות שמחזיקים תושבי חוץ (</w:t>
      </w:r>
      <w:r w:rsidR="003C2C27" w:rsidRPr="00056554">
        <w:rPr>
          <w:rFonts w:ascii="Arial" w:hAnsi="Arial" w:cs="David" w:hint="cs"/>
          <w:rtl/>
        </w:rPr>
        <w:t>21</w:t>
      </w:r>
      <w:r w:rsidR="00AA4DF3" w:rsidRPr="00056554">
        <w:rPr>
          <w:rFonts w:ascii="Arial" w:hAnsi="Arial" w:cs="David" w:hint="cs"/>
          <w:rtl/>
        </w:rPr>
        <w:t xml:space="preserve">%), </w:t>
      </w:r>
      <w:r w:rsidR="003C2C27" w:rsidRPr="00056554">
        <w:rPr>
          <w:rFonts w:ascii="Arial" w:hAnsi="Arial" w:cs="David" w:hint="cs"/>
          <w:rtl/>
        </w:rPr>
        <w:t xml:space="preserve"> </w:t>
      </w:r>
      <w:r w:rsidR="00B94908" w:rsidRPr="00056554">
        <w:rPr>
          <w:rFonts w:ascii="Arial" w:hAnsi="Arial" w:cs="David" w:hint="cs"/>
          <w:rtl/>
        </w:rPr>
        <w:t>ו</w:t>
      </w:r>
      <w:r w:rsidR="003C2C27" w:rsidRPr="00056554">
        <w:rPr>
          <w:rFonts w:ascii="Arial" w:hAnsi="Arial" w:cs="David" w:hint="cs"/>
          <w:rtl/>
        </w:rPr>
        <w:t>זרם</w:t>
      </w:r>
      <w:r w:rsidR="00B94908" w:rsidRPr="00056554">
        <w:rPr>
          <w:rFonts w:ascii="Arial" w:hAnsi="Arial" w:cs="David" w:hint="cs"/>
          <w:rtl/>
        </w:rPr>
        <w:t xml:space="preserve"> השקעות פיננסיות</w:t>
      </w:r>
      <w:r w:rsidR="003C2C27" w:rsidRPr="00056554">
        <w:rPr>
          <w:rFonts w:ascii="Arial" w:hAnsi="Arial" w:cs="David" w:hint="cs"/>
          <w:rtl/>
        </w:rPr>
        <w:t xml:space="preserve"> של 9.8 מיליארדי דולרים</w:t>
      </w:r>
      <w:r w:rsidR="00B94908" w:rsidRPr="00056554">
        <w:rPr>
          <w:rFonts w:ascii="Arial" w:hAnsi="Arial" w:cs="David" w:hint="cs"/>
          <w:rtl/>
        </w:rPr>
        <w:t xml:space="preserve">, </w:t>
      </w:r>
      <w:r w:rsidR="003C2C27" w:rsidRPr="00056554">
        <w:rPr>
          <w:rFonts w:ascii="Arial" w:hAnsi="Arial" w:cs="David" w:hint="cs"/>
          <w:rtl/>
        </w:rPr>
        <w:t>שהיה גדול משמעותית</w:t>
      </w:r>
      <w:r w:rsidR="00B94908" w:rsidRPr="00056554">
        <w:rPr>
          <w:rFonts w:ascii="Arial" w:hAnsi="Arial" w:cs="David" w:hint="cs"/>
          <w:rtl/>
        </w:rPr>
        <w:t xml:space="preserve"> ב-2014</w:t>
      </w:r>
      <w:r w:rsidR="003C2C27" w:rsidRPr="00056554">
        <w:rPr>
          <w:rFonts w:ascii="Arial" w:hAnsi="Arial" w:cs="David" w:hint="cs"/>
          <w:rtl/>
        </w:rPr>
        <w:t xml:space="preserve"> מממוצע 3 השנים האחרונות</w:t>
      </w:r>
      <w:r w:rsidR="00B94908" w:rsidRPr="00056554">
        <w:rPr>
          <w:rFonts w:ascii="Arial" w:hAnsi="Arial" w:cs="David" w:hint="cs"/>
          <w:rtl/>
        </w:rPr>
        <w:t xml:space="preserve"> (מימושים של</w:t>
      </w:r>
      <w:r w:rsidR="003C2C27" w:rsidRPr="00056554">
        <w:rPr>
          <w:rFonts w:ascii="Arial" w:hAnsi="Arial" w:cs="David" w:hint="cs"/>
          <w:rtl/>
        </w:rPr>
        <w:t xml:space="preserve"> 2.3 מיליארדים</w:t>
      </w:r>
      <w:r w:rsidR="00B94908" w:rsidRPr="00056554">
        <w:rPr>
          <w:rFonts w:ascii="Arial" w:hAnsi="Arial" w:cs="David" w:hint="cs"/>
          <w:rtl/>
        </w:rPr>
        <w:t>)</w:t>
      </w:r>
      <w:r w:rsidR="003C2C27" w:rsidRPr="00056554">
        <w:rPr>
          <w:rFonts w:ascii="Arial" w:hAnsi="Arial" w:cs="David" w:hint="cs"/>
          <w:rtl/>
        </w:rPr>
        <w:t xml:space="preserve">. </w:t>
      </w:r>
    </w:p>
    <w:p w:rsidR="005E155A" w:rsidRDefault="00B94908" w:rsidP="00B94908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 xml:space="preserve">בנוסף תרם לגידול ביתרת ההתחייבויות, גם </w:t>
      </w:r>
      <w:r w:rsidR="00114EAF">
        <w:rPr>
          <w:rFonts w:ascii="Arial" w:hAnsi="Arial" w:cs="David" w:hint="cs"/>
          <w:rtl/>
        </w:rPr>
        <w:t>זרם</w:t>
      </w:r>
      <w:r w:rsidR="005B0E5B">
        <w:rPr>
          <w:rFonts w:ascii="Arial" w:hAnsi="Arial" w:cs="David" w:hint="cs"/>
          <w:rtl/>
        </w:rPr>
        <w:t xml:space="preserve"> השקעות</w:t>
      </w:r>
      <w:r w:rsidR="003C2C27">
        <w:rPr>
          <w:rFonts w:ascii="Arial" w:hAnsi="Arial" w:cs="David" w:hint="cs"/>
          <w:rtl/>
        </w:rPr>
        <w:t xml:space="preserve"> ישירות</w:t>
      </w:r>
      <w:r w:rsidR="00BA7343">
        <w:rPr>
          <w:rFonts w:ascii="Arial" w:hAnsi="Arial" w:cs="David" w:hint="cs"/>
          <w:rtl/>
        </w:rPr>
        <w:t xml:space="preserve"> נטו</w:t>
      </w:r>
      <w:r w:rsidR="003C2C27">
        <w:rPr>
          <w:rFonts w:ascii="Arial" w:hAnsi="Arial" w:cs="David" w:hint="cs"/>
          <w:rtl/>
        </w:rPr>
        <w:t xml:space="preserve"> במשק</w:t>
      </w:r>
      <w:r w:rsidR="005B0E5B">
        <w:rPr>
          <w:rFonts w:ascii="Arial" w:hAnsi="Arial" w:cs="David" w:hint="cs"/>
          <w:rtl/>
        </w:rPr>
        <w:t xml:space="preserve"> של 6.4</w:t>
      </w:r>
      <w:r w:rsidR="005B0E5B" w:rsidRPr="007622E4">
        <w:rPr>
          <w:rFonts w:ascii="Arial" w:hAnsi="Arial" w:cs="David" w:hint="cs"/>
          <w:rtl/>
        </w:rPr>
        <w:t xml:space="preserve"> מיליארדים</w:t>
      </w:r>
      <w:r w:rsidR="005E155A">
        <w:rPr>
          <w:rFonts w:ascii="Arial" w:hAnsi="Arial" w:cs="David" w:hint="cs"/>
          <w:rtl/>
        </w:rPr>
        <w:t>,</w:t>
      </w:r>
      <w:r w:rsidR="005B0E5B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שהיה מתון יותר בהשוואה לשנתיים האחרונות.</w:t>
      </w:r>
      <w:r w:rsidR="00990924">
        <w:rPr>
          <w:rFonts w:ascii="Arial" w:hAnsi="Arial" w:cs="David" w:hint="cs"/>
          <w:rtl/>
        </w:rPr>
        <w:t xml:space="preserve"> </w:t>
      </w:r>
    </w:p>
    <w:p w:rsidR="00205E8F" w:rsidRPr="007622E4" w:rsidRDefault="00BA7343" w:rsidP="00610075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מנגד, בשנת 2014</w:t>
      </w:r>
      <w:r w:rsidR="005E155A">
        <w:rPr>
          <w:rFonts w:ascii="Arial" w:hAnsi="Arial" w:cs="David" w:hint="cs"/>
          <w:rtl/>
        </w:rPr>
        <w:t xml:space="preserve"> חלה ירידה ביתרת ההשקעות האחרות של </w:t>
      </w:r>
      <w:r w:rsidR="00610075" w:rsidRPr="00CD10BD">
        <w:rPr>
          <w:rFonts w:ascii="Arial" w:hAnsi="Arial" w:cs="David" w:hint="cs"/>
          <w:rtl/>
        </w:rPr>
        <w:t>תושבי חוץ בארץ</w:t>
      </w:r>
      <w:r>
        <w:rPr>
          <w:rFonts w:ascii="Arial" w:hAnsi="Arial" w:cs="David" w:hint="cs"/>
          <w:rtl/>
        </w:rPr>
        <w:t xml:space="preserve"> </w:t>
      </w:r>
      <w:r w:rsidR="005E155A">
        <w:rPr>
          <w:rFonts w:ascii="Arial" w:hAnsi="Arial" w:cs="David" w:hint="cs"/>
          <w:rtl/>
        </w:rPr>
        <w:t>-</w:t>
      </w:r>
      <w:r>
        <w:rPr>
          <w:rFonts w:ascii="Arial" w:hAnsi="Arial" w:cs="David" w:hint="cs"/>
          <w:rtl/>
        </w:rPr>
        <w:t xml:space="preserve"> בעיקר בפיקדונות תושבי חוץ (4.1 מיליארדים) ובהלוואות (2.1 מיליארדים)</w:t>
      </w:r>
      <w:r w:rsidR="00990924">
        <w:rPr>
          <w:rFonts w:ascii="Arial" w:hAnsi="Arial" w:cs="David" w:hint="cs"/>
          <w:rtl/>
        </w:rPr>
        <w:t>.</w:t>
      </w:r>
    </w:p>
    <w:p w:rsidR="005D09C7" w:rsidRDefault="00390C6E" w:rsidP="005E155A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b/>
          <w:bCs/>
          <w:rtl/>
        </w:rPr>
        <w:t>שווי התיק הפיננסי של תושבי חוץ</w:t>
      </w:r>
      <w:r w:rsidRPr="003F3174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b/>
          <w:bCs/>
          <w:rtl/>
        </w:rPr>
        <w:t xml:space="preserve">בבורסה לני"ע בתל-אביב </w:t>
      </w:r>
      <w:r>
        <w:rPr>
          <w:rFonts w:ascii="Arial" w:hAnsi="Arial" w:cs="David" w:hint="cs"/>
          <w:rtl/>
        </w:rPr>
        <w:t xml:space="preserve">עלה </w:t>
      </w:r>
      <w:r w:rsidR="00F62A12">
        <w:rPr>
          <w:rFonts w:ascii="Arial" w:hAnsi="Arial" w:cs="David" w:hint="cs"/>
          <w:rtl/>
        </w:rPr>
        <w:t>בשנת 201</w:t>
      </w:r>
      <w:r w:rsidR="005E155A">
        <w:rPr>
          <w:rFonts w:ascii="Arial" w:hAnsi="Arial" w:cs="David" w:hint="cs"/>
          <w:rtl/>
        </w:rPr>
        <w:t>4</w:t>
      </w:r>
      <w:r>
        <w:rPr>
          <w:rFonts w:ascii="Arial" w:hAnsi="Arial" w:cs="David" w:hint="cs"/>
          <w:rtl/>
        </w:rPr>
        <w:t xml:space="preserve"> ב</w:t>
      </w:r>
      <w:r w:rsidRPr="003F3174">
        <w:rPr>
          <w:rFonts w:ascii="Arial" w:hAnsi="Arial" w:cs="David" w:hint="cs"/>
          <w:rtl/>
        </w:rPr>
        <w:t>-</w:t>
      </w:r>
      <w:r w:rsidR="00F62A12">
        <w:rPr>
          <w:rFonts w:ascii="Arial" w:hAnsi="Arial" w:cs="David" w:hint="cs"/>
          <w:rtl/>
        </w:rPr>
        <w:t>3</w:t>
      </w:r>
      <w:r w:rsidR="006F38F9">
        <w:rPr>
          <w:rFonts w:ascii="Arial" w:hAnsi="Arial" w:cs="David" w:hint="cs"/>
          <w:rtl/>
        </w:rPr>
        <w:t>.</w:t>
      </w:r>
      <w:r w:rsidR="002970DD">
        <w:rPr>
          <w:rFonts w:ascii="Arial" w:hAnsi="Arial" w:cs="David" w:hint="cs"/>
          <w:rtl/>
        </w:rPr>
        <w:t>6</w:t>
      </w:r>
      <w:r w:rsidR="006F38F9">
        <w:rPr>
          <w:rFonts w:ascii="Arial" w:hAnsi="Arial" w:cs="David" w:hint="cs"/>
          <w:rtl/>
        </w:rPr>
        <w:t xml:space="preserve"> </w:t>
      </w:r>
      <w:r w:rsidRPr="003F3174">
        <w:rPr>
          <w:rFonts w:ascii="Arial" w:hAnsi="Arial" w:cs="David" w:hint="cs"/>
          <w:rtl/>
        </w:rPr>
        <w:t>מיליארדי</w:t>
      </w:r>
      <w:r>
        <w:rPr>
          <w:rFonts w:ascii="Arial" w:hAnsi="Arial" w:cs="David" w:hint="cs"/>
          <w:rtl/>
        </w:rPr>
        <w:t xml:space="preserve"> דולרים (</w:t>
      </w:r>
      <w:r w:rsidR="002970DD">
        <w:rPr>
          <w:rFonts w:ascii="Arial" w:hAnsi="Arial" w:cs="David" w:hint="cs"/>
          <w:rtl/>
        </w:rPr>
        <w:t>12</w:t>
      </w:r>
      <w:r>
        <w:rPr>
          <w:rFonts w:ascii="Arial" w:hAnsi="Arial" w:cs="David" w:hint="cs"/>
          <w:rtl/>
        </w:rPr>
        <w:t xml:space="preserve">%) </w:t>
      </w:r>
      <w:r w:rsidRPr="003F3174">
        <w:rPr>
          <w:rFonts w:ascii="Arial" w:hAnsi="Arial" w:cs="David" w:hint="cs"/>
          <w:rtl/>
        </w:rPr>
        <w:t xml:space="preserve">ועמד בסוף </w:t>
      </w:r>
      <w:r>
        <w:rPr>
          <w:rFonts w:ascii="Arial" w:hAnsi="Arial" w:cs="David" w:hint="cs"/>
          <w:rtl/>
        </w:rPr>
        <w:t>ה</w:t>
      </w:r>
      <w:r w:rsidR="00F62A12">
        <w:rPr>
          <w:rFonts w:ascii="Arial" w:hAnsi="Arial" w:cs="David" w:hint="cs"/>
          <w:rtl/>
        </w:rPr>
        <w:t>שנה</w:t>
      </w:r>
      <w:r w:rsidRPr="003F3174">
        <w:rPr>
          <w:rFonts w:ascii="Arial" w:hAnsi="Arial" w:cs="David" w:hint="cs"/>
          <w:rtl/>
        </w:rPr>
        <w:t xml:space="preserve"> על כ-</w:t>
      </w:r>
      <w:r w:rsidR="006F38F9">
        <w:rPr>
          <w:rFonts w:ascii="Arial" w:hAnsi="Arial" w:cs="David" w:hint="cs"/>
          <w:rtl/>
        </w:rPr>
        <w:t>3</w:t>
      </w:r>
      <w:r w:rsidR="00F62A12">
        <w:rPr>
          <w:rFonts w:ascii="Arial" w:hAnsi="Arial" w:cs="David" w:hint="cs"/>
          <w:rtl/>
        </w:rPr>
        <w:t>3.6</w:t>
      </w:r>
      <w:r w:rsidRPr="003F3174">
        <w:rPr>
          <w:rFonts w:ascii="Arial" w:hAnsi="Arial" w:cs="David" w:hint="cs"/>
          <w:rtl/>
        </w:rPr>
        <w:t xml:space="preserve"> מיליארדים</w:t>
      </w:r>
      <w:r w:rsidR="003F3174" w:rsidRPr="003F3174">
        <w:rPr>
          <w:rFonts w:ascii="Arial" w:hAnsi="Arial" w:cs="David" w:hint="cs"/>
          <w:rtl/>
        </w:rPr>
        <w:t>.</w:t>
      </w:r>
      <w:r w:rsidR="004D7E3C" w:rsidRPr="003F3174">
        <w:rPr>
          <w:rFonts w:ascii="Arial" w:hAnsi="Arial" w:cs="David" w:hint="cs"/>
          <w:rtl/>
        </w:rPr>
        <w:t xml:space="preserve"> </w:t>
      </w:r>
      <w:r w:rsidR="00CF5F1A">
        <w:rPr>
          <w:rFonts w:ascii="Arial" w:hAnsi="Arial" w:cs="David" w:hint="cs"/>
          <w:rtl/>
        </w:rPr>
        <w:t xml:space="preserve">השקעות של </w:t>
      </w:r>
      <w:r w:rsidR="002970DD">
        <w:rPr>
          <w:rFonts w:ascii="Arial" w:hAnsi="Arial" w:cs="David" w:hint="cs"/>
          <w:rtl/>
        </w:rPr>
        <w:t>3.5</w:t>
      </w:r>
      <w:r w:rsidR="00395622">
        <w:rPr>
          <w:rFonts w:ascii="Arial" w:hAnsi="Arial" w:cs="David" w:hint="cs"/>
          <w:rtl/>
        </w:rPr>
        <w:t xml:space="preserve"> מיליארדים </w:t>
      </w:r>
      <w:r w:rsidR="002970DD">
        <w:rPr>
          <w:rFonts w:ascii="Arial" w:hAnsi="Arial" w:cs="David" w:hint="cs"/>
          <w:rtl/>
        </w:rPr>
        <w:t xml:space="preserve">באג"ח </w:t>
      </w:r>
      <w:proofErr w:type="spellStart"/>
      <w:r w:rsidR="002970DD">
        <w:rPr>
          <w:rFonts w:ascii="Arial" w:hAnsi="Arial" w:cs="David" w:hint="cs"/>
          <w:rtl/>
        </w:rPr>
        <w:t>ומק"ם</w:t>
      </w:r>
      <w:proofErr w:type="spellEnd"/>
      <w:r w:rsidR="002970DD">
        <w:rPr>
          <w:rFonts w:ascii="Arial" w:hAnsi="Arial" w:cs="David" w:hint="cs"/>
          <w:rtl/>
        </w:rPr>
        <w:t xml:space="preserve"> וכן השקעות של 0.8 מיליארדים במניות</w:t>
      </w:r>
      <w:r w:rsidR="00E55D79">
        <w:rPr>
          <w:rFonts w:ascii="Arial" w:hAnsi="Arial" w:cs="David" w:hint="cs"/>
          <w:rtl/>
        </w:rPr>
        <w:t>.</w:t>
      </w:r>
      <w:r w:rsidR="002B5065">
        <w:rPr>
          <w:rFonts w:ascii="Arial" w:hAnsi="Arial" w:cs="David" w:hint="cs"/>
          <w:rtl/>
        </w:rPr>
        <w:t xml:space="preserve"> </w:t>
      </w:r>
      <w:r w:rsidR="005165CD" w:rsidRPr="003F3174">
        <w:rPr>
          <w:rFonts w:ascii="Arial" w:hAnsi="Arial" w:cs="David" w:hint="cs"/>
          <w:rtl/>
        </w:rPr>
        <w:t xml:space="preserve">(תרשים </w:t>
      </w:r>
      <w:r w:rsidR="00FC5E45">
        <w:rPr>
          <w:rFonts w:ascii="Arial" w:hAnsi="Arial" w:cs="David" w:hint="cs"/>
          <w:rtl/>
        </w:rPr>
        <w:t>3</w:t>
      </w:r>
      <w:r w:rsidR="005165CD" w:rsidRPr="003F3174">
        <w:rPr>
          <w:rFonts w:ascii="Arial" w:hAnsi="Arial" w:cs="David" w:hint="cs"/>
          <w:rtl/>
        </w:rPr>
        <w:t>)</w:t>
      </w:r>
      <w:r w:rsidR="00806E82" w:rsidRPr="003F3174">
        <w:rPr>
          <w:rFonts w:ascii="Arial" w:hAnsi="Arial" w:cs="David" w:hint="cs"/>
          <w:rtl/>
        </w:rPr>
        <w:t>.</w:t>
      </w:r>
      <w:r w:rsidR="003E5C97" w:rsidRPr="003F3174">
        <w:rPr>
          <w:rFonts w:ascii="Arial" w:hAnsi="Arial" w:cs="David" w:hint="cs"/>
          <w:rtl/>
        </w:rPr>
        <w:t xml:space="preserve"> </w:t>
      </w:r>
    </w:p>
    <w:p w:rsidR="00E24D08" w:rsidRPr="003F3174" w:rsidRDefault="00E24D08" w:rsidP="00FC5E45">
      <w:pPr>
        <w:spacing w:line="360" w:lineRule="auto"/>
        <w:jc w:val="both"/>
        <w:rPr>
          <w:rFonts w:ascii="Arial" w:hAnsi="Arial" w:cs="David" w:hint="cs"/>
          <w:rtl/>
        </w:rPr>
      </w:pPr>
    </w:p>
    <w:p w:rsidR="00623EA3" w:rsidRDefault="00056554" w:rsidP="00801E84">
      <w:pPr>
        <w:spacing w:line="360" w:lineRule="auto"/>
        <w:jc w:val="both"/>
        <w:rPr>
          <w:rFonts w:hint="cs"/>
          <w:rtl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39" name="תמונה 39" descr="תרשים 3: שווי תיק ני&quot;ע של תושבי חוץ בבורסה בתל-אביב" title="תרשים 3: שווי תיק ני&quot;ע של תושבי חוץ בבורסה בתל-אבי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D08" w:rsidRDefault="00E24D08" w:rsidP="00801E84">
      <w:pPr>
        <w:spacing w:line="360" w:lineRule="auto"/>
        <w:jc w:val="both"/>
        <w:rPr>
          <w:rFonts w:hint="cs"/>
          <w:rtl/>
        </w:rPr>
      </w:pPr>
    </w:p>
    <w:p w:rsidR="009522BF" w:rsidRPr="00056554" w:rsidRDefault="009522BF" w:rsidP="00056554">
      <w:pPr>
        <w:pStyle w:val="ab"/>
        <w:numPr>
          <w:ilvl w:val="0"/>
          <w:numId w:val="11"/>
        </w:numPr>
        <w:spacing w:line="360" w:lineRule="auto"/>
        <w:jc w:val="both"/>
        <w:rPr>
          <w:rFonts w:ascii="Arial" w:hAnsi="Arial" w:cs="David" w:hint="cs"/>
          <w:b/>
          <w:bCs/>
          <w:u w:val="single"/>
          <w:rtl/>
        </w:rPr>
      </w:pPr>
      <w:r w:rsidRPr="00056554">
        <w:rPr>
          <w:rFonts w:ascii="Arial" w:hAnsi="Arial" w:cs="David" w:hint="cs"/>
          <w:b/>
          <w:bCs/>
          <w:rtl/>
        </w:rPr>
        <w:t xml:space="preserve">החוב החיצוני </w:t>
      </w:r>
      <w:r w:rsidR="00921B27" w:rsidRPr="00056554">
        <w:rPr>
          <w:rFonts w:ascii="Arial" w:hAnsi="Arial" w:cs="David" w:hint="cs"/>
          <w:b/>
          <w:bCs/>
          <w:rtl/>
        </w:rPr>
        <w:t>ברוטו</w:t>
      </w:r>
    </w:p>
    <w:p w:rsidR="009522BF" w:rsidRPr="003F3174" w:rsidRDefault="00AC535A" w:rsidP="0094002E">
      <w:pPr>
        <w:spacing w:line="360" w:lineRule="auto"/>
        <w:jc w:val="both"/>
        <w:rPr>
          <w:rFonts w:ascii="Arial" w:hAnsi="Arial" w:cs="David" w:hint="cs"/>
          <w:rtl/>
        </w:rPr>
      </w:pPr>
      <w:r w:rsidRPr="003F3174">
        <w:rPr>
          <w:rFonts w:ascii="Arial" w:hAnsi="Arial" w:cs="David" w:hint="cs"/>
          <w:rtl/>
        </w:rPr>
        <w:t xml:space="preserve">החוב החיצוני ברוטו </w:t>
      </w:r>
      <w:r w:rsidR="0094002E">
        <w:rPr>
          <w:rFonts w:ascii="Arial" w:hAnsi="Arial" w:cs="David" w:hint="cs"/>
          <w:rtl/>
        </w:rPr>
        <w:t>עלה</w:t>
      </w:r>
      <w:r w:rsidR="00AE53C1">
        <w:rPr>
          <w:rFonts w:ascii="Arial" w:hAnsi="Arial" w:cs="David" w:hint="cs"/>
          <w:rtl/>
        </w:rPr>
        <w:t xml:space="preserve"> </w:t>
      </w:r>
      <w:r w:rsidR="00D77097" w:rsidRPr="003F3174">
        <w:rPr>
          <w:rFonts w:ascii="Arial" w:hAnsi="Arial" w:cs="David" w:hint="cs"/>
          <w:b/>
          <w:bCs/>
          <w:rtl/>
        </w:rPr>
        <w:t xml:space="preserve">במהלך </w:t>
      </w:r>
      <w:r w:rsidR="00D77097">
        <w:rPr>
          <w:rFonts w:ascii="Arial" w:hAnsi="Arial" w:cs="David" w:hint="cs"/>
          <w:b/>
          <w:bCs/>
          <w:rtl/>
        </w:rPr>
        <w:t xml:space="preserve">שנת </w:t>
      </w:r>
      <w:r w:rsidR="00C940F0">
        <w:rPr>
          <w:rFonts w:ascii="Arial" w:hAnsi="Arial" w:cs="David" w:hint="cs"/>
          <w:b/>
          <w:bCs/>
          <w:rtl/>
        </w:rPr>
        <w:t>2014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="0094002E" w:rsidRPr="0094002E">
        <w:rPr>
          <w:rFonts w:ascii="Arial" w:hAnsi="Arial" w:cs="David" w:hint="cs"/>
          <w:rtl/>
        </w:rPr>
        <w:t>ב</w:t>
      </w:r>
      <w:r w:rsidR="0094002E">
        <w:rPr>
          <w:rFonts w:ascii="Arial" w:hAnsi="Arial" w:cs="David" w:hint="cs"/>
          <w:rtl/>
        </w:rPr>
        <w:t>-</w:t>
      </w:r>
      <w:r w:rsidR="0094002E" w:rsidRPr="0094002E">
        <w:rPr>
          <w:rFonts w:ascii="Arial" w:hAnsi="Arial" w:cs="David" w:hint="cs"/>
          <w:rtl/>
        </w:rPr>
        <w:t>2.2 מיליארדי דולרים</w:t>
      </w:r>
      <w:r w:rsidR="0094002E"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94002E">
        <w:rPr>
          <w:rFonts w:ascii="Arial" w:hAnsi="Arial" w:cs="David" w:hint="cs"/>
          <w:rtl/>
        </w:rPr>
        <w:t>2.3</w:t>
      </w:r>
      <w:r w:rsidR="001B60EB"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 w:rsidR="008877D7">
        <w:rPr>
          <w:rFonts w:ascii="Arial" w:hAnsi="Arial" w:cs="David" w:hint="cs"/>
          <w:rtl/>
        </w:rPr>
        <w:t>:</w:t>
      </w:r>
      <w:r w:rsidRPr="003F3174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>ה</w:t>
      </w:r>
      <w:r w:rsidR="0094002E">
        <w:rPr>
          <w:rFonts w:ascii="Arial" w:hAnsi="Arial" w:cs="David" w:hint="cs"/>
          <w:rtl/>
        </w:rPr>
        <w:t>עליי</w:t>
      </w:r>
      <w:r w:rsidR="001F6055">
        <w:rPr>
          <w:rFonts w:ascii="Arial" w:hAnsi="Arial" w:cs="David" w:hint="cs"/>
          <w:rtl/>
        </w:rPr>
        <w:t xml:space="preserve">ה משקפת </w:t>
      </w:r>
      <w:r w:rsidR="0094002E">
        <w:rPr>
          <w:rFonts w:ascii="Arial" w:hAnsi="Arial" w:cs="David" w:hint="cs"/>
          <w:rtl/>
        </w:rPr>
        <w:t xml:space="preserve">השקעות </w:t>
      </w:r>
      <w:proofErr w:type="spellStart"/>
      <w:r w:rsidR="0094002E">
        <w:rPr>
          <w:rFonts w:ascii="Arial" w:hAnsi="Arial" w:cs="David" w:hint="cs"/>
          <w:rtl/>
        </w:rPr>
        <w:t>תו"ח</w:t>
      </w:r>
      <w:proofErr w:type="spellEnd"/>
      <w:r w:rsidR="0094002E">
        <w:rPr>
          <w:rFonts w:ascii="Arial" w:hAnsi="Arial" w:cs="David" w:hint="cs"/>
          <w:rtl/>
        </w:rPr>
        <w:t xml:space="preserve"> באג"ח ישראליות ועלייה ביתרת הלוואות הבעלים. אלו קוזזו בחלקם  ע"י </w:t>
      </w:r>
      <w:r w:rsidR="00801E84">
        <w:rPr>
          <w:rFonts w:ascii="Arial" w:hAnsi="Arial" w:cs="David" w:hint="cs"/>
          <w:rtl/>
        </w:rPr>
        <w:t>פדיונות</w:t>
      </w:r>
      <w:r w:rsidR="001F6055" w:rsidRPr="003F3174">
        <w:rPr>
          <w:rFonts w:ascii="Arial" w:hAnsi="Arial" w:cs="David" w:hint="cs"/>
          <w:rtl/>
        </w:rPr>
        <w:t xml:space="preserve"> של תושבי חוץ </w:t>
      </w:r>
      <w:r w:rsidR="001F6055">
        <w:rPr>
          <w:rFonts w:ascii="Arial" w:hAnsi="Arial" w:cs="David" w:hint="cs"/>
          <w:rtl/>
        </w:rPr>
        <w:t>מ</w:t>
      </w:r>
      <w:r w:rsidR="001F6055" w:rsidRPr="003F3174">
        <w:rPr>
          <w:rFonts w:ascii="Arial" w:hAnsi="Arial" w:cs="David" w:hint="cs"/>
          <w:rtl/>
        </w:rPr>
        <w:t>פיקדונות בבנקים ישראלים</w:t>
      </w:r>
      <w:r w:rsidR="0094002E">
        <w:rPr>
          <w:rFonts w:ascii="Arial" w:hAnsi="Arial" w:cs="David" w:hint="cs"/>
          <w:rtl/>
        </w:rPr>
        <w:t xml:space="preserve"> וכן ע"י</w:t>
      </w:r>
      <w:r w:rsidR="001F6055" w:rsidRPr="001F6055">
        <w:rPr>
          <w:rFonts w:ascii="Arial" w:hAnsi="Arial" w:cs="David" w:hint="cs"/>
          <w:rtl/>
        </w:rPr>
        <w:t xml:space="preserve"> </w:t>
      </w:r>
      <w:r w:rsidR="001F6055">
        <w:rPr>
          <w:rFonts w:ascii="Arial" w:hAnsi="Arial" w:cs="David" w:hint="cs"/>
          <w:rtl/>
        </w:rPr>
        <w:t xml:space="preserve">ירידה </w:t>
      </w:r>
      <w:r w:rsidR="0094002E">
        <w:rPr>
          <w:rFonts w:ascii="Arial" w:hAnsi="Arial" w:cs="David" w:hint="cs"/>
          <w:rtl/>
        </w:rPr>
        <w:t>בהלוואות</w:t>
      </w:r>
      <w:r w:rsidR="001F6055">
        <w:rPr>
          <w:rFonts w:ascii="Arial" w:hAnsi="Arial" w:cs="David" w:hint="cs"/>
          <w:rtl/>
        </w:rPr>
        <w:t>.</w:t>
      </w:r>
    </w:p>
    <w:p w:rsidR="00846D0E" w:rsidRDefault="009522BF" w:rsidP="00AD79F3">
      <w:pPr>
        <w:spacing w:line="360" w:lineRule="auto"/>
        <w:jc w:val="both"/>
        <w:rPr>
          <w:rFonts w:hint="cs"/>
          <w:rtl/>
        </w:rPr>
      </w:pPr>
      <w:r w:rsidRPr="00C30766">
        <w:rPr>
          <w:rFonts w:ascii="Arial" w:hAnsi="Arial" w:cs="David" w:hint="cs"/>
          <w:rtl/>
        </w:rPr>
        <w:t xml:space="preserve">היחס שבין החוב החיצוני לתמ"ג </w:t>
      </w:r>
      <w:r w:rsidR="00B80CBB">
        <w:rPr>
          <w:rFonts w:ascii="Arial" w:hAnsi="Arial" w:cs="David" w:hint="cs"/>
          <w:rtl/>
        </w:rPr>
        <w:t>עלה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94002E">
        <w:rPr>
          <w:rFonts w:ascii="Arial" w:hAnsi="Arial" w:cs="David" w:hint="cs"/>
          <w:rtl/>
        </w:rPr>
        <w:t>בשנת 2014</w:t>
      </w:r>
      <w:r w:rsidR="007705DB" w:rsidRPr="00C30766">
        <w:rPr>
          <w:rFonts w:ascii="Arial" w:hAnsi="Arial" w:cs="David" w:hint="cs"/>
          <w:rtl/>
        </w:rPr>
        <w:t xml:space="preserve"> </w:t>
      </w:r>
      <w:r w:rsidR="00C940F0">
        <w:rPr>
          <w:rFonts w:ascii="Arial" w:hAnsi="Arial" w:cs="David" w:hint="cs"/>
          <w:rtl/>
        </w:rPr>
        <w:t>ב</w:t>
      </w:r>
      <w:r w:rsidR="007705DB" w:rsidRPr="00C30766">
        <w:rPr>
          <w:rFonts w:ascii="Arial" w:hAnsi="Arial" w:cs="David" w:hint="cs"/>
          <w:rtl/>
        </w:rPr>
        <w:t>-</w:t>
      </w:r>
      <w:r w:rsidR="0094002E">
        <w:rPr>
          <w:rFonts w:ascii="Arial" w:hAnsi="Arial" w:cs="David" w:hint="cs"/>
          <w:rtl/>
        </w:rPr>
        <w:t>3</w:t>
      </w:r>
      <w:r w:rsidR="00B80CBB">
        <w:rPr>
          <w:rFonts w:ascii="Arial" w:hAnsi="Arial" w:cs="David" w:hint="cs"/>
          <w:rtl/>
        </w:rPr>
        <w:t>.</w:t>
      </w:r>
      <w:r w:rsidR="0094002E">
        <w:rPr>
          <w:rFonts w:ascii="Arial" w:hAnsi="Arial" w:cs="David" w:hint="cs"/>
          <w:rtl/>
        </w:rPr>
        <w:t>3</w:t>
      </w:r>
      <w:r w:rsidR="00234D80">
        <w:rPr>
          <w:rFonts w:ascii="Arial" w:hAnsi="Arial" w:cs="David" w:hint="cs"/>
          <w:rtl/>
        </w:rPr>
        <w:t xml:space="preserve"> </w:t>
      </w:r>
      <w:r w:rsidR="007705DB" w:rsidRPr="00C30766">
        <w:rPr>
          <w:rFonts w:ascii="Arial" w:hAnsi="Arial" w:cs="David" w:hint="cs"/>
          <w:rtl/>
        </w:rPr>
        <w:t xml:space="preserve">נקודות </w:t>
      </w:r>
      <w:r w:rsidR="00C940F0">
        <w:rPr>
          <w:rFonts w:ascii="Arial" w:hAnsi="Arial" w:cs="David" w:hint="cs"/>
          <w:rtl/>
        </w:rPr>
        <w:t>אחוז</w:t>
      </w:r>
      <w:r w:rsidR="00B80CBB" w:rsidRPr="00B80CBB">
        <w:rPr>
          <w:rFonts w:ascii="Arial" w:hAnsi="Arial" w:cs="David" w:hint="cs"/>
          <w:rtl/>
        </w:rPr>
        <w:t xml:space="preserve"> </w:t>
      </w:r>
      <w:r w:rsidR="00B80CBB">
        <w:rPr>
          <w:rFonts w:ascii="Arial" w:hAnsi="Arial" w:cs="David" w:hint="cs"/>
          <w:rtl/>
        </w:rPr>
        <w:t xml:space="preserve">ועמד בסוף </w:t>
      </w:r>
      <w:r w:rsidR="0094002E">
        <w:rPr>
          <w:rFonts w:ascii="Arial" w:hAnsi="Arial" w:cs="David" w:hint="cs"/>
          <w:rtl/>
        </w:rPr>
        <w:t>השנה</w:t>
      </w:r>
      <w:r w:rsidR="00B80CBB">
        <w:rPr>
          <w:rFonts w:ascii="Arial" w:hAnsi="Arial" w:cs="David" w:hint="cs"/>
          <w:rtl/>
        </w:rPr>
        <w:t xml:space="preserve"> </w:t>
      </w:r>
      <w:r w:rsidR="00B80CBB" w:rsidRPr="00C30766">
        <w:rPr>
          <w:rFonts w:ascii="Arial" w:hAnsi="Arial" w:cs="David" w:hint="cs"/>
          <w:rtl/>
        </w:rPr>
        <w:t xml:space="preserve">על </w:t>
      </w:r>
      <w:r w:rsidR="00B80CBB">
        <w:rPr>
          <w:rFonts w:ascii="Arial" w:hAnsi="Arial" w:cs="David" w:hint="cs"/>
          <w:rtl/>
        </w:rPr>
        <w:t>34.</w:t>
      </w:r>
      <w:r w:rsidR="0094002E">
        <w:rPr>
          <w:rFonts w:ascii="Arial" w:hAnsi="Arial" w:cs="David" w:hint="cs"/>
          <w:rtl/>
        </w:rPr>
        <w:t>9</w:t>
      </w:r>
      <w:r w:rsidR="00B80CBB" w:rsidRPr="00C30766">
        <w:rPr>
          <w:rFonts w:ascii="Arial" w:hAnsi="Arial" w:cs="David" w:hint="cs"/>
          <w:rtl/>
        </w:rPr>
        <w:t>%</w:t>
      </w:r>
      <w:r w:rsidR="00C940F0">
        <w:rPr>
          <w:rFonts w:ascii="Arial" w:hAnsi="Arial" w:cs="David" w:hint="cs"/>
          <w:rtl/>
        </w:rPr>
        <w:t xml:space="preserve">, זאת </w:t>
      </w:r>
      <w:r w:rsidR="0094002E">
        <w:rPr>
          <w:rFonts w:ascii="Arial" w:hAnsi="Arial" w:cs="David" w:hint="cs"/>
          <w:rtl/>
        </w:rPr>
        <w:t>בניגוד</w:t>
      </w:r>
      <w:r w:rsidR="00B80CBB">
        <w:rPr>
          <w:rFonts w:ascii="Arial" w:hAnsi="Arial" w:cs="David" w:hint="cs"/>
          <w:rtl/>
        </w:rPr>
        <w:t xml:space="preserve"> ל</w:t>
      </w:r>
      <w:r w:rsidR="0094002E">
        <w:rPr>
          <w:rFonts w:ascii="Arial" w:hAnsi="Arial" w:cs="David" w:hint="cs"/>
          <w:rtl/>
        </w:rPr>
        <w:t>ירידה</w:t>
      </w:r>
      <w:r w:rsidR="001F6055">
        <w:rPr>
          <w:rFonts w:ascii="Arial" w:hAnsi="Arial" w:cs="David" w:hint="cs"/>
          <w:rtl/>
        </w:rPr>
        <w:t xml:space="preserve"> של </w:t>
      </w:r>
      <w:r w:rsidR="0094002E">
        <w:rPr>
          <w:rFonts w:ascii="Arial" w:hAnsi="Arial" w:cs="David" w:hint="cs"/>
          <w:rtl/>
        </w:rPr>
        <w:t>5</w:t>
      </w:r>
      <w:r w:rsidR="001F6055">
        <w:rPr>
          <w:rFonts w:ascii="Arial" w:hAnsi="Arial" w:cs="David" w:hint="cs"/>
          <w:rtl/>
        </w:rPr>
        <w:t>.</w:t>
      </w:r>
      <w:r w:rsidR="0094002E">
        <w:rPr>
          <w:rFonts w:ascii="Arial" w:hAnsi="Arial" w:cs="David" w:hint="cs"/>
          <w:rtl/>
        </w:rPr>
        <w:t>1</w:t>
      </w:r>
      <w:r w:rsidR="001F6055">
        <w:rPr>
          <w:rFonts w:ascii="Arial" w:hAnsi="Arial" w:cs="David" w:hint="cs"/>
          <w:rtl/>
        </w:rPr>
        <w:t xml:space="preserve"> נקודות אחוז </w:t>
      </w:r>
      <w:r w:rsidR="0094002E">
        <w:rPr>
          <w:rFonts w:ascii="Arial" w:hAnsi="Arial" w:cs="David" w:hint="cs"/>
          <w:rtl/>
        </w:rPr>
        <w:t>בשנת 2013</w:t>
      </w:r>
      <w:r w:rsidR="00AD79F3" w:rsidRPr="00AD79F3">
        <w:rPr>
          <w:rFonts w:ascii="Arial" w:hAnsi="Arial" w:cs="David" w:hint="cs"/>
          <w:rtl/>
        </w:rPr>
        <w:t xml:space="preserve"> </w:t>
      </w:r>
      <w:r w:rsidR="00AD79F3" w:rsidRPr="00C30766">
        <w:rPr>
          <w:rFonts w:ascii="Arial" w:hAnsi="Arial" w:cs="David" w:hint="cs"/>
          <w:rtl/>
        </w:rPr>
        <w:t xml:space="preserve">(תרשים </w:t>
      </w:r>
      <w:r w:rsidR="00AD79F3">
        <w:rPr>
          <w:rFonts w:ascii="Arial" w:hAnsi="Arial" w:cs="David" w:hint="cs"/>
          <w:rtl/>
        </w:rPr>
        <w:t>4</w:t>
      </w:r>
      <w:r w:rsidR="00AD79F3" w:rsidRPr="00C30766">
        <w:rPr>
          <w:rFonts w:ascii="Arial" w:hAnsi="Arial" w:cs="David" w:hint="cs"/>
          <w:rtl/>
        </w:rPr>
        <w:t xml:space="preserve">). </w:t>
      </w:r>
      <w:r w:rsidR="00B80CBB">
        <w:rPr>
          <w:rFonts w:ascii="Arial" w:hAnsi="Arial" w:cs="David" w:hint="cs"/>
          <w:rtl/>
        </w:rPr>
        <w:t xml:space="preserve"> </w:t>
      </w:r>
      <w:r w:rsidR="00AD79F3">
        <w:rPr>
          <w:rFonts w:ascii="Arial" w:hAnsi="Arial" w:cs="David" w:hint="cs"/>
          <w:rtl/>
        </w:rPr>
        <w:t xml:space="preserve">הגידול ביחס החוב לתוצר נבע בעיקר מהשפעת הפיחות בשקל על השווי השקלי של החוב. </w:t>
      </w:r>
    </w:p>
    <w:p w:rsidR="00170587" w:rsidRDefault="00056554" w:rsidP="00B516A1">
      <w:pPr>
        <w:jc w:val="both"/>
        <w:rPr>
          <w:rFonts w:ascii="Arial" w:hAnsi="Arial" w:cs="David" w:hint="cs"/>
          <w:b/>
          <w:bCs/>
          <w:rtl/>
        </w:rPr>
      </w:pPr>
      <w:r>
        <w:rPr>
          <w:rFonts w:ascii="Arial" w:hAnsi="Arial" w:cs="David"/>
          <w:b/>
          <w:bCs/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40" name="תמונה 40" descr="תרשים 4: יחס החוב החיצוני בברוטו לתוצר" title="תרשים 4: יחס החוב החיצוני ב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545C" w:rsidRPr="00056554" w:rsidRDefault="005F7ED1" w:rsidP="00056554">
      <w:pPr>
        <w:pStyle w:val="ab"/>
        <w:numPr>
          <w:ilvl w:val="0"/>
          <w:numId w:val="11"/>
        </w:numPr>
        <w:spacing w:before="240" w:line="360" w:lineRule="auto"/>
        <w:jc w:val="both"/>
        <w:rPr>
          <w:rFonts w:ascii="Arial" w:hAnsi="Arial" w:cs="David" w:hint="cs"/>
          <w:b/>
          <w:bCs/>
          <w:rtl/>
        </w:rPr>
      </w:pPr>
      <w:r w:rsidRPr="00056554">
        <w:rPr>
          <w:rFonts w:ascii="Arial" w:hAnsi="Arial" w:cs="David" w:hint="cs"/>
          <w:b/>
          <w:bCs/>
          <w:rtl/>
        </w:rPr>
        <w:t>ה</w:t>
      </w:r>
      <w:r w:rsidR="009522BF" w:rsidRPr="00056554">
        <w:rPr>
          <w:rFonts w:ascii="Arial" w:hAnsi="Arial" w:cs="David" w:hint="cs"/>
          <w:b/>
          <w:bCs/>
          <w:rtl/>
        </w:rPr>
        <w:t xml:space="preserve">חוב החיצוני נטו </w:t>
      </w:r>
    </w:p>
    <w:p w:rsidR="001F545C" w:rsidRPr="00690E6A" w:rsidRDefault="001F545C" w:rsidP="00986902">
      <w:pPr>
        <w:spacing w:line="360" w:lineRule="auto"/>
        <w:jc w:val="both"/>
        <w:rPr>
          <w:rFonts w:ascii="Arial" w:hAnsi="Arial" w:cs="David" w:hint="cs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66390E">
        <w:rPr>
          <w:rFonts w:ascii="Arial" w:hAnsi="Arial" w:cs="David" w:hint="cs"/>
          <w:rtl/>
        </w:rPr>
        <w:t>עלה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986902">
        <w:rPr>
          <w:rFonts w:ascii="Arial" w:hAnsi="Arial" w:cs="David" w:hint="cs"/>
          <w:rtl/>
        </w:rPr>
        <w:t>בשנת 2014</w:t>
      </w:r>
      <w:r w:rsidR="0066390E">
        <w:rPr>
          <w:rFonts w:ascii="Arial" w:hAnsi="Arial" w:cs="David" w:hint="cs"/>
          <w:rtl/>
        </w:rPr>
        <w:t xml:space="preserve"> </w:t>
      </w:r>
      <w:r w:rsidR="00E166FF" w:rsidRPr="00690E6A">
        <w:rPr>
          <w:rFonts w:ascii="Arial" w:hAnsi="Arial" w:cs="David" w:hint="cs"/>
          <w:rtl/>
        </w:rPr>
        <w:t>ב-</w:t>
      </w:r>
      <w:r w:rsidR="00986902">
        <w:rPr>
          <w:rFonts w:ascii="Arial" w:hAnsi="Arial" w:cs="David" w:hint="cs"/>
          <w:rtl/>
        </w:rPr>
        <w:t>10</w:t>
      </w:r>
      <w:r w:rsidR="00F54E7B">
        <w:rPr>
          <w:rFonts w:ascii="Arial" w:hAnsi="Arial" w:cs="David" w:hint="cs"/>
          <w:rtl/>
        </w:rPr>
        <w:t>.</w:t>
      </w:r>
      <w:r w:rsidR="00986902">
        <w:rPr>
          <w:rFonts w:ascii="Arial" w:hAnsi="Arial" w:cs="David" w:hint="cs"/>
          <w:rtl/>
        </w:rPr>
        <w:t>7</w:t>
      </w:r>
      <w:r w:rsidR="00E166FF" w:rsidRPr="00690E6A">
        <w:rPr>
          <w:rFonts w:ascii="Arial" w:hAnsi="Arial" w:cs="David" w:hint="cs"/>
          <w:rtl/>
        </w:rPr>
        <w:t xml:space="preserve"> מיליארדי דולרים</w:t>
      </w:r>
      <w:r w:rsidR="001B60EB" w:rsidRPr="00690E6A">
        <w:rPr>
          <w:rFonts w:ascii="Arial" w:hAnsi="Arial" w:cs="David" w:hint="cs"/>
          <w:rtl/>
        </w:rPr>
        <w:t xml:space="preserve"> </w:t>
      </w:r>
      <w:r w:rsidR="005465BF" w:rsidRPr="00690E6A">
        <w:rPr>
          <w:rFonts w:ascii="Arial" w:hAnsi="Arial" w:cs="David" w:hint="cs"/>
          <w:rtl/>
        </w:rPr>
        <w:t>(</w:t>
      </w:r>
      <w:r w:rsidR="0066390E">
        <w:rPr>
          <w:rFonts w:ascii="Arial" w:hAnsi="Arial" w:cs="David" w:hint="cs"/>
          <w:rtl/>
        </w:rPr>
        <w:t>1</w:t>
      </w:r>
      <w:r w:rsidR="00986902">
        <w:rPr>
          <w:rFonts w:ascii="Arial" w:hAnsi="Arial" w:cs="David" w:hint="cs"/>
          <w:rtl/>
        </w:rPr>
        <w:t>2</w:t>
      </w:r>
      <w:r w:rsidR="00F54E7B">
        <w:rPr>
          <w:rFonts w:ascii="Arial" w:hAnsi="Arial" w:cs="David" w:hint="cs"/>
          <w:rtl/>
        </w:rPr>
        <w:t>.</w:t>
      </w:r>
      <w:r w:rsidR="00986902">
        <w:rPr>
          <w:rFonts w:ascii="Arial" w:hAnsi="Arial" w:cs="David" w:hint="cs"/>
          <w:rtl/>
        </w:rPr>
        <w:t>3</w:t>
      </w:r>
      <w:r w:rsidR="005465BF" w:rsidRPr="00690E6A">
        <w:rPr>
          <w:rFonts w:ascii="Arial" w:hAnsi="Arial" w:cs="David" w:hint="cs"/>
          <w:rtl/>
        </w:rPr>
        <w:t xml:space="preserve">%) </w:t>
      </w:r>
      <w:r w:rsidRPr="00690E6A">
        <w:rPr>
          <w:rFonts w:ascii="Arial" w:hAnsi="Arial" w:cs="David" w:hint="cs"/>
          <w:rtl/>
        </w:rPr>
        <w:t xml:space="preserve">ועמד בסוף </w:t>
      </w:r>
      <w:r w:rsidR="00986902">
        <w:rPr>
          <w:rFonts w:ascii="Arial" w:hAnsi="Arial" w:cs="David" w:hint="cs"/>
          <w:rtl/>
        </w:rPr>
        <w:t>השנה</w:t>
      </w:r>
      <w:r w:rsidRPr="00690E6A">
        <w:rPr>
          <w:rFonts w:ascii="Arial" w:hAnsi="Arial" w:cs="David" w:hint="cs"/>
          <w:rtl/>
        </w:rPr>
        <w:t xml:space="preserve"> על כ-</w:t>
      </w:r>
      <w:r w:rsidR="0066390E">
        <w:rPr>
          <w:rFonts w:ascii="Arial" w:hAnsi="Arial" w:cs="David" w:hint="cs"/>
          <w:rtl/>
        </w:rPr>
        <w:t>9</w:t>
      </w:r>
      <w:r w:rsidR="00986902">
        <w:rPr>
          <w:rFonts w:ascii="Arial" w:hAnsi="Arial" w:cs="David" w:hint="cs"/>
          <w:rtl/>
        </w:rPr>
        <w:t>7</w:t>
      </w:r>
      <w:r w:rsidR="00224CBF" w:rsidRPr="00690E6A">
        <w:rPr>
          <w:rFonts w:ascii="Arial" w:hAnsi="Arial" w:cs="David" w:hint="cs"/>
          <w:rtl/>
        </w:rPr>
        <w:t xml:space="preserve"> </w:t>
      </w:r>
      <w:r w:rsidRPr="00690E6A">
        <w:rPr>
          <w:rFonts w:ascii="Arial" w:hAnsi="Arial" w:cs="David" w:hint="cs"/>
          <w:rtl/>
        </w:rPr>
        <w:t>מיליארדים</w:t>
      </w:r>
      <w:r w:rsidR="00172E92" w:rsidRPr="00690E6A">
        <w:rPr>
          <w:rFonts w:ascii="Arial" w:hAnsi="Arial" w:cs="David" w:hint="cs"/>
          <w:rtl/>
        </w:rPr>
        <w:t xml:space="preserve"> (תרשים </w:t>
      </w:r>
      <w:r w:rsidR="00FC5E45">
        <w:rPr>
          <w:rFonts w:ascii="Arial" w:hAnsi="Arial" w:cs="David" w:hint="cs"/>
          <w:rtl/>
        </w:rPr>
        <w:t>5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Default="009522BF" w:rsidP="00AD79F3">
      <w:pPr>
        <w:spacing w:line="360" w:lineRule="auto"/>
        <w:jc w:val="both"/>
        <w:rPr>
          <w:rFonts w:ascii="Arial" w:hAnsi="Arial" w:cs="David" w:hint="cs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152295">
        <w:rPr>
          <w:rFonts w:ascii="Arial" w:hAnsi="Arial" w:cs="David" w:hint="cs"/>
          <w:rtl/>
        </w:rPr>
        <w:t>שנת</w:t>
      </w:r>
      <w:r w:rsidRPr="00BD0A6B">
        <w:rPr>
          <w:rFonts w:ascii="Arial" w:hAnsi="Arial" w:cs="David"/>
          <w:rtl/>
        </w:rPr>
        <w:t xml:space="preserve"> </w:t>
      </w:r>
      <w:r w:rsidR="00F61D7D" w:rsidRPr="00BD0A6B">
        <w:rPr>
          <w:rFonts w:ascii="Arial" w:hAnsi="Arial" w:cs="David" w:hint="cs"/>
          <w:rtl/>
        </w:rPr>
        <w:t>2014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F5353C" w:rsidRPr="00BD0A6B">
        <w:rPr>
          <w:rFonts w:ascii="Arial" w:hAnsi="Arial" w:cs="David" w:hint="cs"/>
          <w:rtl/>
        </w:rPr>
        <w:t>13</w:t>
      </w:r>
      <w:r w:rsidR="00986902">
        <w:rPr>
          <w:rFonts w:ascii="Arial" w:hAnsi="Arial" w:cs="David" w:hint="cs"/>
          <w:rtl/>
        </w:rPr>
        <w:t>8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690E6A" w:rsidRPr="00BD0A6B">
        <w:rPr>
          <w:rFonts w:ascii="Arial" w:hAnsi="Arial" w:cs="David" w:hint="cs"/>
          <w:rtl/>
        </w:rPr>
        <w:t>3.</w:t>
      </w:r>
      <w:r w:rsidR="00986902">
        <w:rPr>
          <w:rFonts w:ascii="Arial" w:hAnsi="Arial" w:cs="David" w:hint="cs"/>
          <w:rtl/>
        </w:rPr>
        <w:t>4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6E70F9" w:rsidRPr="00BD0A6B">
        <w:rPr>
          <w:rFonts w:ascii="Arial" w:hAnsi="Arial" w:cs="David" w:hint="cs"/>
          <w:rtl/>
        </w:rPr>
        <w:t xml:space="preserve">, </w:t>
      </w:r>
      <w:r w:rsidR="00690E6A" w:rsidRPr="00BD0A6B">
        <w:rPr>
          <w:rFonts w:ascii="Arial" w:hAnsi="Arial" w:cs="David" w:hint="cs"/>
          <w:rtl/>
        </w:rPr>
        <w:t xml:space="preserve">עלייה </w:t>
      </w:r>
      <w:r w:rsidR="00986902">
        <w:rPr>
          <w:rFonts w:ascii="Arial" w:hAnsi="Arial" w:cs="David" w:hint="cs"/>
          <w:rtl/>
        </w:rPr>
        <w:t>ביחס ל</w:t>
      </w:r>
      <w:r w:rsidR="00690E6A" w:rsidRPr="00BD0A6B">
        <w:rPr>
          <w:rFonts w:ascii="Arial" w:hAnsi="Arial" w:cs="David" w:hint="cs"/>
          <w:rtl/>
        </w:rPr>
        <w:t>סוף שנת 2013.</w:t>
      </w:r>
    </w:p>
    <w:p w:rsidR="00A752BB" w:rsidRDefault="00056554" w:rsidP="00690E6A">
      <w:pPr>
        <w:spacing w:line="36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/>
          <w:noProof/>
          <w:lang w:eastAsia="en-US"/>
        </w:rPr>
        <w:lastRenderedPageBreak/>
        <w:drawing>
          <wp:inline distT="0" distB="0" distL="0" distR="0">
            <wp:extent cx="6264275" cy="3822700"/>
            <wp:effectExtent l="0" t="0" r="3175" b="6350"/>
            <wp:docPr id="42" name="תמונה 42" descr="תרשים 5: החוב החיצוני נטו" title="תרשים 5: החוב החיצוני נט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056554" w:rsidRDefault="00056554" w:rsidP="00056554">
      <w:pPr>
        <w:autoSpaceDE w:val="0"/>
        <w:autoSpaceDN w:val="0"/>
        <w:adjustRightInd w:val="0"/>
        <w:spacing w:before="960" w:line="360" w:lineRule="auto"/>
        <w:rPr>
          <w:rFonts w:ascii="Arial" w:hAnsi="Arial" w:cs="Arial" w:hint="cs"/>
          <w:sz w:val="18"/>
          <w:szCs w:val="18"/>
          <w:rtl/>
          <w:lang w:eastAsia="en-US"/>
        </w:rPr>
      </w:pPr>
      <w:hyperlink r:id="rId19" w:history="1">
        <w:r w:rsidRPr="00473DCB">
          <w:rPr>
            <w:rStyle w:val="Hyperlink"/>
            <w:rFonts w:ascii="Arial" w:hAnsi="Arial" w:cs="David"/>
            <w:rtl/>
          </w:rPr>
          <w:t xml:space="preserve">מידע נוסף בנושא הנכסים וההתחייבויות של המשק </w:t>
        </w:r>
        <w:r w:rsidRPr="00473DCB">
          <w:rPr>
            <w:rStyle w:val="Hyperlink"/>
            <w:rFonts w:ascii="Arial" w:hAnsi="Arial" w:cs="David" w:hint="cs"/>
            <w:rtl/>
          </w:rPr>
          <w:t xml:space="preserve">מול </w:t>
        </w:r>
        <w:r w:rsidRPr="00473DCB">
          <w:rPr>
            <w:rStyle w:val="Hyperlink"/>
            <w:rFonts w:ascii="Arial" w:hAnsi="Arial" w:cs="David"/>
            <w:rtl/>
          </w:rPr>
          <w:t>חו"ל</w:t>
        </w:r>
        <w:r w:rsidRPr="00473DCB">
          <w:rPr>
            <w:rStyle w:val="Hyperlink"/>
            <w:rFonts w:ascii="Arial" w:hAnsi="Arial" w:cs="David" w:hint="cs"/>
            <w:rtl/>
          </w:rPr>
          <w:t>.</w:t>
        </w:r>
      </w:hyperlink>
    </w:p>
    <w:sectPr w:rsidR="00884A8B" w:rsidRPr="00056554" w:rsidSect="00821218">
      <w:headerReference w:type="default" r:id="rId20"/>
      <w:footerReference w:type="default" r:id="rId21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EB" w:rsidRDefault="009A4CEB">
      <w:r>
        <w:separator/>
      </w:r>
    </w:p>
  </w:endnote>
  <w:endnote w:type="continuationSeparator" w:id="0">
    <w:p w:rsidR="009A4CEB" w:rsidRDefault="009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56554" w:rsidRDefault="00D45CC6" w:rsidP="00056554">
    <w:pPr>
      <w:spacing w:line="360" w:lineRule="auto"/>
      <w:ind w:hanging="1"/>
      <w:rPr>
        <w:rFonts w:cs="David"/>
      </w:rPr>
    </w:pPr>
    <w:r w:rsidRPr="00056554">
      <w:rPr>
        <w:rFonts w:cs="David" w:hint="cs"/>
        <w:rtl/>
      </w:rPr>
      <w:t xml:space="preserve">בנק ישראל </w:t>
    </w:r>
    <w:r w:rsidRPr="00056554">
      <w:rPr>
        <w:rFonts w:cs="David"/>
        <w:rtl/>
      </w:rPr>
      <w:t>–</w:t>
    </w:r>
    <w:r w:rsidRPr="00056554">
      <w:rPr>
        <w:rFonts w:cs="David" w:hint="cs"/>
        <w:rtl/>
      </w:rPr>
      <w:t xml:space="preserve"> הנכסים וההתחייבויות של המשק מול חו"ל ברביע הרביעי של שנת 2014</w:t>
    </w:r>
    <w:r w:rsidR="00056554">
      <w:rPr>
        <w:rFonts w:cs="David" w:hint="cs"/>
        <w:rtl/>
        <w:cs/>
        <w:lang w:val="he-IL"/>
      </w:rPr>
      <w:tab/>
    </w:r>
    <w:r w:rsidRPr="00056554">
      <w:rPr>
        <w:rFonts w:cs="David"/>
        <w:rtl/>
        <w:cs/>
        <w:lang w:val="he-IL"/>
      </w:rPr>
      <w:t xml:space="preserve">עמוד </w:t>
    </w:r>
    <w:r w:rsidRPr="00056554">
      <w:rPr>
        <w:rFonts w:cs="David"/>
        <w:b/>
        <w:bCs/>
      </w:rPr>
      <w:fldChar w:fldCharType="begin"/>
    </w:r>
    <w:r w:rsidRPr="00056554">
      <w:rPr>
        <w:rFonts w:cs="David"/>
        <w:b/>
        <w:bCs/>
        <w:rtl/>
        <w:cs/>
      </w:rPr>
      <w:instrText>PAGE</w:instrText>
    </w:r>
    <w:r w:rsidRPr="00056554">
      <w:rPr>
        <w:rFonts w:cs="David"/>
        <w:b/>
        <w:bCs/>
      </w:rPr>
      <w:fldChar w:fldCharType="separate"/>
    </w:r>
    <w:r w:rsidR="00056554">
      <w:rPr>
        <w:rFonts w:cs="David"/>
        <w:b/>
        <w:bCs/>
        <w:noProof/>
        <w:rtl/>
      </w:rPr>
      <w:t>1</w:t>
    </w:r>
    <w:r w:rsidRPr="00056554">
      <w:rPr>
        <w:rFonts w:cs="David"/>
        <w:b/>
        <w:bCs/>
      </w:rPr>
      <w:fldChar w:fldCharType="end"/>
    </w:r>
    <w:r w:rsidRPr="00056554">
      <w:rPr>
        <w:rFonts w:cs="David"/>
        <w:rtl/>
        <w:cs/>
        <w:lang w:val="he-IL"/>
      </w:rPr>
      <w:t xml:space="preserve"> מתוך </w:t>
    </w:r>
    <w:r w:rsidRPr="00056554">
      <w:rPr>
        <w:rFonts w:cs="David"/>
        <w:b/>
        <w:bCs/>
      </w:rPr>
      <w:fldChar w:fldCharType="begin"/>
    </w:r>
    <w:r w:rsidRPr="00056554">
      <w:rPr>
        <w:rFonts w:cs="David"/>
        <w:b/>
        <w:bCs/>
        <w:rtl/>
        <w:cs/>
      </w:rPr>
      <w:instrText>NUMPAGES</w:instrText>
    </w:r>
    <w:r w:rsidRPr="00056554">
      <w:rPr>
        <w:rFonts w:cs="David"/>
        <w:b/>
        <w:bCs/>
      </w:rPr>
      <w:fldChar w:fldCharType="separate"/>
    </w:r>
    <w:r w:rsidR="00056554">
      <w:rPr>
        <w:rFonts w:cs="David"/>
        <w:b/>
        <w:bCs/>
        <w:noProof/>
        <w:rtl/>
      </w:rPr>
      <w:t>7</w:t>
    </w:r>
    <w:r w:rsidRPr="00056554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EB" w:rsidRDefault="009A4CEB">
      <w:r>
        <w:separator/>
      </w:r>
    </w:p>
  </w:footnote>
  <w:footnote w:type="continuationSeparator" w:id="0">
    <w:p w:rsidR="009A4CEB" w:rsidRDefault="009A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716729"/>
    <w:multiLevelType w:val="hybridMultilevel"/>
    <w:tmpl w:val="D5EEA718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6AB57FAA"/>
    <w:multiLevelType w:val="hybridMultilevel"/>
    <w:tmpl w:val="57AA9C6A"/>
    <w:lvl w:ilvl="0" w:tplc="7BA4BFCE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45A6"/>
    <w:rsid w:val="00015BCB"/>
    <w:rsid w:val="00016D54"/>
    <w:rsid w:val="00016D59"/>
    <w:rsid w:val="00016D85"/>
    <w:rsid w:val="00017A9A"/>
    <w:rsid w:val="00020465"/>
    <w:rsid w:val="00020B1B"/>
    <w:rsid w:val="000216F1"/>
    <w:rsid w:val="000218D0"/>
    <w:rsid w:val="000222AF"/>
    <w:rsid w:val="00023172"/>
    <w:rsid w:val="00023411"/>
    <w:rsid w:val="000246DB"/>
    <w:rsid w:val="00026FD5"/>
    <w:rsid w:val="00027293"/>
    <w:rsid w:val="00027E93"/>
    <w:rsid w:val="00030F1F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D42"/>
    <w:rsid w:val="00037761"/>
    <w:rsid w:val="00037BAD"/>
    <w:rsid w:val="00040058"/>
    <w:rsid w:val="000402A6"/>
    <w:rsid w:val="0004033F"/>
    <w:rsid w:val="00040399"/>
    <w:rsid w:val="00042106"/>
    <w:rsid w:val="0004432B"/>
    <w:rsid w:val="00044505"/>
    <w:rsid w:val="0004499D"/>
    <w:rsid w:val="00044D1A"/>
    <w:rsid w:val="00044DBE"/>
    <w:rsid w:val="00045B6F"/>
    <w:rsid w:val="00050D10"/>
    <w:rsid w:val="00051A1A"/>
    <w:rsid w:val="00051A3B"/>
    <w:rsid w:val="00052CED"/>
    <w:rsid w:val="0005310B"/>
    <w:rsid w:val="000539D4"/>
    <w:rsid w:val="00054C7F"/>
    <w:rsid w:val="00054C99"/>
    <w:rsid w:val="00055A27"/>
    <w:rsid w:val="00056237"/>
    <w:rsid w:val="00056554"/>
    <w:rsid w:val="00056751"/>
    <w:rsid w:val="00056958"/>
    <w:rsid w:val="00056E3A"/>
    <w:rsid w:val="00057E88"/>
    <w:rsid w:val="0006108C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37AC"/>
    <w:rsid w:val="00083E59"/>
    <w:rsid w:val="000859EB"/>
    <w:rsid w:val="00085CA1"/>
    <w:rsid w:val="000867D6"/>
    <w:rsid w:val="00086D0B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5024"/>
    <w:rsid w:val="0009532A"/>
    <w:rsid w:val="0009677B"/>
    <w:rsid w:val="00096BD1"/>
    <w:rsid w:val="000A1B54"/>
    <w:rsid w:val="000A1F79"/>
    <w:rsid w:val="000A22D3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E7"/>
    <w:rsid w:val="000B636E"/>
    <w:rsid w:val="000B643A"/>
    <w:rsid w:val="000B6FCA"/>
    <w:rsid w:val="000B74D0"/>
    <w:rsid w:val="000C0A77"/>
    <w:rsid w:val="000C1F4D"/>
    <w:rsid w:val="000C2541"/>
    <w:rsid w:val="000C3098"/>
    <w:rsid w:val="000C4143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7BE3"/>
    <w:rsid w:val="000D7D13"/>
    <w:rsid w:val="000E0BB9"/>
    <w:rsid w:val="000E1CA2"/>
    <w:rsid w:val="000E26DC"/>
    <w:rsid w:val="000E2CA5"/>
    <w:rsid w:val="000E2DCA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F166E"/>
    <w:rsid w:val="000F2128"/>
    <w:rsid w:val="000F2457"/>
    <w:rsid w:val="000F3382"/>
    <w:rsid w:val="000F3ED7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207F2"/>
    <w:rsid w:val="0012136B"/>
    <w:rsid w:val="00121420"/>
    <w:rsid w:val="00121B1D"/>
    <w:rsid w:val="00121D75"/>
    <w:rsid w:val="00122341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91"/>
    <w:rsid w:val="00133F75"/>
    <w:rsid w:val="001353A4"/>
    <w:rsid w:val="00136576"/>
    <w:rsid w:val="00136F12"/>
    <w:rsid w:val="001409A7"/>
    <w:rsid w:val="00141769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180C"/>
    <w:rsid w:val="0016203C"/>
    <w:rsid w:val="00162243"/>
    <w:rsid w:val="00163CE2"/>
    <w:rsid w:val="00163D11"/>
    <w:rsid w:val="0016430C"/>
    <w:rsid w:val="00164330"/>
    <w:rsid w:val="00164408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B79"/>
    <w:rsid w:val="00172E92"/>
    <w:rsid w:val="001743CB"/>
    <w:rsid w:val="0017454D"/>
    <w:rsid w:val="001746DB"/>
    <w:rsid w:val="00175AB4"/>
    <w:rsid w:val="00177A2B"/>
    <w:rsid w:val="00177F01"/>
    <w:rsid w:val="001809B3"/>
    <w:rsid w:val="0018164E"/>
    <w:rsid w:val="00182258"/>
    <w:rsid w:val="0018252A"/>
    <w:rsid w:val="00182F32"/>
    <w:rsid w:val="00183507"/>
    <w:rsid w:val="00184398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DCA"/>
    <w:rsid w:val="001B1C19"/>
    <w:rsid w:val="001B3C77"/>
    <w:rsid w:val="001B5E81"/>
    <w:rsid w:val="001B60EB"/>
    <w:rsid w:val="001B65E4"/>
    <w:rsid w:val="001B6796"/>
    <w:rsid w:val="001B6E49"/>
    <w:rsid w:val="001B763A"/>
    <w:rsid w:val="001C18D8"/>
    <w:rsid w:val="001C282E"/>
    <w:rsid w:val="001C2DA6"/>
    <w:rsid w:val="001C4F8A"/>
    <w:rsid w:val="001C731D"/>
    <w:rsid w:val="001C7A6F"/>
    <w:rsid w:val="001D10A3"/>
    <w:rsid w:val="001D1732"/>
    <w:rsid w:val="001D1CA7"/>
    <w:rsid w:val="001D2280"/>
    <w:rsid w:val="001D3F3E"/>
    <w:rsid w:val="001D3FFB"/>
    <w:rsid w:val="001D438B"/>
    <w:rsid w:val="001D6750"/>
    <w:rsid w:val="001D7B80"/>
    <w:rsid w:val="001E0513"/>
    <w:rsid w:val="001E0F32"/>
    <w:rsid w:val="001E1648"/>
    <w:rsid w:val="001E18A1"/>
    <w:rsid w:val="001E3E7B"/>
    <w:rsid w:val="001E4A23"/>
    <w:rsid w:val="001E5581"/>
    <w:rsid w:val="001E5E5C"/>
    <w:rsid w:val="001E6723"/>
    <w:rsid w:val="001F0C06"/>
    <w:rsid w:val="001F164A"/>
    <w:rsid w:val="001F23F0"/>
    <w:rsid w:val="001F252B"/>
    <w:rsid w:val="001F2A49"/>
    <w:rsid w:val="001F3D44"/>
    <w:rsid w:val="001F41C5"/>
    <w:rsid w:val="001F462A"/>
    <w:rsid w:val="001F516F"/>
    <w:rsid w:val="001F545C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7E94"/>
    <w:rsid w:val="00210C93"/>
    <w:rsid w:val="00212D41"/>
    <w:rsid w:val="0021387A"/>
    <w:rsid w:val="00213C9B"/>
    <w:rsid w:val="00214626"/>
    <w:rsid w:val="002150D3"/>
    <w:rsid w:val="00216A49"/>
    <w:rsid w:val="0021746F"/>
    <w:rsid w:val="00217D61"/>
    <w:rsid w:val="002207F2"/>
    <w:rsid w:val="00222132"/>
    <w:rsid w:val="00223441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5854"/>
    <w:rsid w:val="00245CF6"/>
    <w:rsid w:val="0024642F"/>
    <w:rsid w:val="00247155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1622"/>
    <w:rsid w:val="002D2ED8"/>
    <w:rsid w:val="002D4CFA"/>
    <w:rsid w:val="002D4FD1"/>
    <w:rsid w:val="002D52ED"/>
    <w:rsid w:val="002D5576"/>
    <w:rsid w:val="002D6205"/>
    <w:rsid w:val="002D63AF"/>
    <w:rsid w:val="002D72DF"/>
    <w:rsid w:val="002D748C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D72"/>
    <w:rsid w:val="002F5D66"/>
    <w:rsid w:val="002F7D67"/>
    <w:rsid w:val="00301474"/>
    <w:rsid w:val="00302203"/>
    <w:rsid w:val="00302258"/>
    <w:rsid w:val="003024BC"/>
    <w:rsid w:val="003029EF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5C6"/>
    <w:rsid w:val="003338A0"/>
    <w:rsid w:val="00333E3E"/>
    <w:rsid w:val="00334457"/>
    <w:rsid w:val="00342682"/>
    <w:rsid w:val="00344F4B"/>
    <w:rsid w:val="00345B70"/>
    <w:rsid w:val="00346DFF"/>
    <w:rsid w:val="0034718C"/>
    <w:rsid w:val="00350C8F"/>
    <w:rsid w:val="00351A3B"/>
    <w:rsid w:val="003520E4"/>
    <w:rsid w:val="00352F18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2DE1"/>
    <w:rsid w:val="003B3652"/>
    <w:rsid w:val="003B36F4"/>
    <w:rsid w:val="003B45B0"/>
    <w:rsid w:val="003B6784"/>
    <w:rsid w:val="003B722A"/>
    <w:rsid w:val="003C00A0"/>
    <w:rsid w:val="003C0CDF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1887"/>
    <w:rsid w:val="003D22F7"/>
    <w:rsid w:val="003D2ADE"/>
    <w:rsid w:val="003D42EC"/>
    <w:rsid w:val="003D4CAA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6760"/>
    <w:rsid w:val="00456CD8"/>
    <w:rsid w:val="00456ECE"/>
    <w:rsid w:val="00457CE8"/>
    <w:rsid w:val="00460B96"/>
    <w:rsid w:val="00461383"/>
    <w:rsid w:val="00462D19"/>
    <w:rsid w:val="004632C9"/>
    <w:rsid w:val="0046464F"/>
    <w:rsid w:val="0046466F"/>
    <w:rsid w:val="00464B84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142E"/>
    <w:rsid w:val="00482083"/>
    <w:rsid w:val="00482AFD"/>
    <w:rsid w:val="00483CB4"/>
    <w:rsid w:val="00483EEC"/>
    <w:rsid w:val="004843D4"/>
    <w:rsid w:val="0048474B"/>
    <w:rsid w:val="00484FC4"/>
    <w:rsid w:val="00485C59"/>
    <w:rsid w:val="0048666F"/>
    <w:rsid w:val="00487281"/>
    <w:rsid w:val="004906CD"/>
    <w:rsid w:val="00491844"/>
    <w:rsid w:val="00491B09"/>
    <w:rsid w:val="00492221"/>
    <w:rsid w:val="00492776"/>
    <w:rsid w:val="004932A3"/>
    <w:rsid w:val="004932AB"/>
    <w:rsid w:val="00493CD0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733C"/>
    <w:rsid w:val="004C0706"/>
    <w:rsid w:val="004C0FC6"/>
    <w:rsid w:val="004C1731"/>
    <w:rsid w:val="004C1A4E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1A57"/>
    <w:rsid w:val="00511F43"/>
    <w:rsid w:val="0051262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653"/>
    <w:rsid w:val="005229E3"/>
    <w:rsid w:val="00522C59"/>
    <w:rsid w:val="0052485D"/>
    <w:rsid w:val="0052592F"/>
    <w:rsid w:val="005259F9"/>
    <w:rsid w:val="00525D55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B3"/>
    <w:rsid w:val="00536DFD"/>
    <w:rsid w:val="00537605"/>
    <w:rsid w:val="0053772E"/>
    <w:rsid w:val="00542A8B"/>
    <w:rsid w:val="00543ED3"/>
    <w:rsid w:val="005444AE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628EA"/>
    <w:rsid w:val="00562E06"/>
    <w:rsid w:val="00563811"/>
    <w:rsid w:val="00563D92"/>
    <w:rsid w:val="0056525D"/>
    <w:rsid w:val="0056536B"/>
    <w:rsid w:val="0057281B"/>
    <w:rsid w:val="00572E61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90EDC"/>
    <w:rsid w:val="00592141"/>
    <w:rsid w:val="0059552E"/>
    <w:rsid w:val="00596673"/>
    <w:rsid w:val="00596A5A"/>
    <w:rsid w:val="00596B6E"/>
    <w:rsid w:val="0059725C"/>
    <w:rsid w:val="00597933"/>
    <w:rsid w:val="00597E63"/>
    <w:rsid w:val="005A02F2"/>
    <w:rsid w:val="005A0717"/>
    <w:rsid w:val="005A1C28"/>
    <w:rsid w:val="005A1D62"/>
    <w:rsid w:val="005A2D11"/>
    <w:rsid w:val="005A361A"/>
    <w:rsid w:val="005A61AB"/>
    <w:rsid w:val="005A658A"/>
    <w:rsid w:val="005A7B7E"/>
    <w:rsid w:val="005B0E5B"/>
    <w:rsid w:val="005B3013"/>
    <w:rsid w:val="005B316D"/>
    <w:rsid w:val="005B3293"/>
    <w:rsid w:val="005B3C5B"/>
    <w:rsid w:val="005B57DA"/>
    <w:rsid w:val="005B5DAA"/>
    <w:rsid w:val="005B773D"/>
    <w:rsid w:val="005B78A4"/>
    <w:rsid w:val="005B7ADE"/>
    <w:rsid w:val="005C0E25"/>
    <w:rsid w:val="005C1FF6"/>
    <w:rsid w:val="005C2099"/>
    <w:rsid w:val="005C28FC"/>
    <w:rsid w:val="005C34EB"/>
    <w:rsid w:val="005C40EB"/>
    <w:rsid w:val="005C43F3"/>
    <w:rsid w:val="005C4E3E"/>
    <w:rsid w:val="005C56E0"/>
    <w:rsid w:val="005C5C3C"/>
    <w:rsid w:val="005D0435"/>
    <w:rsid w:val="005D09C7"/>
    <w:rsid w:val="005D1485"/>
    <w:rsid w:val="005D20F2"/>
    <w:rsid w:val="005D2BF7"/>
    <w:rsid w:val="005D3646"/>
    <w:rsid w:val="005D378E"/>
    <w:rsid w:val="005D41C0"/>
    <w:rsid w:val="005D5EF4"/>
    <w:rsid w:val="005D6531"/>
    <w:rsid w:val="005D7D1D"/>
    <w:rsid w:val="005E0F18"/>
    <w:rsid w:val="005E155A"/>
    <w:rsid w:val="005E2E46"/>
    <w:rsid w:val="005E3539"/>
    <w:rsid w:val="005E3C1F"/>
    <w:rsid w:val="005E476E"/>
    <w:rsid w:val="005E4F10"/>
    <w:rsid w:val="005E52B4"/>
    <w:rsid w:val="005E5395"/>
    <w:rsid w:val="005E6239"/>
    <w:rsid w:val="005E76D9"/>
    <w:rsid w:val="005E7772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73C"/>
    <w:rsid w:val="00625A5B"/>
    <w:rsid w:val="006262EC"/>
    <w:rsid w:val="0062686E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B9C"/>
    <w:rsid w:val="0064455A"/>
    <w:rsid w:val="006445CF"/>
    <w:rsid w:val="00644A8D"/>
    <w:rsid w:val="00644EDA"/>
    <w:rsid w:val="00645481"/>
    <w:rsid w:val="0064559B"/>
    <w:rsid w:val="006468F3"/>
    <w:rsid w:val="00647984"/>
    <w:rsid w:val="006515C7"/>
    <w:rsid w:val="0065264C"/>
    <w:rsid w:val="006527F9"/>
    <w:rsid w:val="00653878"/>
    <w:rsid w:val="00654804"/>
    <w:rsid w:val="00655C1C"/>
    <w:rsid w:val="006570F2"/>
    <w:rsid w:val="00657198"/>
    <w:rsid w:val="006576B9"/>
    <w:rsid w:val="006630E0"/>
    <w:rsid w:val="0066390E"/>
    <w:rsid w:val="006646B7"/>
    <w:rsid w:val="00664DBC"/>
    <w:rsid w:val="006666C7"/>
    <w:rsid w:val="006676D5"/>
    <w:rsid w:val="00670AFB"/>
    <w:rsid w:val="00670C47"/>
    <w:rsid w:val="00672B32"/>
    <w:rsid w:val="0067306C"/>
    <w:rsid w:val="00673C11"/>
    <w:rsid w:val="00673D6C"/>
    <w:rsid w:val="00673F0B"/>
    <w:rsid w:val="006752CA"/>
    <w:rsid w:val="00677D63"/>
    <w:rsid w:val="006806D2"/>
    <w:rsid w:val="00683371"/>
    <w:rsid w:val="00683FF7"/>
    <w:rsid w:val="00685D31"/>
    <w:rsid w:val="006861D5"/>
    <w:rsid w:val="00686B36"/>
    <w:rsid w:val="00687650"/>
    <w:rsid w:val="00687F2A"/>
    <w:rsid w:val="00687FD9"/>
    <w:rsid w:val="0069025D"/>
    <w:rsid w:val="00690E6A"/>
    <w:rsid w:val="006915BC"/>
    <w:rsid w:val="0069228A"/>
    <w:rsid w:val="00694661"/>
    <w:rsid w:val="00695684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62AF"/>
    <w:rsid w:val="006E6ABF"/>
    <w:rsid w:val="006E70F9"/>
    <w:rsid w:val="006E7885"/>
    <w:rsid w:val="006F0211"/>
    <w:rsid w:val="006F1437"/>
    <w:rsid w:val="006F1E66"/>
    <w:rsid w:val="006F234A"/>
    <w:rsid w:val="006F280F"/>
    <w:rsid w:val="006F2A0F"/>
    <w:rsid w:val="006F3332"/>
    <w:rsid w:val="006F38F9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8C1"/>
    <w:rsid w:val="00726FD8"/>
    <w:rsid w:val="00727BDD"/>
    <w:rsid w:val="00733791"/>
    <w:rsid w:val="007347A9"/>
    <w:rsid w:val="0073706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A87"/>
    <w:rsid w:val="00750CA8"/>
    <w:rsid w:val="00750E7B"/>
    <w:rsid w:val="007511C2"/>
    <w:rsid w:val="007531DD"/>
    <w:rsid w:val="00754043"/>
    <w:rsid w:val="00754CD1"/>
    <w:rsid w:val="00754CD5"/>
    <w:rsid w:val="00755321"/>
    <w:rsid w:val="007567E5"/>
    <w:rsid w:val="00756BDE"/>
    <w:rsid w:val="00757797"/>
    <w:rsid w:val="00760C22"/>
    <w:rsid w:val="007614E7"/>
    <w:rsid w:val="0076181D"/>
    <w:rsid w:val="007622E4"/>
    <w:rsid w:val="00762BCF"/>
    <w:rsid w:val="007633A4"/>
    <w:rsid w:val="0076384B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22D6"/>
    <w:rsid w:val="00793377"/>
    <w:rsid w:val="00793846"/>
    <w:rsid w:val="0079495A"/>
    <w:rsid w:val="00795EA8"/>
    <w:rsid w:val="00796CD1"/>
    <w:rsid w:val="007976AA"/>
    <w:rsid w:val="007A1866"/>
    <w:rsid w:val="007A2B2B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2533"/>
    <w:rsid w:val="007E2737"/>
    <w:rsid w:val="007E3168"/>
    <w:rsid w:val="007E4158"/>
    <w:rsid w:val="007E4451"/>
    <w:rsid w:val="007E457E"/>
    <w:rsid w:val="007F001E"/>
    <w:rsid w:val="007F0AF1"/>
    <w:rsid w:val="007F0CAF"/>
    <w:rsid w:val="007F1B5B"/>
    <w:rsid w:val="007F1B8D"/>
    <w:rsid w:val="007F2FC1"/>
    <w:rsid w:val="007F304B"/>
    <w:rsid w:val="007F36E2"/>
    <w:rsid w:val="007F3AE7"/>
    <w:rsid w:val="007F63DE"/>
    <w:rsid w:val="007F67F0"/>
    <w:rsid w:val="007F6937"/>
    <w:rsid w:val="007F7062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388A"/>
    <w:rsid w:val="008246D6"/>
    <w:rsid w:val="00824F15"/>
    <w:rsid w:val="008253A2"/>
    <w:rsid w:val="00825D8A"/>
    <w:rsid w:val="00826F9E"/>
    <w:rsid w:val="00827B38"/>
    <w:rsid w:val="00830CE0"/>
    <w:rsid w:val="00832B15"/>
    <w:rsid w:val="00832BAD"/>
    <w:rsid w:val="00835650"/>
    <w:rsid w:val="00835776"/>
    <w:rsid w:val="0083578E"/>
    <w:rsid w:val="00835E46"/>
    <w:rsid w:val="008375C6"/>
    <w:rsid w:val="00837A5B"/>
    <w:rsid w:val="0084047A"/>
    <w:rsid w:val="00840876"/>
    <w:rsid w:val="008409EF"/>
    <w:rsid w:val="008418B2"/>
    <w:rsid w:val="00841F46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AA7"/>
    <w:rsid w:val="00851240"/>
    <w:rsid w:val="00853B22"/>
    <w:rsid w:val="00853E21"/>
    <w:rsid w:val="00854096"/>
    <w:rsid w:val="00856481"/>
    <w:rsid w:val="008565B0"/>
    <w:rsid w:val="008571E3"/>
    <w:rsid w:val="00857BD6"/>
    <w:rsid w:val="00857D91"/>
    <w:rsid w:val="00861C59"/>
    <w:rsid w:val="00862A15"/>
    <w:rsid w:val="008637F8"/>
    <w:rsid w:val="00864F15"/>
    <w:rsid w:val="00865562"/>
    <w:rsid w:val="008677EF"/>
    <w:rsid w:val="00870DB4"/>
    <w:rsid w:val="00871B0D"/>
    <w:rsid w:val="0087208C"/>
    <w:rsid w:val="0087334E"/>
    <w:rsid w:val="00873827"/>
    <w:rsid w:val="008742A1"/>
    <w:rsid w:val="0087447D"/>
    <w:rsid w:val="00877989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869"/>
    <w:rsid w:val="0089173B"/>
    <w:rsid w:val="00891B00"/>
    <w:rsid w:val="00891C02"/>
    <w:rsid w:val="008920DE"/>
    <w:rsid w:val="00892150"/>
    <w:rsid w:val="00892919"/>
    <w:rsid w:val="00893987"/>
    <w:rsid w:val="0089461C"/>
    <w:rsid w:val="008949E2"/>
    <w:rsid w:val="0089562A"/>
    <w:rsid w:val="008960A5"/>
    <w:rsid w:val="008966DE"/>
    <w:rsid w:val="00897883"/>
    <w:rsid w:val="00897DE3"/>
    <w:rsid w:val="00897E35"/>
    <w:rsid w:val="008A18F4"/>
    <w:rsid w:val="008A2D5C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55"/>
    <w:rsid w:val="008B4E7C"/>
    <w:rsid w:val="008B5734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B13"/>
    <w:rsid w:val="008F5C61"/>
    <w:rsid w:val="008F6065"/>
    <w:rsid w:val="008F629B"/>
    <w:rsid w:val="008F6332"/>
    <w:rsid w:val="008F6857"/>
    <w:rsid w:val="008F6C3A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322B"/>
    <w:rsid w:val="00904DD8"/>
    <w:rsid w:val="00904ED1"/>
    <w:rsid w:val="00905799"/>
    <w:rsid w:val="00905978"/>
    <w:rsid w:val="00906A8F"/>
    <w:rsid w:val="009106FD"/>
    <w:rsid w:val="00910829"/>
    <w:rsid w:val="0091119F"/>
    <w:rsid w:val="00914235"/>
    <w:rsid w:val="00914C9C"/>
    <w:rsid w:val="00914FF8"/>
    <w:rsid w:val="00915C30"/>
    <w:rsid w:val="00916742"/>
    <w:rsid w:val="009168BC"/>
    <w:rsid w:val="00917E4C"/>
    <w:rsid w:val="00920C63"/>
    <w:rsid w:val="00920D7C"/>
    <w:rsid w:val="00921282"/>
    <w:rsid w:val="00921B27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44B"/>
    <w:rsid w:val="009342A6"/>
    <w:rsid w:val="009350AC"/>
    <w:rsid w:val="00936611"/>
    <w:rsid w:val="00936F9A"/>
    <w:rsid w:val="00937101"/>
    <w:rsid w:val="00937616"/>
    <w:rsid w:val="0094002E"/>
    <w:rsid w:val="00941287"/>
    <w:rsid w:val="00941522"/>
    <w:rsid w:val="00942110"/>
    <w:rsid w:val="0094243F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3A6"/>
    <w:rsid w:val="0094759D"/>
    <w:rsid w:val="00950BB6"/>
    <w:rsid w:val="0095215E"/>
    <w:rsid w:val="009522BF"/>
    <w:rsid w:val="00952818"/>
    <w:rsid w:val="009534F4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718D2"/>
    <w:rsid w:val="0097211C"/>
    <w:rsid w:val="009724B0"/>
    <w:rsid w:val="00972D12"/>
    <w:rsid w:val="00973C20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CEB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4914"/>
    <w:rsid w:val="009B4FC4"/>
    <w:rsid w:val="009B5D73"/>
    <w:rsid w:val="009B6B87"/>
    <w:rsid w:val="009C09AB"/>
    <w:rsid w:val="009C1028"/>
    <w:rsid w:val="009C1FB0"/>
    <w:rsid w:val="009C41BB"/>
    <w:rsid w:val="009C4FF2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E265C"/>
    <w:rsid w:val="009E2940"/>
    <w:rsid w:val="009E29EE"/>
    <w:rsid w:val="009E33F9"/>
    <w:rsid w:val="009E461E"/>
    <w:rsid w:val="009E4654"/>
    <w:rsid w:val="009E4D69"/>
    <w:rsid w:val="009E5843"/>
    <w:rsid w:val="009E58DE"/>
    <w:rsid w:val="009E7260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19BB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A58"/>
    <w:rsid w:val="00A23DD3"/>
    <w:rsid w:val="00A246B4"/>
    <w:rsid w:val="00A24D52"/>
    <w:rsid w:val="00A26E38"/>
    <w:rsid w:val="00A30B5D"/>
    <w:rsid w:val="00A30C05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26EC"/>
    <w:rsid w:val="00A4283A"/>
    <w:rsid w:val="00A43387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79D3"/>
    <w:rsid w:val="00A57A9C"/>
    <w:rsid w:val="00A61ED0"/>
    <w:rsid w:val="00A63345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AC6"/>
    <w:rsid w:val="00A90E35"/>
    <w:rsid w:val="00A91CAE"/>
    <w:rsid w:val="00A92096"/>
    <w:rsid w:val="00A93D37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E60"/>
    <w:rsid w:val="00AD2397"/>
    <w:rsid w:val="00AD2C76"/>
    <w:rsid w:val="00AD2FE4"/>
    <w:rsid w:val="00AD4C5B"/>
    <w:rsid w:val="00AD56CC"/>
    <w:rsid w:val="00AD5FCC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D35"/>
    <w:rsid w:val="00B24031"/>
    <w:rsid w:val="00B2487A"/>
    <w:rsid w:val="00B248E1"/>
    <w:rsid w:val="00B258B1"/>
    <w:rsid w:val="00B278B5"/>
    <w:rsid w:val="00B3105F"/>
    <w:rsid w:val="00B32084"/>
    <w:rsid w:val="00B32626"/>
    <w:rsid w:val="00B332F0"/>
    <w:rsid w:val="00B33887"/>
    <w:rsid w:val="00B35F9E"/>
    <w:rsid w:val="00B369B2"/>
    <w:rsid w:val="00B36FEC"/>
    <w:rsid w:val="00B417F7"/>
    <w:rsid w:val="00B436F4"/>
    <w:rsid w:val="00B448AF"/>
    <w:rsid w:val="00B4491C"/>
    <w:rsid w:val="00B45B05"/>
    <w:rsid w:val="00B46419"/>
    <w:rsid w:val="00B46B9E"/>
    <w:rsid w:val="00B4717F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8D2"/>
    <w:rsid w:val="00B57676"/>
    <w:rsid w:val="00B6157B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2A72"/>
    <w:rsid w:val="00B931E5"/>
    <w:rsid w:val="00B93349"/>
    <w:rsid w:val="00B94908"/>
    <w:rsid w:val="00B95782"/>
    <w:rsid w:val="00B96039"/>
    <w:rsid w:val="00B96311"/>
    <w:rsid w:val="00B96C6A"/>
    <w:rsid w:val="00B97377"/>
    <w:rsid w:val="00BA22D2"/>
    <w:rsid w:val="00BA2312"/>
    <w:rsid w:val="00BA272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4BBF"/>
    <w:rsid w:val="00BB6657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B28"/>
    <w:rsid w:val="00BC79E0"/>
    <w:rsid w:val="00BC7BEC"/>
    <w:rsid w:val="00BC7E24"/>
    <w:rsid w:val="00BD0A6B"/>
    <w:rsid w:val="00BD0AA7"/>
    <w:rsid w:val="00BD0C66"/>
    <w:rsid w:val="00BD230F"/>
    <w:rsid w:val="00BD290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1CB"/>
    <w:rsid w:val="00BE55F3"/>
    <w:rsid w:val="00BE5F20"/>
    <w:rsid w:val="00BE5FA6"/>
    <w:rsid w:val="00BE625F"/>
    <w:rsid w:val="00BE6D93"/>
    <w:rsid w:val="00BE7B05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94"/>
    <w:rsid w:val="00C20128"/>
    <w:rsid w:val="00C20263"/>
    <w:rsid w:val="00C203CF"/>
    <w:rsid w:val="00C254A9"/>
    <w:rsid w:val="00C255E9"/>
    <w:rsid w:val="00C273F5"/>
    <w:rsid w:val="00C27906"/>
    <w:rsid w:val="00C30766"/>
    <w:rsid w:val="00C33F8D"/>
    <w:rsid w:val="00C340A3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6AD"/>
    <w:rsid w:val="00C46071"/>
    <w:rsid w:val="00C46875"/>
    <w:rsid w:val="00C46E6D"/>
    <w:rsid w:val="00C52920"/>
    <w:rsid w:val="00C534F9"/>
    <w:rsid w:val="00C53C33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38FD"/>
    <w:rsid w:val="00C73C05"/>
    <w:rsid w:val="00C73E9E"/>
    <w:rsid w:val="00C754AF"/>
    <w:rsid w:val="00C75EB2"/>
    <w:rsid w:val="00C7665C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44A5"/>
    <w:rsid w:val="00CA54B5"/>
    <w:rsid w:val="00CA61A8"/>
    <w:rsid w:val="00CA62C6"/>
    <w:rsid w:val="00CA74E2"/>
    <w:rsid w:val="00CB0A70"/>
    <w:rsid w:val="00CB13D8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AE3"/>
    <w:rsid w:val="00CC0410"/>
    <w:rsid w:val="00CC0765"/>
    <w:rsid w:val="00CC089B"/>
    <w:rsid w:val="00CC0B70"/>
    <w:rsid w:val="00CC1B0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705F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D55"/>
    <w:rsid w:val="00D21FDB"/>
    <w:rsid w:val="00D22F19"/>
    <w:rsid w:val="00D2309F"/>
    <w:rsid w:val="00D23367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41F8"/>
    <w:rsid w:val="00D443B3"/>
    <w:rsid w:val="00D45999"/>
    <w:rsid w:val="00D45CC6"/>
    <w:rsid w:val="00D46D96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61C2"/>
    <w:rsid w:val="00D665D6"/>
    <w:rsid w:val="00D671D0"/>
    <w:rsid w:val="00D70743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1207"/>
    <w:rsid w:val="00D91706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63FD"/>
    <w:rsid w:val="00DA0D1D"/>
    <w:rsid w:val="00DA0E9D"/>
    <w:rsid w:val="00DA1590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44D3"/>
    <w:rsid w:val="00DF5EB5"/>
    <w:rsid w:val="00DF6148"/>
    <w:rsid w:val="00DF67AE"/>
    <w:rsid w:val="00DF6832"/>
    <w:rsid w:val="00DF6967"/>
    <w:rsid w:val="00DF6E21"/>
    <w:rsid w:val="00E00723"/>
    <w:rsid w:val="00E0287B"/>
    <w:rsid w:val="00E05017"/>
    <w:rsid w:val="00E0534B"/>
    <w:rsid w:val="00E059F5"/>
    <w:rsid w:val="00E07169"/>
    <w:rsid w:val="00E1043A"/>
    <w:rsid w:val="00E1213F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360"/>
    <w:rsid w:val="00E1760B"/>
    <w:rsid w:val="00E200D8"/>
    <w:rsid w:val="00E20F48"/>
    <w:rsid w:val="00E21CB4"/>
    <w:rsid w:val="00E22429"/>
    <w:rsid w:val="00E22526"/>
    <w:rsid w:val="00E229D8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61C6"/>
    <w:rsid w:val="00E465F4"/>
    <w:rsid w:val="00E46FD8"/>
    <w:rsid w:val="00E47276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4259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734B"/>
    <w:rsid w:val="00E8798C"/>
    <w:rsid w:val="00E87DFF"/>
    <w:rsid w:val="00E9004D"/>
    <w:rsid w:val="00E90E27"/>
    <w:rsid w:val="00E90F15"/>
    <w:rsid w:val="00E91B53"/>
    <w:rsid w:val="00E91D66"/>
    <w:rsid w:val="00E93F6D"/>
    <w:rsid w:val="00E946BC"/>
    <w:rsid w:val="00E9538C"/>
    <w:rsid w:val="00E95830"/>
    <w:rsid w:val="00E95A20"/>
    <w:rsid w:val="00EA094B"/>
    <w:rsid w:val="00EA129E"/>
    <w:rsid w:val="00EA148F"/>
    <w:rsid w:val="00EA2B9E"/>
    <w:rsid w:val="00EA38CD"/>
    <w:rsid w:val="00EA3C94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4062"/>
    <w:rsid w:val="00EC4FA1"/>
    <w:rsid w:val="00EC535F"/>
    <w:rsid w:val="00EC540C"/>
    <w:rsid w:val="00EC797C"/>
    <w:rsid w:val="00EC7D6E"/>
    <w:rsid w:val="00ED0781"/>
    <w:rsid w:val="00ED0FB7"/>
    <w:rsid w:val="00ED1655"/>
    <w:rsid w:val="00ED1860"/>
    <w:rsid w:val="00ED2AB3"/>
    <w:rsid w:val="00ED2C91"/>
    <w:rsid w:val="00ED3737"/>
    <w:rsid w:val="00ED4DCF"/>
    <w:rsid w:val="00ED5816"/>
    <w:rsid w:val="00ED6EA9"/>
    <w:rsid w:val="00ED7200"/>
    <w:rsid w:val="00ED7695"/>
    <w:rsid w:val="00ED78DF"/>
    <w:rsid w:val="00EE00B8"/>
    <w:rsid w:val="00EE0540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49DD"/>
    <w:rsid w:val="00EF505C"/>
    <w:rsid w:val="00EF5AC2"/>
    <w:rsid w:val="00EF6A6E"/>
    <w:rsid w:val="00EF6ABB"/>
    <w:rsid w:val="00F0018D"/>
    <w:rsid w:val="00F00DF7"/>
    <w:rsid w:val="00F00E45"/>
    <w:rsid w:val="00F020F9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10228"/>
    <w:rsid w:val="00F11F55"/>
    <w:rsid w:val="00F12DD4"/>
    <w:rsid w:val="00F14276"/>
    <w:rsid w:val="00F14803"/>
    <w:rsid w:val="00F16DF8"/>
    <w:rsid w:val="00F16F3E"/>
    <w:rsid w:val="00F17499"/>
    <w:rsid w:val="00F17EFC"/>
    <w:rsid w:val="00F209B4"/>
    <w:rsid w:val="00F20E07"/>
    <w:rsid w:val="00F20E33"/>
    <w:rsid w:val="00F22023"/>
    <w:rsid w:val="00F2481C"/>
    <w:rsid w:val="00F24DD9"/>
    <w:rsid w:val="00F2578E"/>
    <w:rsid w:val="00F26339"/>
    <w:rsid w:val="00F272B4"/>
    <w:rsid w:val="00F272E7"/>
    <w:rsid w:val="00F30FC5"/>
    <w:rsid w:val="00F31411"/>
    <w:rsid w:val="00F31B60"/>
    <w:rsid w:val="00F3223B"/>
    <w:rsid w:val="00F32B89"/>
    <w:rsid w:val="00F35045"/>
    <w:rsid w:val="00F354FF"/>
    <w:rsid w:val="00F35736"/>
    <w:rsid w:val="00F358B1"/>
    <w:rsid w:val="00F36F92"/>
    <w:rsid w:val="00F3721C"/>
    <w:rsid w:val="00F3752A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47ED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7A88"/>
    <w:rsid w:val="00F80F3A"/>
    <w:rsid w:val="00F8111D"/>
    <w:rsid w:val="00F81531"/>
    <w:rsid w:val="00F82753"/>
    <w:rsid w:val="00F83769"/>
    <w:rsid w:val="00F848B6"/>
    <w:rsid w:val="00F872B7"/>
    <w:rsid w:val="00F90AE7"/>
    <w:rsid w:val="00F93CFB"/>
    <w:rsid w:val="00F946D9"/>
    <w:rsid w:val="00F94DA7"/>
    <w:rsid w:val="00F965A6"/>
    <w:rsid w:val="00F968C5"/>
    <w:rsid w:val="00F96FB7"/>
    <w:rsid w:val="00F975E9"/>
    <w:rsid w:val="00F97E67"/>
    <w:rsid w:val="00FA1515"/>
    <w:rsid w:val="00FA1A1E"/>
    <w:rsid w:val="00FA22A4"/>
    <w:rsid w:val="00FA2AAE"/>
    <w:rsid w:val="00FA2ECA"/>
    <w:rsid w:val="00FA37D0"/>
    <w:rsid w:val="00FA4131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3247"/>
    <w:rsid w:val="00FC3506"/>
    <w:rsid w:val="00FC39C4"/>
    <w:rsid w:val="00FC3C71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4B8E"/>
    <w:rsid w:val="00FD511E"/>
    <w:rsid w:val="00FD74F0"/>
    <w:rsid w:val="00FE0110"/>
    <w:rsid w:val="00FE05ED"/>
    <w:rsid w:val="00FE0D28"/>
    <w:rsid w:val="00FE2821"/>
    <w:rsid w:val="00FE2D8D"/>
    <w:rsid w:val="00FE3CE6"/>
    <w:rsid w:val="00FE4FB0"/>
    <w:rsid w:val="00FE5115"/>
    <w:rsid w:val="00FE73E2"/>
    <w:rsid w:val="00FE7414"/>
    <w:rsid w:val="00FF0219"/>
    <w:rsid w:val="00FF106A"/>
    <w:rsid w:val="00FF1FED"/>
    <w:rsid w:val="00FF231C"/>
    <w:rsid w:val="00FF31D8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List Paragraph"/>
    <w:basedOn w:val="a"/>
    <w:uiPriority w:val="34"/>
    <w:qFormat/>
    <w:rsid w:val="00056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paragraph" w:styleId="ab">
    <w:name w:val="List Paragraph"/>
    <w:basedOn w:val="a"/>
    <w:uiPriority w:val="34"/>
    <w:qFormat/>
    <w:rsid w:val="0005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/Users/internet.INTER/Downloads/&#1492;&#1504;&#1499;&#1505;&#1497;&#1501;%20&#1493;&#1492;&#1492;&#1514;&#1495;&#1497;&#1497;&#1489;&#1493;&#1497;&#1493;&#1514;%20&#1513;&#1500;%20&#1492;&#1502;&#1513;&#1511;%20&#1502;&#1493;&#1500;%20&#1495;&#1493;%22&#1500;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67CDE-C02F-451B-841D-58181C64A8CC}"/>
</file>

<file path=customXml/itemProps2.xml><?xml version="1.0" encoding="utf-8"?>
<ds:datastoreItem xmlns:ds="http://schemas.openxmlformats.org/officeDocument/2006/customXml" ds:itemID="{B5772B23-E24E-463E-85C8-040EEABA811D}"/>
</file>

<file path=customXml/itemProps3.xml><?xml version="1.0" encoding="utf-8"?>
<ds:datastoreItem xmlns:ds="http://schemas.openxmlformats.org/officeDocument/2006/customXml" ds:itemID="{E31971E8-7325-4989-A6F1-C80D7BC238B9}"/>
</file>

<file path=customXml/itemProps4.xml><?xml version="1.0" encoding="utf-8"?>
<ds:datastoreItem xmlns:ds="http://schemas.openxmlformats.org/officeDocument/2006/customXml" ds:itemID="{A51A7274-2E1B-4B81-978F-F8A3AF577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5869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2016-06-30T08:54:00Z</dcterms:created>
  <dcterms:modified xsi:type="dcterms:W3CDTF">2016-06-30T08:54:00Z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