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9A4855">
      <w:pPr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  <w:r w:rsidRPr="006702C1">
              <w:rPr>
                <w:noProof/>
                <w:rtl/>
                <w:lang w:eastAsia="en-US"/>
              </w:rPr>
              <w:drawing>
                <wp:inline distT="0" distB="0" distL="0" distR="0" wp14:anchorId="4F871BFE" wp14:editId="0D49C50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D34E2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148B8">
              <w:rPr>
                <w:rFonts w:cs="David" w:hint="cs"/>
                <w:rtl/>
              </w:rPr>
              <w:t>ל'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0148B8">
              <w:rPr>
                <w:rFonts w:cs="David" w:hint="cs"/>
                <w:rtl/>
              </w:rPr>
              <w:t>כסלו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 w:rsidR="00DD34E2">
              <w:rPr>
                <w:rFonts w:cs="David" w:hint="cs"/>
                <w:rtl/>
              </w:rPr>
              <w:t>ח</w:t>
            </w:r>
            <w:proofErr w:type="spellEnd"/>
          </w:p>
          <w:p w:rsidR="000150C4" w:rsidRPr="006702C1" w:rsidRDefault="000150C4" w:rsidP="000148B8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0148B8">
              <w:rPr>
                <w:rFonts w:cs="David" w:hint="cs"/>
                <w:rtl/>
              </w:rPr>
              <w:t>18</w:t>
            </w:r>
            <w:r w:rsidRPr="006702C1">
              <w:rPr>
                <w:rFonts w:cs="David"/>
                <w:rtl/>
              </w:rPr>
              <w:t xml:space="preserve"> </w:t>
            </w:r>
            <w:r w:rsidR="00D44E54">
              <w:rPr>
                <w:rFonts w:cs="David" w:hint="cs"/>
                <w:rtl/>
              </w:rPr>
              <w:t>ב</w:t>
            </w:r>
            <w:r w:rsidR="000148B8">
              <w:rPr>
                <w:rFonts w:cs="David" w:hint="cs"/>
                <w:rtl/>
              </w:rPr>
              <w:t>דצמבר</w:t>
            </w:r>
            <w:r w:rsidRPr="006702C1">
              <w:rPr>
                <w:rFonts w:cs="David"/>
                <w:rtl/>
              </w:rPr>
              <w:t xml:space="preserve"> 201</w:t>
            </w:r>
            <w:r w:rsidR="00086119">
              <w:rPr>
                <w:rFonts w:cs="David" w:hint="cs"/>
                <w:rtl/>
              </w:rPr>
              <w:t>7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  <w:bookmarkStart w:id="0" w:name="_GoBack"/>
    </w:p>
    <w:bookmarkEnd w:id="0"/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BA2B86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BA2B86">
        <w:rPr>
          <w:rFonts w:hint="cs"/>
          <w:u w:val="none"/>
          <w:rtl/>
        </w:rPr>
        <w:t>שלישי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5449A3">
        <w:rPr>
          <w:rFonts w:hint="cs"/>
          <w:u w:val="none"/>
          <w:rtl/>
        </w:rPr>
        <w:t>7</w:t>
      </w:r>
    </w:p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753653" w:rsidRPr="00BE4078" w:rsidRDefault="001F24CE" w:rsidP="00BD4241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BE4078">
        <w:rPr>
          <w:rFonts w:ascii="Arial" w:hAnsi="Arial" w:cs="David" w:hint="cs"/>
          <w:b/>
          <w:bCs/>
          <w:rtl/>
        </w:rPr>
        <w:t>יתרת</w:t>
      </w:r>
      <w:r w:rsidR="00ED12E8" w:rsidRPr="00BE4078">
        <w:rPr>
          <w:rFonts w:ascii="Arial" w:hAnsi="Arial" w:cs="David" w:hint="cs"/>
          <w:b/>
          <w:bCs/>
          <w:rtl/>
        </w:rPr>
        <w:t xml:space="preserve"> הנכסים של תושבי ישראל </w:t>
      </w:r>
      <w:r w:rsidR="00DF2C6B" w:rsidRPr="00BE4078">
        <w:rPr>
          <w:rFonts w:ascii="Arial" w:hAnsi="Arial" w:cs="David" w:hint="cs"/>
          <w:b/>
          <w:bCs/>
          <w:rtl/>
        </w:rPr>
        <w:t>בחו"ל</w:t>
      </w:r>
      <w:r w:rsidR="00B61E59" w:rsidRPr="00BE4078">
        <w:rPr>
          <w:rFonts w:ascii="Arial" w:hAnsi="Arial" w:cs="David" w:hint="cs"/>
          <w:b/>
          <w:bCs/>
          <w:rtl/>
        </w:rPr>
        <w:t xml:space="preserve"> </w:t>
      </w:r>
      <w:r w:rsidR="00A313A0" w:rsidRPr="00BE4078">
        <w:rPr>
          <w:rFonts w:ascii="Arial" w:hAnsi="Arial" w:cs="David" w:hint="cs"/>
          <w:b/>
          <w:bCs/>
          <w:rtl/>
        </w:rPr>
        <w:t>על</w:t>
      </w:r>
      <w:r w:rsidRPr="00BE4078">
        <w:rPr>
          <w:rFonts w:ascii="Arial" w:hAnsi="Arial" w:cs="David" w:hint="cs"/>
          <w:b/>
          <w:bCs/>
          <w:rtl/>
        </w:rPr>
        <w:t>ת</w:t>
      </w:r>
      <w:r w:rsidR="00A313A0" w:rsidRPr="00BE4078">
        <w:rPr>
          <w:rFonts w:ascii="Arial" w:hAnsi="Arial" w:cs="David" w:hint="cs"/>
          <w:b/>
          <w:bCs/>
          <w:rtl/>
        </w:rPr>
        <w:t xml:space="preserve">ה </w:t>
      </w:r>
      <w:r w:rsidR="00B61E59" w:rsidRPr="00BE4078">
        <w:rPr>
          <w:rFonts w:ascii="Arial" w:hAnsi="Arial" w:cs="David" w:hint="cs"/>
          <w:b/>
          <w:bCs/>
          <w:rtl/>
        </w:rPr>
        <w:t xml:space="preserve">ברביע </w:t>
      </w:r>
      <w:r w:rsidR="00A313A0" w:rsidRPr="00BE4078">
        <w:rPr>
          <w:rFonts w:ascii="Arial" w:hAnsi="Arial" w:cs="David" w:hint="cs"/>
          <w:b/>
          <w:bCs/>
          <w:rtl/>
        </w:rPr>
        <w:t>השלישי של שנת 2017 בכ-12.</w:t>
      </w:r>
      <w:r w:rsidRPr="00BE4078">
        <w:rPr>
          <w:rFonts w:ascii="Arial" w:hAnsi="Arial" w:cs="David" w:hint="cs"/>
          <w:b/>
          <w:bCs/>
          <w:rtl/>
        </w:rPr>
        <w:t>7 מיליארדי דולרים</w:t>
      </w:r>
      <w:r w:rsidR="00DF2C6B" w:rsidRPr="00BE4078">
        <w:rPr>
          <w:rFonts w:ascii="Arial" w:hAnsi="Arial" w:cs="David" w:hint="cs"/>
          <w:b/>
          <w:bCs/>
          <w:rtl/>
        </w:rPr>
        <w:t xml:space="preserve"> </w:t>
      </w:r>
      <w:r w:rsidR="00ED12E8" w:rsidRPr="00BE4078">
        <w:rPr>
          <w:rFonts w:ascii="Arial" w:hAnsi="Arial" w:cs="David" w:hint="cs"/>
          <w:b/>
          <w:bCs/>
          <w:rtl/>
        </w:rPr>
        <w:t>(</w:t>
      </w:r>
      <w:r w:rsidRPr="00BE4078">
        <w:rPr>
          <w:rFonts w:ascii="Arial" w:hAnsi="Arial" w:cs="David" w:hint="cs"/>
          <w:b/>
          <w:bCs/>
          <w:rtl/>
        </w:rPr>
        <w:t>3</w:t>
      </w:r>
      <w:r w:rsidR="003C1113" w:rsidRPr="00BE4078">
        <w:rPr>
          <w:rFonts w:ascii="Arial" w:hAnsi="Arial" w:cs="David" w:hint="cs"/>
          <w:b/>
          <w:bCs/>
          <w:rtl/>
        </w:rPr>
        <w:t>.1</w:t>
      </w:r>
      <w:r w:rsidR="00ED12E8" w:rsidRPr="00BE4078">
        <w:rPr>
          <w:rFonts w:ascii="Arial" w:hAnsi="Arial" w:cs="David" w:hint="cs"/>
          <w:b/>
          <w:bCs/>
          <w:rtl/>
        </w:rPr>
        <w:t>%)</w:t>
      </w:r>
      <w:r w:rsidR="00D46F81" w:rsidRPr="00BE4078">
        <w:rPr>
          <w:rFonts w:ascii="Arial" w:hAnsi="Arial" w:cs="David" w:hint="cs"/>
          <w:b/>
          <w:bCs/>
          <w:rtl/>
        </w:rPr>
        <w:t>:</w:t>
      </w:r>
      <w:r w:rsidRPr="00BE4078">
        <w:rPr>
          <w:rFonts w:ascii="Arial" w:hAnsi="Arial" w:cs="David" w:hint="cs"/>
          <w:b/>
          <w:bCs/>
          <w:rtl/>
        </w:rPr>
        <w:t xml:space="preserve"> השקעות נטו של תושבי ישראל באג"ח זרות, בעיקר על ידי הבנקים המקומיים ומשקי הבית</w:t>
      </w:r>
      <w:r w:rsidR="00E8609A">
        <w:rPr>
          <w:rFonts w:ascii="Arial" w:hAnsi="Arial" w:cs="David" w:hint="cs"/>
          <w:b/>
          <w:bCs/>
          <w:rtl/>
        </w:rPr>
        <w:t xml:space="preserve">; מימושים נטו במניות זרות, בעיקר על ידי משקי הבית שקוזזו </w:t>
      </w:r>
      <w:r w:rsidR="00BD4241">
        <w:rPr>
          <w:rFonts w:ascii="Arial" w:hAnsi="Arial" w:cs="David" w:hint="cs"/>
          <w:b/>
          <w:bCs/>
          <w:rtl/>
        </w:rPr>
        <w:t xml:space="preserve">במלואם </w:t>
      </w:r>
      <w:r w:rsidR="00E8609A">
        <w:rPr>
          <w:rFonts w:ascii="Arial" w:hAnsi="Arial" w:cs="David" w:hint="cs"/>
          <w:b/>
          <w:bCs/>
          <w:rtl/>
        </w:rPr>
        <w:t xml:space="preserve">על ידי </w:t>
      </w:r>
      <w:r w:rsidRPr="00BE4078">
        <w:rPr>
          <w:rFonts w:ascii="Arial" w:hAnsi="Arial" w:cs="David" w:hint="cs"/>
          <w:b/>
          <w:bCs/>
          <w:rtl/>
        </w:rPr>
        <w:t>עלייה במחירי הנכסים הסחירים הזרים המוחזקים על ידי תושבי ישראל</w:t>
      </w:r>
      <w:r w:rsidR="00ED12E8" w:rsidRPr="00BE4078">
        <w:rPr>
          <w:rFonts w:ascii="Arial" w:hAnsi="Arial" w:cs="David" w:hint="cs"/>
          <w:b/>
          <w:bCs/>
          <w:rtl/>
        </w:rPr>
        <w:t xml:space="preserve">. </w:t>
      </w:r>
    </w:p>
    <w:p w:rsidR="001F24CE" w:rsidRPr="00BE4078" w:rsidRDefault="00BE4078" w:rsidP="00BE407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BE4078">
        <w:rPr>
          <w:rFonts w:ascii="Arial" w:hAnsi="Arial" w:cs="David" w:hint="cs"/>
          <w:b/>
          <w:bCs/>
          <w:rtl/>
        </w:rPr>
        <w:t xml:space="preserve">יתרת ההתחייבויות </w:t>
      </w:r>
      <w:r w:rsidR="00753653" w:rsidRPr="00BE4078">
        <w:rPr>
          <w:rFonts w:ascii="Arial" w:hAnsi="Arial" w:cs="David" w:hint="cs"/>
          <w:b/>
          <w:bCs/>
          <w:rtl/>
        </w:rPr>
        <w:t xml:space="preserve">של המשק לחו"ל </w:t>
      </w:r>
      <w:r w:rsidR="001F24CE" w:rsidRPr="00BE4078">
        <w:rPr>
          <w:rFonts w:ascii="Arial" w:hAnsi="Arial" w:cs="David" w:hint="cs"/>
          <w:b/>
          <w:bCs/>
          <w:rtl/>
        </w:rPr>
        <w:t xml:space="preserve">ירדה ברביע השלישי בכ-5.7 מיליארדי דולרים </w:t>
      </w:r>
      <w:r w:rsidR="00753653" w:rsidRPr="00BE4078">
        <w:rPr>
          <w:rFonts w:ascii="Arial" w:hAnsi="Arial" w:cs="David" w:hint="cs"/>
          <w:b/>
          <w:bCs/>
          <w:rtl/>
        </w:rPr>
        <w:t>(</w:t>
      </w:r>
      <w:r w:rsidR="001F24CE" w:rsidRPr="00BE4078">
        <w:rPr>
          <w:rFonts w:ascii="Arial" w:hAnsi="Arial" w:cs="David" w:hint="cs"/>
          <w:b/>
          <w:bCs/>
          <w:rtl/>
        </w:rPr>
        <w:t>2%-</w:t>
      </w:r>
      <w:r w:rsidR="00753653" w:rsidRPr="00BE4078">
        <w:rPr>
          <w:rFonts w:ascii="Arial" w:hAnsi="Arial" w:cs="David" w:hint="cs"/>
          <w:b/>
          <w:bCs/>
          <w:rtl/>
        </w:rPr>
        <w:t>)</w:t>
      </w:r>
      <w:r w:rsidR="001F24CE" w:rsidRPr="00BE4078">
        <w:rPr>
          <w:rFonts w:ascii="Arial" w:hAnsi="Arial" w:cs="David" w:hint="cs"/>
          <w:b/>
          <w:bCs/>
          <w:rtl/>
        </w:rPr>
        <w:t xml:space="preserve">. הירידה נבעה </w:t>
      </w:r>
      <w:r w:rsidR="00753653" w:rsidRPr="00BE4078">
        <w:rPr>
          <w:rFonts w:ascii="Arial" w:hAnsi="Arial" w:cs="David" w:hint="cs"/>
          <w:b/>
          <w:bCs/>
          <w:rtl/>
        </w:rPr>
        <w:t xml:space="preserve">בעיקר </w:t>
      </w:r>
      <w:r w:rsidR="001F24CE" w:rsidRPr="00BE4078">
        <w:rPr>
          <w:rFonts w:ascii="Arial" w:hAnsi="Arial" w:cs="David" w:hint="cs"/>
          <w:b/>
          <w:bCs/>
          <w:rtl/>
        </w:rPr>
        <w:t>מ</w:t>
      </w:r>
      <w:r w:rsidR="001F24CE" w:rsidRPr="00BE4078">
        <w:rPr>
          <w:rFonts w:ascii="Arial" w:hAnsi="Arial" w:cs="David"/>
          <w:b/>
          <w:bCs/>
          <w:rtl/>
        </w:rPr>
        <w:t>ירידות במחירי המניות הישראליות שמחזיקים תושבי חוץ</w:t>
      </w:r>
      <w:r w:rsidR="001F24CE" w:rsidRPr="00BE4078">
        <w:rPr>
          <w:rFonts w:ascii="Arial" w:hAnsi="Arial" w:cs="David" w:hint="cs"/>
          <w:b/>
          <w:bCs/>
          <w:rtl/>
        </w:rPr>
        <w:t>.</w:t>
      </w:r>
    </w:p>
    <w:p w:rsidR="00AD79F3" w:rsidRPr="00BE4078" w:rsidRDefault="00F40985" w:rsidP="001F24C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BE4078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8B2E03" w:rsidRPr="00BE4078">
        <w:rPr>
          <w:rFonts w:ascii="Arial" w:hAnsi="Arial" w:cs="David" w:hint="cs"/>
          <w:b/>
          <w:bCs/>
          <w:rtl/>
        </w:rPr>
        <w:t xml:space="preserve">ברוטו </w:t>
      </w:r>
      <w:r w:rsidRPr="00BE4078">
        <w:rPr>
          <w:rFonts w:ascii="Arial" w:hAnsi="Arial" w:cs="David" w:hint="cs"/>
          <w:b/>
          <w:bCs/>
          <w:rtl/>
        </w:rPr>
        <w:t xml:space="preserve">לתמ"ג </w:t>
      </w:r>
      <w:r w:rsidR="001F24CE" w:rsidRPr="00BE4078">
        <w:rPr>
          <w:rFonts w:ascii="Arial" w:hAnsi="Arial" w:cs="David" w:hint="cs"/>
          <w:b/>
          <w:bCs/>
          <w:rtl/>
        </w:rPr>
        <w:t>עלה</w:t>
      </w:r>
      <w:r w:rsidR="00FF3A00" w:rsidRPr="00BE4078">
        <w:rPr>
          <w:rFonts w:ascii="Arial" w:hAnsi="Arial" w:cs="David" w:hint="cs"/>
          <w:b/>
          <w:bCs/>
          <w:rtl/>
        </w:rPr>
        <w:t xml:space="preserve"> במהלך</w:t>
      </w:r>
      <w:r w:rsidRPr="00BE4078">
        <w:rPr>
          <w:rFonts w:ascii="Arial" w:hAnsi="Arial" w:cs="David" w:hint="cs"/>
          <w:b/>
          <w:bCs/>
          <w:rtl/>
        </w:rPr>
        <w:t xml:space="preserve"> </w:t>
      </w:r>
      <w:r w:rsidR="00FF3A00" w:rsidRPr="00BE4078">
        <w:rPr>
          <w:rFonts w:ascii="Arial" w:hAnsi="Arial" w:cs="David" w:hint="cs"/>
          <w:b/>
          <w:bCs/>
          <w:rtl/>
        </w:rPr>
        <w:t>ה</w:t>
      </w:r>
      <w:r w:rsidR="00FC2DFF" w:rsidRPr="00BE4078">
        <w:rPr>
          <w:rFonts w:ascii="Arial" w:hAnsi="Arial" w:cs="David" w:hint="cs"/>
          <w:b/>
          <w:bCs/>
          <w:rtl/>
        </w:rPr>
        <w:t xml:space="preserve">רביע </w:t>
      </w:r>
      <w:r w:rsidR="001F24CE" w:rsidRPr="00BE4078">
        <w:rPr>
          <w:rFonts w:ascii="Arial" w:hAnsi="Arial" w:cs="David" w:hint="cs"/>
          <w:b/>
          <w:bCs/>
          <w:rtl/>
        </w:rPr>
        <w:t>השלישי</w:t>
      </w:r>
      <w:r w:rsidRPr="00BE4078">
        <w:rPr>
          <w:rFonts w:ascii="Arial" w:hAnsi="Arial" w:cs="David" w:hint="cs"/>
          <w:b/>
          <w:bCs/>
          <w:rtl/>
        </w:rPr>
        <w:t xml:space="preserve"> ועמד בסוף </w:t>
      </w:r>
      <w:r w:rsidR="001F24CE" w:rsidRPr="00BE4078">
        <w:rPr>
          <w:rFonts w:ascii="Arial" w:hAnsi="Arial" w:cs="David" w:hint="cs"/>
          <w:b/>
          <w:bCs/>
          <w:rtl/>
        </w:rPr>
        <w:t>ספטמבר</w:t>
      </w:r>
      <w:r w:rsidRPr="00BE4078">
        <w:rPr>
          <w:rFonts w:ascii="Arial" w:hAnsi="Arial" w:cs="David" w:hint="cs"/>
          <w:b/>
          <w:bCs/>
          <w:rtl/>
        </w:rPr>
        <w:t xml:space="preserve"> על </w:t>
      </w:r>
      <w:r w:rsidR="009C55BF" w:rsidRPr="00BE4078">
        <w:rPr>
          <w:rFonts w:ascii="Arial" w:hAnsi="Arial" w:cs="David" w:hint="cs"/>
          <w:b/>
          <w:bCs/>
          <w:rtl/>
        </w:rPr>
        <w:t>26.</w:t>
      </w:r>
      <w:r w:rsidR="001F24CE" w:rsidRPr="00BE4078">
        <w:rPr>
          <w:rFonts w:ascii="Arial" w:hAnsi="Arial" w:cs="David" w:hint="cs"/>
          <w:b/>
          <w:bCs/>
          <w:rtl/>
        </w:rPr>
        <w:t>7</w:t>
      </w:r>
      <w:r w:rsidR="00ED12E8" w:rsidRPr="00BE4078">
        <w:rPr>
          <w:rFonts w:ascii="Arial" w:hAnsi="Arial" w:cs="David" w:hint="cs"/>
          <w:b/>
          <w:bCs/>
          <w:rtl/>
        </w:rPr>
        <w:t>%:</w:t>
      </w:r>
      <w:r w:rsidR="001F24CE" w:rsidRPr="00BE4078">
        <w:rPr>
          <w:rFonts w:ascii="Arial" w:hAnsi="Arial" w:cs="David" w:hint="cs"/>
          <w:b/>
          <w:bCs/>
          <w:rtl/>
        </w:rPr>
        <w:t xml:space="preserve"> עלייה ביתרת החוב החיצוני ברוטו בשיעור גבוה משיעור העלייה בתוצר</w:t>
      </w:r>
      <w:r w:rsidR="00FC2DFF" w:rsidRPr="00BE4078">
        <w:rPr>
          <w:rFonts w:ascii="Arial" w:hAnsi="Arial" w:cs="David" w:hint="cs"/>
          <w:b/>
          <w:bCs/>
          <w:rtl/>
        </w:rPr>
        <w:t>.</w:t>
      </w:r>
      <w:r w:rsidR="0070503C" w:rsidRPr="00BE4078">
        <w:rPr>
          <w:rFonts w:ascii="Arial" w:hAnsi="Arial" w:cs="David" w:hint="cs"/>
          <w:b/>
          <w:bCs/>
          <w:rtl/>
        </w:rPr>
        <w:t xml:space="preserve"> </w:t>
      </w:r>
    </w:p>
    <w:p w:rsidR="00036848" w:rsidRPr="00036848" w:rsidRDefault="005A0B34" w:rsidP="001F24CE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036848">
        <w:rPr>
          <w:rFonts w:ascii="Arial" w:hAnsi="Arial" w:cs="David" w:hint="cs"/>
          <w:b/>
          <w:bCs/>
          <w:rtl/>
        </w:rPr>
        <w:t xml:space="preserve">עודף הנכסים </w:t>
      </w:r>
      <w:r w:rsidR="001F24CE" w:rsidRPr="00036848">
        <w:rPr>
          <w:rFonts w:ascii="Arial" w:hAnsi="Arial" w:cs="David" w:hint="cs"/>
          <w:b/>
          <w:bCs/>
          <w:rtl/>
        </w:rPr>
        <w:t>על ההתחייבויות של המשק מול חו"ל עלה ברביע השלישי בכ-18 מיליארדי דולרים ועמד בסוף ספטמבר על כ-135 מיליארדים</w:t>
      </w:r>
      <w:r w:rsidR="00036848" w:rsidRPr="00036848">
        <w:rPr>
          <w:rFonts w:ascii="Arial" w:hAnsi="Arial" w:cs="David" w:hint="cs"/>
          <w:b/>
          <w:bCs/>
          <w:rtl/>
        </w:rPr>
        <w:t>, בעיקר כתוצאה מעלייה במחירי המניות הזרות שמחזיקים תושבי ישראל (4.6 מיליארדים, 3.9%) לצד ירידה במחירי המניות הישראליות שמחזיקים תושבי חוץ (11.2 מיליארדים, 9.5%)</w:t>
      </w:r>
      <w:r w:rsidRPr="00036848">
        <w:rPr>
          <w:rFonts w:ascii="Arial" w:hAnsi="Arial" w:cs="David" w:hint="cs"/>
          <w:b/>
          <w:bCs/>
          <w:i/>
          <w:iCs/>
          <w:rtl/>
        </w:rPr>
        <w:t xml:space="preserve">. </w:t>
      </w:r>
    </w:p>
    <w:p w:rsidR="005A0B34" w:rsidRPr="00036848" w:rsidRDefault="005A0B34" w:rsidP="001F24CE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036848">
        <w:rPr>
          <w:rFonts w:ascii="Arial" w:hAnsi="Arial" w:cs="David" w:hint="cs"/>
          <w:b/>
          <w:bCs/>
          <w:rtl/>
        </w:rPr>
        <w:t xml:space="preserve"> עודף הנכסים על ההתחייבויות של המשק מול חו"ל במכשירי חוב בלבד (חוב חיצוני שלילי), עלה ברביע </w:t>
      </w:r>
      <w:r w:rsidR="001F24CE" w:rsidRPr="00036848">
        <w:rPr>
          <w:rFonts w:ascii="Arial" w:hAnsi="Arial" w:cs="David" w:hint="cs"/>
          <w:b/>
          <w:bCs/>
          <w:rtl/>
        </w:rPr>
        <w:t>השלישי</w:t>
      </w:r>
      <w:r w:rsidRPr="00036848">
        <w:rPr>
          <w:rFonts w:ascii="Arial" w:hAnsi="Arial" w:cs="David" w:hint="cs"/>
          <w:b/>
          <w:bCs/>
          <w:rtl/>
        </w:rPr>
        <w:t xml:space="preserve"> בכ-6.</w:t>
      </w:r>
      <w:r w:rsidR="001F24CE" w:rsidRPr="00036848">
        <w:rPr>
          <w:rFonts w:ascii="Arial" w:hAnsi="Arial" w:cs="David" w:hint="cs"/>
          <w:b/>
          <w:bCs/>
          <w:rtl/>
        </w:rPr>
        <w:t>4</w:t>
      </w:r>
      <w:r w:rsidRPr="00036848">
        <w:rPr>
          <w:rFonts w:ascii="Arial" w:hAnsi="Arial" w:cs="David" w:hint="cs"/>
          <w:b/>
          <w:bCs/>
          <w:rtl/>
        </w:rPr>
        <w:t xml:space="preserve"> מיליארדי דולרים (4.</w:t>
      </w:r>
      <w:r w:rsidR="001F24CE" w:rsidRPr="00036848">
        <w:rPr>
          <w:rFonts w:ascii="Arial" w:hAnsi="Arial" w:cs="David" w:hint="cs"/>
          <w:b/>
          <w:bCs/>
          <w:rtl/>
        </w:rPr>
        <w:t>4</w:t>
      </w:r>
      <w:r w:rsidRPr="00036848">
        <w:rPr>
          <w:rFonts w:ascii="Arial" w:hAnsi="Arial" w:cs="David" w:hint="cs"/>
          <w:b/>
          <w:bCs/>
          <w:rtl/>
        </w:rPr>
        <w:t xml:space="preserve">%) ועמד בסוף </w:t>
      </w:r>
      <w:r w:rsidR="001F24CE" w:rsidRPr="00036848">
        <w:rPr>
          <w:rFonts w:ascii="Arial" w:hAnsi="Arial" w:cs="David" w:hint="cs"/>
          <w:b/>
          <w:bCs/>
          <w:rtl/>
        </w:rPr>
        <w:t>ספטמבר</w:t>
      </w:r>
      <w:r w:rsidRPr="00036848">
        <w:rPr>
          <w:rFonts w:ascii="Arial" w:hAnsi="Arial" w:cs="David" w:hint="cs"/>
          <w:b/>
          <w:bCs/>
          <w:rtl/>
        </w:rPr>
        <w:t xml:space="preserve"> על כ-1</w:t>
      </w:r>
      <w:r w:rsidR="001F24CE" w:rsidRPr="00036848">
        <w:rPr>
          <w:rFonts w:ascii="Arial" w:hAnsi="Arial" w:cs="David" w:hint="cs"/>
          <w:b/>
          <w:bCs/>
          <w:rtl/>
        </w:rPr>
        <w:t>5</w:t>
      </w:r>
      <w:r w:rsidRPr="00036848">
        <w:rPr>
          <w:rFonts w:ascii="Arial" w:hAnsi="Arial" w:cs="David" w:hint="cs"/>
          <w:b/>
          <w:bCs/>
          <w:rtl/>
        </w:rPr>
        <w:t xml:space="preserve">0 מיליארדים. </w:t>
      </w:r>
    </w:p>
    <w:p w:rsidR="002D5576" w:rsidRDefault="002D5576" w:rsidP="005A0B3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2D468D" w:rsidRDefault="00BE4078" w:rsidP="008964DB">
      <w:pPr>
        <w:spacing w:after="360" w:line="360" w:lineRule="auto"/>
        <w:jc w:val="center"/>
        <w:rPr>
          <w:rtl/>
        </w:rPr>
      </w:pPr>
      <w:r w:rsidRPr="00BE4078">
        <w:rPr>
          <w:noProof/>
          <w:lang w:eastAsia="en-US"/>
        </w:rPr>
        <w:drawing>
          <wp:inline distT="0" distB="0" distL="0" distR="0" wp14:anchorId="7DEF98AE" wp14:editId="6BC14B69">
            <wp:extent cx="5486400" cy="3434715"/>
            <wp:effectExtent l="19050" t="19050" r="19050" b="13335"/>
            <wp:docPr id="1" name="Picture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5D04" w:rsidRPr="00FE10AB" w:rsidRDefault="00E95D04" w:rsidP="00E95D04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 xml:space="preserve">שווי תיק הנכסים של תושבי ישראל בחו"ל  </w:t>
      </w:r>
    </w:p>
    <w:p w:rsidR="00E95D04" w:rsidRDefault="00E95D04" w:rsidP="00D46F81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Pr="00AF6E37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 xml:space="preserve">ברביע </w:t>
      </w:r>
      <w:r w:rsidR="00D70E5B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של </w:t>
      </w:r>
      <w:r w:rsidRPr="00AF6E37">
        <w:rPr>
          <w:rFonts w:ascii="Arial" w:hAnsi="Arial" w:cs="David" w:hint="cs"/>
          <w:rtl/>
        </w:rPr>
        <w:t xml:space="preserve">שנת </w:t>
      </w:r>
      <w:r>
        <w:rPr>
          <w:rFonts w:ascii="Arial" w:hAnsi="Arial" w:cs="David" w:hint="cs"/>
          <w:rtl/>
        </w:rPr>
        <w:t>2017</w:t>
      </w:r>
      <w:r w:rsidRPr="00AF6E37">
        <w:rPr>
          <w:rFonts w:ascii="Arial" w:hAnsi="Arial" w:cs="David" w:hint="cs"/>
          <w:rtl/>
        </w:rPr>
        <w:t xml:space="preserve"> ב-</w:t>
      </w:r>
      <w:r w:rsidR="00E90F70">
        <w:rPr>
          <w:rFonts w:ascii="Arial" w:hAnsi="Arial" w:cs="David" w:hint="cs"/>
          <w:rtl/>
        </w:rPr>
        <w:t>12.7</w:t>
      </w:r>
      <w:r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מיליארדי דולרים (</w:t>
      </w:r>
      <w:r w:rsidR="00E90F70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>.1</w:t>
      </w:r>
      <w:r w:rsidRPr="00AF6E37">
        <w:rPr>
          <w:rFonts w:ascii="Arial" w:hAnsi="Arial" w:cs="David" w:hint="cs"/>
          <w:rtl/>
        </w:rPr>
        <w:t xml:space="preserve">%) ועמד בסוף </w:t>
      </w:r>
      <w:r w:rsidR="00E90F70">
        <w:rPr>
          <w:rFonts w:ascii="Arial" w:hAnsi="Arial" w:cs="David" w:hint="cs"/>
          <w:rtl/>
        </w:rPr>
        <w:t>ספטמבר</w:t>
      </w:r>
      <w:r w:rsidRPr="00AF6E37">
        <w:rPr>
          <w:rFonts w:ascii="Arial" w:hAnsi="Arial" w:cs="David" w:hint="cs"/>
          <w:rtl/>
        </w:rPr>
        <w:t xml:space="preserve"> על כ-</w:t>
      </w:r>
      <w:r w:rsidR="00E90F70">
        <w:rPr>
          <w:rFonts w:ascii="Arial" w:hAnsi="Arial" w:cs="David" w:hint="cs"/>
          <w:rtl/>
        </w:rPr>
        <w:t>419</w:t>
      </w:r>
      <w:r w:rsidRPr="00AF6E37">
        <w:rPr>
          <w:rFonts w:ascii="Arial" w:hAnsi="Arial" w:cs="David" w:hint="cs"/>
          <w:rtl/>
        </w:rPr>
        <w:t xml:space="preserve"> מיליארדי דולרים. </w:t>
      </w:r>
      <w:r>
        <w:rPr>
          <w:rFonts w:ascii="Arial" w:hAnsi="Arial" w:cs="David" w:hint="cs"/>
          <w:rtl/>
        </w:rPr>
        <w:t xml:space="preserve">עיקר </w:t>
      </w:r>
      <w:r w:rsidRPr="000E79EF">
        <w:rPr>
          <w:rFonts w:ascii="Arial" w:hAnsi="Arial" w:cs="David" w:hint="cs"/>
          <w:rtl/>
        </w:rPr>
        <w:t xml:space="preserve">הגידול בתיק הנכסים </w:t>
      </w:r>
      <w:r w:rsidR="00D46F81">
        <w:rPr>
          <w:rFonts w:ascii="Arial" w:hAnsi="Arial" w:cs="David" w:hint="cs"/>
          <w:rtl/>
        </w:rPr>
        <w:t>נבע</w:t>
      </w:r>
      <w:r w:rsidR="00D46F81" w:rsidRPr="000E79EF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מהשקעות נטו של תושבי ישראל </w:t>
      </w:r>
      <w:r w:rsidR="00E90F70">
        <w:rPr>
          <w:rFonts w:ascii="Arial" w:hAnsi="Arial" w:cs="David" w:hint="cs"/>
          <w:rtl/>
        </w:rPr>
        <w:t xml:space="preserve">באג"ח זרות, </w:t>
      </w:r>
      <w:r>
        <w:rPr>
          <w:rFonts w:ascii="Arial" w:hAnsi="Arial" w:cs="David" w:hint="cs"/>
          <w:rtl/>
        </w:rPr>
        <w:t>מעלייה במחירי הנכסים הסחירים</w:t>
      </w:r>
      <w:r w:rsidR="001F24CE">
        <w:rPr>
          <w:rFonts w:ascii="Arial" w:hAnsi="Arial" w:cs="David" w:hint="cs"/>
          <w:rtl/>
        </w:rPr>
        <w:t xml:space="preserve"> הזרים המוחזקים על ידי תושבי ישראל</w:t>
      </w:r>
      <w:r w:rsidR="00E90F70">
        <w:rPr>
          <w:rFonts w:ascii="Arial" w:hAnsi="Arial" w:cs="David" w:hint="cs"/>
          <w:rtl/>
        </w:rPr>
        <w:t xml:space="preserve"> ו</w:t>
      </w:r>
      <w:r w:rsidR="00D46F81">
        <w:rPr>
          <w:rFonts w:ascii="Arial" w:hAnsi="Arial" w:cs="David" w:hint="cs"/>
          <w:rtl/>
        </w:rPr>
        <w:t>מ</w:t>
      </w:r>
      <w:r w:rsidR="00E90F70">
        <w:rPr>
          <w:rFonts w:ascii="Arial" w:hAnsi="Arial" w:cs="David" w:hint="cs"/>
          <w:rtl/>
        </w:rPr>
        <w:t>הפקדות נטו של בנקים ישראלים בחו"ל</w:t>
      </w:r>
      <w:r>
        <w:rPr>
          <w:rFonts w:ascii="Arial" w:hAnsi="Arial" w:cs="David" w:hint="cs"/>
          <w:rtl/>
        </w:rPr>
        <w:t>.</w:t>
      </w:r>
      <w:r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Default="00B90A51" w:rsidP="00D46F81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עלה במהלך הרביע </w:t>
      </w:r>
      <w:r w:rsidR="00E90F70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בכ-</w:t>
      </w:r>
      <w:r w:rsidR="00E90F70">
        <w:rPr>
          <w:rFonts w:ascii="Arial" w:hAnsi="Arial" w:cs="David" w:hint="cs"/>
          <w:rtl/>
        </w:rPr>
        <w:t>1.5</w:t>
      </w:r>
      <w:r>
        <w:rPr>
          <w:rFonts w:ascii="Arial" w:hAnsi="Arial" w:cs="David" w:hint="cs"/>
          <w:rtl/>
        </w:rPr>
        <w:t xml:space="preserve"> מיליארדי דולרים (</w:t>
      </w:r>
      <w:r w:rsidR="00E90F70">
        <w:rPr>
          <w:rFonts w:ascii="Arial" w:hAnsi="Arial" w:cs="David" w:hint="cs"/>
          <w:rtl/>
        </w:rPr>
        <w:t>1.5</w:t>
      </w:r>
      <w:r>
        <w:rPr>
          <w:rFonts w:ascii="Arial" w:hAnsi="Arial" w:cs="David" w:hint="cs"/>
          <w:rtl/>
        </w:rPr>
        <w:t xml:space="preserve">%), בעיקר </w:t>
      </w:r>
      <w:r w:rsidR="00E90F70">
        <w:rPr>
          <w:rFonts w:ascii="Arial" w:hAnsi="Arial" w:cs="David" w:hint="cs"/>
          <w:rtl/>
        </w:rPr>
        <w:t>מתן</w:t>
      </w:r>
      <w:r>
        <w:rPr>
          <w:rFonts w:ascii="Arial" w:hAnsi="Arial" w:cs="David" w:hint="cs"/>
          <w:rtl/>
        </w:rPr>
        <w:t xml:space="preserve"> </w:t>
      </w:r>
      <w:r w:rsidR="00E90F70">
        <w:rPr>
          <w:rFonts w:ascii="Arial" w:hAnsi="Arial" w:cs="David" w:hint="cs"/>
          <w:rtl/>
        </w:rPr>
        <w:t>הלוואות בעלים לחברות בנות זרות</w:t>
      </w:r>
      <w:r>
        <w:rPr>
          <w:rFonts w:ascii="Arial" w:hAnsi="Arial" w:cs="David" w:hint="cs"/>
          <w:rtl/>
        </w:rPr>
        <w:t xml:space="preserve"> בהיקף של כ-</w:t>
      </w:r>
      <w:r w:rsidR="00E90F70">
        <w:rPr>
          <w:rFonts w:ascii="Arial" w:hAnsi="Arial" w:cs="David" w:hint="cs"/>
          <w:rtl/>
        </w:rPr>
        <w:t>0.8</w:t>
      </w:r>
      <w:r>
        <w:rPr>
          <w:rFonts w:ascii="Arial" w:hAnsi="Arial" w:cs="David" w:hint="cs"/>
          <w:rtl/>
        </w:rPr>
        <w:t xml:space="preserve"> מיליארדים.</w:t>
      </w:r>
    </w:p>
    <w:p w:rsidR="008964DB" w:rsidRPr="00617539" w:rsidRDefault="008964DB" w:rsidP="0017204C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tbl>
      <w:tblPr>
        <w:tblStyle w:val="af1"/>
        <w:bidiVisual/>
        <w:tblW w:w="10490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5832"/>
      </w:tblGrid>
      <w:tr w:rsidR="00B90A51" w:rsidTr="00D064D6">
        <w:trPr>
          <w:trHeight w:val="3911"/>
        </w:trPr>
        <w:tc>
          <w:tcPr>
            <w:tcW w:w="4814" w:type="dxa"/>
          </w:tcPr>
          <w:p w:rsidR="00B90A51" w:rsidRPr="00933151" w:rsidRDefault="00B90A51" w:rsidP="00E8609A">
            <w:pPr>
              <w:pStyle w:val="2"/>
              <w:rPr>
                <w:rtl/>
              </w:rPr>
            </w:pPr>
            <w:r w:rsidRPr="00907615">
              <w:rPr>
                <w:rFonts w:hint="cs"/>
                <w:b/>
                <w:bCs/>
                <w:rtl/>
              </w:rPr>
              <w:t>שווי תיק ההשקעות הפיננסיות</w:t>
            </w:r>
            <w:r>
              <w:rPr>
                <w:rFonts w:hint="cs"/>
                <w:rtl/>
              </w:rPr>
              <w:t xml:space="preserve"> עלה במהלך הרביע </w:t>
            </w:r>
            <w:r w:rsidR="0017204C">
              <w:rPr>
                <w:rFonts w:hint="cs"/>
                <w:rtl/>
              </w:rPr>
              <w:t>השלישי</w:t>
            </w:r>
            <w:r>
              <w:rPr>
                <w:rFonts w:hint="cs"/>
                <w:rtl/>
              </w:rPr>
              <w:t xml:space="preserve"> בכ-</w:t>
            </w:r>
            <w:r w:rsidR="0017204C">
              <w:rPr>
                <w:rFonts w:hint="cs"/>
                <w:rtl/>
              </w:rPr>
              <w:t>4.9</w:t>
            </w:r>
            <w:r>
              <w:rPr>
                <w:rFonts w:hint="cs"/>
                <w:rtl/>
              </w:rPr>
              <w:t xml:space="preserve"> מיליארדי דולרים</w:t>
            </w:r>
            <w:r w:rsidRPr="003F3174">
              <w:rPr>
                <w:rFonts w:hint="cs"/>
                <w:rtl/>
              </w:rPr>
              <w:t xml:space="preserve"> (</w:t>
            </w:r>
            <w:r w:rsidR="0017204C">
              <w:rPr>
                <w:rFonts w:hint="cs"/>
                <w:rtl/>
              </w:rPr>
              <w:t>3.8</w:t>
            </w:r>
            <w:r w:rsidRPr="003F3174">
              <w:rPr>
                <w:rFonts w:hint="cs"/>
                <w:rtl/>
              </w:rPr>
              <w:t>%</w:t>
            </w:r>
            <w:r w:rsidR="00543858">
              <w:rPr>
                <w:rFonts w:hint="cs"/>
                <w:rtl/>
              </w:rPr>
              <w:t>)</w:t>
            </w:r>
            <w:r w:rsidRPr="003F317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בעיקר </w:t>
            </w:r>
            <w:r w:rsidR="00543858">
              <w:rPr>
                <w:rFonts w:hint="cs"/>
                <w:rtl/>
              </w:rPr>
              <w:t>כתוצאה מ</w:t>
            </w:r>
            <w:r>
              <w:rPr>
                <w:rFonts w:hint="cs"/>
                <w:rtl/>
              </w:rPr>
              <w:t>השקעות נטו של תושבי ישראל</w:t>
            </w:r>
            <w:r w:rsidR="00543858">
              <w:rPr>
                <w:rFonts w:hint="cs"/>
                <w:rtl/>
              </w:rPr>
              <w:t xml:space="preserve"> </w:t>
            </w:r>
            <w:r w:rsidRPr="00E8609A">
              <w:rPr>
                <w:rFonts w:hint="cs"/>
                <w:b/>
                <w:bCs/>
                <w:rtl/>
              </w:rPr>
              <w:t>באג"ח זרות</w:t>
            </w:r>
            <w:r>
              <w:rPr>
                <w:rFonts w:hint="cs"/>
                <w:rtl/>
              </w:rPr>
              <w:t xml:space="preserve"> בהיקף של כ-2.</w:t>
            </w:r>
            <w:r w:rsidR="0017204C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מיליארדי דולרים (</w:t>
            </w:r>
            <w:r w:rsidR="0017204C">
              <w:rPr>
                <w:rFonts w:hint="cs"/>
                <w:rtl/>
              </w:rPr>
              <w:t>1.8</w:t>
            </w:r>
            <w:r>
              <w:rPr>
                <w:rFonts w:hint="cs"/>
                <w:rtl/>
              </w:rPr>
              <w:t>%)</w:t>
            </w:r>
            <w:r w:rsidR="00BE4078">
              <w:rPr>
                <w:rFonts w:hint="cs"/>
                <w:rtl/>
              </w:rPr>
              <w:t xml:space="preserve">, </w:t>
            </w:r>
            <w:r w:rsidR="00543858">
              <w:rPr>
                <w:rFonts w:hint="cs"/>
                <w:rtl/>
              </w:rPr>
              <w:t>על ידי הבנקים המקומיים (כ-1.</w:t>
            </w:r>
            <w:r w:rsidR="008610A8">
              <w:rPr>
                <w:rFonts w:hint="cs"/>
                <w:rtl/>
              </w:rPr>
              <w:t>6</w:t>
            </w:r>
            <w:r w:rsidR="00543858">
              <w:rPr>
                <w:rFonts w:hint="cs"/>
                <w:rtl/>
              </w:rPr>
              <w:t xml:space="preserve"> מיליארדי דולרים)</w:t>
            </w:r>
            <w:r w:rsidR="008610A8">
              <w:rPr>
                <w:rFonts w:hint="cs"/>
                <w:rtl/>
              </w:rPr>
              <w:t xml:space="preserve"> ומשקי הבית (כ-0.9 מיליארדים). כמו כן, ברביע השלישי נרשמו </w:t>
            </w:r>
            <w:r w:rsidR="00E8609A">
              <w:rPr>
                <w:rFonts w:hint="cs"/>
                <w:rtl/>
              </w:rPr>
              <w:t xml:space="preserve">מימושים נטו </w:t>
            </w:r>
            <w:r w:rsidR="00E8609A" w:rsidRPr="00E8609A">
              <w:rPr>
                <w:rFonts w:hint="cs"/>
                <w:b/>
                <w:bCs/>
                <w:rtl/>
              </w:rPr>
              <w:t>במניות זרות</w:t>
            </w:r>
            <w:r w:rsidR="00E8609A">
              <w:rPr>
                <w:rFonts w:hint="cs"/>
                <w:rtl/>
              </w:rPr>
              <w:t xml:space="preserve"> בהיקף של כ-2.8 מיליארדים (2.1%-) בעיקר על ידי משקי הבית. מימושים אלו קוזזו ויותר על ידי </w:t>
            </w:r>
            <w:r w:rsidR="008610A8">
              <w:rPr>
                <w:rFonts w:hint="cs"/>
                <w:rtl/>
              </w:rPr>
              <w:t>עליות במחירי המניות הזרות המוחזקות על ידי תושבי ישראל שהגדילו את שווי התיק הפיננסי בהיקף של כ- 3 מיליארדים (4.2%).</w:t>
            </w:r>
            <w:r w:rsidR="00D064D6">
              <w:rPr>
                <w:rFonts w:hint="cs"/>
                <w:rtl/>
              </w:rPr>
              <w:t xml:space="preserve"> </w:t>
            </w:r>
          </w:p>
        </w:tc>
        <w:tc>
          <w:tcPr>
            <w:tcW w:w="5676" w:type="dxa"/>
          </w:tcPr>
          <w:p w:rsidR="00B90A51" w:rsidRDefault="00013D02" w:rsidP="00933151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4460C268">
                  <wp:extent cx="3566160" cy="2449840"/>
                  <wp:effectExtent l="0" t="0" r="0" b="7620"/>
                  <wp:docPr id="4" name="תמונה 4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." title="תרשים 1: השקעות פיננסיות של תושבי ישראל בחו&quot;ל, לפי מגז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714" cy="2449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151" w:rsidRPr="00C340A4" w:rsidRDefault="00933151" w:rsidP="00933151">
      <w:pPr>
        <w:pStyle w:val="2"/>
        <w:rPr>
          <w:rtl/>
        </w:rPr>
      </w:pPr>
    </w:p>
    <w:p w:rsidR="00D064D6" w:rsidRPr="005A0B34" w:rsidRDefault="00E95D04" w:rsidP="008610A8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lastRenderedPageBreak/>
        <w:t>שווי ההשקעות האחרות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עלה במהלך הרביע </w:t>
      </w:r>
      <w:r w:rsidR="008610A8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ב-</w:t>
      </w:r>
      <w:r w:rsidR="008610A8">
        <w:rPr>
          <w:rFonts w:ascii="Arial" w:hAnsi="Arial" w:cs="David" w:hint="cs"/>
          <w:rtl/>
        </w:rPr>
        <w:t>3.5</w:t>
      </w:r>
      <w:r>
        <w:rPr>
          <w:rFonts w:ascii="Arial" w:hAnsi="Arial" w:cs="David" w:hint="cs"/>
          <w:rtl/>
        </w:rPr>
        <w:t xml:space="preserve"> מיליארדי דולרים (</w:t>
      </w:r>
      <w:r w:rsidR="008610A8">
        <w:rPr>
          <w:rFonts w:ascii="Arial" w:hAnsi="Arial" w:cs="David" w:hint="cs"/>
          <w:rtl/>
        </w:rPr>
        <w:t>5.3</w:t>
      </w:r>
      <w:r>
        <w:rPr>
          <w:rFonts w:ascii="Arial" w:hAnsi="Arial" w:cs="David" w:hint="cs"/>
          <w:rtl/>
        </w:rPr>
        <w:t>%):</w:t>
      </w:r>
      <w:r w:rsidR="008610A8">
        <w:rPr>
          <w:rFonts w:ascii="Arial" w:hAnsi="Arial" w:cs="David" w:hint="cs"/>
          <w:rtl/>
        </w:rPr>
        <w:t xml:space="preserve"> בעיקר</w:t>
      </w:r>
      <w:r>
        <w:rPr>
          <w:rFonts w:ascii="Arial" w:hAnsi="Arial" w:cs="David" w:hint="cs"/>
          <w:rtl/>
        </w:rPr>
        <w:t xml:space="preserve"> </w:t>
      </w:r>
      <w:r w:rsidR="008610A8">
        <w:rPr>
          <w:rFonts w:ascii="Arial" w:hAnsi="Arial" w:cs="David" w:hint="cs"/>
          <w:rtl/>
        </w:rPr>
        <w:t xml:space="preserve">עלייה בפיקדונות בנקים ישראלים בחו"ל </w:t>
      </w:r>
      <w:r w:rsidR="00BE4078">
        <w:rPr>
          <w:rFonts w:ascii="Arial" w:hAnsi="Arial" w:cs="David" w:hint="cs"/>
          <w:rtl/>
        </w:rPr>
        <w:t>בהיקף של כ- 1.6 מיליארדים (14%)</w:t>
      </w:r>
      <w:r w:rsidR="008610A8">
        <w:rPr>
          <w:rFonts w:ascii="Arial" w:hAnsi="Arial" w:cs="David" w:hint="cs"/>
          <w:rtl/>
        </w:rPr>
        <w:t xml:space="preserve"> </w:t>
      </w:r>
      <w:r w:rsidR="00BE4078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>גידול ביתרת ההלוואות שנתנו תושבי ישראל לתושבי חוץ בהיקף של כ</w:t>
      </w:r>
      <w:r w:rsidR="008610A8">
        <w:rPr>
          <w:rFonts w:ascii="Arial" w:hAnsi="Arial" w:cs="David" w:hint="cs"/>
          <w:rtl/>
        </w:rPr>
        <w:t xml:space="preserve">- 1.2 מיליארדים </w:t>
      </w:r>
      <w:r>
        <w:rPr>
          <w:rFonts w:ascii="Arial" w:hAnsi="Arial" w:cs="David" w:hint="cs"/>
          <w:rtl/>
        </w:rPr>
        <w:t>(</w:t>
      </w:r>
      <w:r w:rsidR="008610A8">
        <w:rPr>
          <w:rFonts w:ascii="Arial" w:hAnsi="Arial" w:cs="David" w:hint="cs"/>
          <w:rtl/>
        </w:rPr>
        <w:t>8.8</w:t>
      </w:r>
      <w:r>
        <w:rPr>
          <w:rFonts w:ascii="Arial" w:hAnsi="Arial" w:cs="David" w:hint="cs"/>
          <w:rtl/>
        </w:rPr>
        <w:t>%)</w:t>
      </w:r>
      <w:r w:rsidR="008610A8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</w:p>
    <w:p w:rsidR="00595D2C" w:rsidRPr="00595D2C" w:rsidRDefault="00D064D6" w:rsidP="00595D2C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>כתוצאה מהעלייה בשווי ההשקעות האחרות בחו"ל, בשילוב עם ההשקעות נטו באג"ח זרות,</w:t>
      </w:r>
      <w:r>
        <w:rPr>
          <w:rFonts w:ascii="Arial" w:hAnsi="Arial" w:cs="David" w:hint="cs"/>
          <w:rtl/>
        </w:rPr>
        <w:t xml:space="preserve"> חלה </w:t>
      </w:r>
      <w:r w:rsidR="00B60E88">
        <w:rPr>
          <w:rFonts w:ascii="Arial" w:hAnsi="Arial" w:cs="David" w:hint="cs"/>
          <w:rtl/>
        </w:rPr>
        <w:t>עלייה של כ-1%</w:t>
      </w:r>
      <w:r w:rsidRPr="007E09F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במשקל</w:t>
      </w:r>
      <w:r w:rsidR="0046284A">
        <w:rPr>
          <w:rFonts w:ascii="Arial" w:hAnsi="Arial" w:cs="David" w:hint="cs"/>
          <w:rtl/>
        </w:rPr>
        <w:t>ן</w:t>
      </w:r>
      <w:r>
        <w:rPr>
          <w:rFonts w:ascii="Arial" w:hAnsi="Arial" w:cs="David" w:hint="cs"/>
          <w:rtl/>
        </w:rPr>
        <w:t xml:space="preserve"> של </w:t>
      </w:r>
      <w:r w:rsidR="0046284A">
        <w:rPr>
          <w:rFonts w:ascii="Arial" w:hAnsi="Arial" w:cs="David" w:hint="cs"/>
          <w:rtl/>
        </w:rPr>
        <w:t>ההשקעות במכשירי חוב (כגון: אג"ח, הלוואות, פיקדונות)</w:t>
      </w:r>
      <w:r w:rsidR="00B60E88">
        <w:rPr>
          <w:rFonts w:ascii="Arial" w:hAnsi="Arial" w:cs="David" w:hint="cs"/>
          <w:rtl/>
        </w:rPr>
        <w:t xml:space="preserve"> עד לרמה של 48%</w:t>
      </w:r>
      <w:r w:rsidR="00595D2C">
        <w:rPr>
          <w:rFonts w:ascii="Arial" w:hAnsi="Arial" w:cs="David" w:hint="cs"/>
          <w:rtl/>
        </w:rPr>
        <w:t xml:space="preserve">. </w:t>
      </w:r>
      <w:r w:rsidR="00B60E88">
        <w:rPr>
          <w:rFonts w:ascii="Arial" w:hAnsi="Arial" w:cs="David" w:hint="cs"/>
          <w:rtl/>
        </w:rPr>
        <w:t>משקלן של ההשקעות במכשירי הון (השקעות ישירות ופיננסיות במניות) ירד בהתאמה לרמה של 52%.</w:t>
      </w:r>
    </w:p>
    <w:p w:rsidR="00B90A51" w:rsidRPr="008964DB" w:rsidRDefault="00E95D04" w:rsidP="008964DB">
      <w:pPr>
        <w:spacing w:after="240" w:line="360" w:lineRule="auto"/>
        <w:ind w:right="426"/>
        <w:jc w:val="both"/>
        <w:rPr>
          <w:rFonts w:ascii="Arial" w:hAnsi="Arial" w:cs="David"/>
          <w:highlight w:val="lightGray"/>
          <w:rtl/>
        </w:rPr>
      </w:pPr>
      <w:r w:rsidRPr="00907615">
        <w:rPr>
          <w:rStyle w:val="20"/>
          <w:rFonts w:hint="cs"/>
          <w:b/>
          <w:bCs/>
          <w:rtl/>
        </w:rPr>
        <w:t xml:space="preserve">שווי יתרת רזרבות </w:t>
      </w:r>
      <w:proofErr w:type="spellStart"/>
      <w:r w:rsidRPr="00907615">
        <w:rPr>
          <w:rStyle w:val="20"/>
          <w:rFonts w:hint="cs"/>
          <w:b/>
          <w:bCs/>
          <w:rtl/>
        </w:rPr>
        <w:t>המט"ח</w:t>
      </w:r>
      <w:proofErr w:type="spellEnd"/>
      <w:r>
        <w:rPr>
          <w:rFonts w:ascii="Arial" w:hAnsi="Arial" w:cs="David" w:hint="cs"/>
          <w:rtl/>
        </w:rPr>
        <w:t xml:space="preserve"> עלה במהלך הרביע </w:t>
      </w:r>
      <w:r w:rsidR="0046284A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בהיקף של כ-</w:t>
      </w:r>
      <w:r w:rsidR="0046284A">
        <w:rPr>
          <w:rFonts w:ascii="Arial" w:hAnsi="Arial" w:cs="David" w:hint="cs"/>
          <w:rtl/>
        </w:rPr>
        <w:t>2.3</w:t>
      </w:r>
      <w:r>
        <w:rPr>
          <w:rFonts w:ascii="Arial" w:hAnsi="Arial" w:cs="David" w:hint="cs"/>
          <w:rtl/>
        </w:rPr>
        <w:t xml:space="preserve"> מיליארדי דולרים (</w:t>
      </w:r>
      <w:r w:rsidR="0046284A">
        <w:rPr>
          <w:rFonts w:ascii="Arial" w:hAnsi="Arial" w:cs="David" w:hint="cs"/>
          <w:rtl/>
        </w:rPr>
        <w:t>2.2</w:t>
      </w:r>
      <w:r>
        <w:rPr>
          <w:rFonts w:ascii="Arial" w:hAnsi="Arial" w:cs="David" w:hint="cs"/>
          <w:rtl/>
        </w:rPr>
        <w:t xml:space="preserve">%) ועמד בסוף </w:t>
      </w:r>
      <w:r w:rsidRPr="000E7D7C">
        <w:rPr>
          <w:rFonts w:ascii="Arial" w:hAnsi="Arial" w:cs="David" w:hint="cs"/>
          <w:rtl/>
        </w:rPr>
        <w:t>הרביע על 1</w:t>
      </w:r>
      <w:r w:rsidR="0046284A">
        <w:rPr>
          <w:rFonts w:ascii="Arial" w:hAnsi="Arial" w:cs="David" w:hint="cs"/>
          <w:rtl/>
        </w:rPr>
        <w:t>11</w:t>
      </w:r>
      <w:r w:rsidRPr="000E7D7C">
        <w:rPr>
          <w:rFonts w:ascii="Arial" w:hAnsi="Arial" w:cs="David" w:hint="cs"/>
          <w:rtl/>
        </w:rPr>
        <w:t xml:space="preserve"> מיליארדים.</w:t>
      </w: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Default="00890447" w:rsidP="0046284A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46284A">
        <w:rPr>
          <w:rFonts w:ascii="Arial" w:hAnsi="Arial" w:cs="David" w:hint="cs"/>
          <w:rtl/>
        </w:rPr>
        <w:t>ירדה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ב-</w:t>
      </w:r>
      <w:r w:rsidR="0046284A">
        <w:rPr>
          <w:rFonts w:ascii="Arial" w:hAnsi="Arial" w:cs="David" w:hint="cs"/>
          <w:rtl/>
        </w:rPr>
        <w:t>5.7</w:t>
      </w:r>
      <w:r>
        <w:rPr>
          <w:rFonts w:ascii="Arial" w:hAnsi="Arial" w:cs="David" w:hint="cs"/>
          <w:rtl/>
        </w:rPr>
        <w:t xml:space="preserve"> מיליארדי דולרים (</w:t>
      </w:r>
      <w:r w:rsidR="0046284A">
        <w:rPr>
          <w:rFonts w:ascii="Arial" w:hAnsi="Arial" w:cs="David" w:hint="cs"/>
          <w:rtl/>
        </w:rPr>
        <w:t>2%-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46284A">
        <w:rPr>
          <w:rFonts w:ascii="Arial" w:hAnsi="Arial" w:cs="David" w:hint="cs"/>
          <w:rtl/>
        </w:rPr>
        <w:t>ספטמבר</w:t>
      </w:r>
      <w:r w:rsidRPr="00672893"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על כ-</w:t>
      </w:r>
      <w:r>
        <w:rPr>
          <w:rFonts w:ascii="Arial" w:hAnsi="Arial" w:cs="David" w:hint="cs"/>
          <w:rtl/>
        </w:rPr>
        <w:t>2</w:t>
      </w:r>
      <w:r w:rsidR="0046284A">
        <w:rPr>
          <w:rFonts w:ascii="Arial" w:hAnsi="Arial" w:cs="David" w:hint="cs"/>
          <w:rtl/>
        </w:rPr>
        <w:t>83</w:t>
      </w:r>
      <w:r w:rsidRPr="00AF6E37">
        <w:rPr>
          <w:rFonts w:ascii="Arial" w:hAnsi="Arial" w:cs="David" w:hint="cs"/>
          <w:rtl/>
        </w:rPr>
        <w:t xml:space="preserve"> מיליארדי</w:t>
      </w:r>
      <w:r>
        <w:rPr>
          <w:rFonts w:ascii="Arial" w:hAnsi="Arial" w:cs="David" w:hint="cs"/>
          <w:rtl/>
        </w:rPr>
        <w:t>ם.</w:t>
      </w:r>
    </w:p>
    <w:p w:rsidR="00890447" w:rsidRDefault="00890447" w:rsidP="0046284A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</w:t>
      </w:r>
      <w:proofErr w:type="spellStart"/>
      <w:r w:rsidR="0046284A">
        <w:rPr>
          <w:rFonts w:ascii="Arial" w:hAnsi="Arial" w:cs="David" w:hint="cs"/>
          <w:rtl/>
        </w:rPr>
        <w:t>בכ</w:t>
      </w:r>
      <w:proofErr w:type="spellEnd"/>
      <w:r w:rsidR="0046284A">
        <w:rPr>
          <w:rFonts w:ascii="Arial" w:hAnsi="Arial" w:cs="David" w:hint="cs"/>
          <w:rtl/>
        </w:rPr>
        <w:t>-</w:t>
      </w:r>
      <w:r w:rsidRPr="00D846D0">
        <w:rPr>
          <w:rFonts w:ascii="Arial" w:hAnsi="Arial" w:cs="David" w:hint="cs"/>
          <w:rtl/>
        </w:rPr>
        <w:t xml:space="preserve"> </w:t>
      </w:r>
      <w:r w:rsidR="0046284A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 xml:space="preserve">.8 </w:t>
      </w:r>
      <w:r w:rsidRPr="00D846D0">
        <w:rPr>
          <w:rFonts w:ascii="Arial" w:hAnsi="Arial" w:cs="David" w:hint="cs"/>
          <w:rtl/>
        </w:rPr>
        <w:t>מיליארדי דולרים (</w:t>
      </w:r>
      <w:r w:rsidR="0046284A">
        <w:rPr>
          <w:rFonts w:ascii="Arial" w:hAnsi="Arial" w:cs="David" w:hint="cs"/>
          <w:rtl/>
        </w:rPr>
        <w:t>3.4</w:t>
      </w:r>
      <w:r>
        <w:rPr>
          <w:rFonts w:ascii="Arial" w:hAnsi="Arial" w:cs="David" w:hint="cs"/>
          <w:rtl/>
        </w:rPr>
        <w:t xml:space="preserve">%). העלייה נבעה </w:t>
      </w:r>
      <w:r w:rsidR="0046284A">
        <w:rPr>
          <w:rFonts w:ascii="Arial" w:hAnsi="Arial" w:cs="David" w:hint="cs"/>
          <w:rtl/>
        </w:rPr>
        <w:t>בעיקר</w:t>
      </w:r>
      <w:r>
        <w:rPr>
          <w:rFonts w:ascii="Arial" w:hAnsi="Arial" w:cs="David" w:hint="cs"/>
          <w:rtl/>
        </w:rPr>
        <w:t xml:space="preserve"> </w:t>
      </w:r>
      <w:r w:rsidR="0046284A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 xml:space="preserve">השקעות ישירות נטו </w:t>
      </w:r>
      <w:r w:rsidR="0046284A">
        <w:rPr>
          <w:rFonts w:ascii="Arial" w:hAnsi="Arial" w:cs="David" w:hint="cs"/>
          <w:rtl/>
        </w:rPr>
        <w:t xml:space="preserve">של תושבי חוץ </w:t>
      </w:r>
      <w:r>
        <w:rPr>
          <w:rFonts w:ascii="Arial" w:hAnsi="Arial" w:cs="David" w:hint="cs"/>
          <w:rtl/>
        </w:rPr>
        <w:t>בהון מניות ישראליות (</w:t>
      </w:r>
      <w:r w:rsidR="0046284A">
        <w:rPr>
          <w:rFonts w:ascii="Arial" w:hAnsi="Arial" w:cs="David" w:hint="cs"/>
          <w:rtl/>
        </w:rPr>
        <w:t>3.1 מיליארדים</w:t>
      </w:r>
      <w:r>
        <w:rPr>
          <w:rFonts w:ascii="Arial" w:hAnsi="Arial" w:cs="David" w:hint="cs"/>
          <w:rtl/>
        </w:rPr>
        <w:t xml:space="preserve">, </w:t>
      </w:r>
      <w:r w:rsidR="0046284A">
        <w:rPr>
          <w:rFonts w:ascii="Arial" w:hAnsi="Arial" w:cs="David" w:hint="cs"/>
          <w:rtl/>
        </w:rPr>
        <w:t>2.7%).</w:t>
      </w:r>
    </w:p>
    <w:p w:rsidR="00695D66" w:rsidRPr="00D846D0" w:rsidRDefault="00695D66" w:rsidP="0046284A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46284A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46284A">
        <w:rPr>
          <w:rFonts w:ascii="Arial" w:hAnsi="Arial" w:cs="David" w:hint="cs"/>
          <w:rtl/>
        </w:rPr>
        <w:t>השלישי</w:t>
      </w:r>
      <w:r w:rsidRPr="00D846D0">
        <w:rPr>
          <w:rFonts w:ascii="Arial" w:hAnsi="Arial" w:cs="David" w:hint="cs"/>
          <w:rtl/>
        </w:rPr>
        <w:t xml:space="preserve"> בהיקף של כ-</w:t>
      </w:r>
      <w:r w:rsidR="0046284A">
        <w:rPr>
          <w:rFonts w:ascii="Arial" w:hAnsi="Arial" w:cs="David" w:hint="cs"/>
          <w:rtl/>
        </w:rPr>
        <w:t>11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46284A">
        <w:rPr>
          <w:rFonts w:ascii="Arial" w:hAnsi="Arial" w:cs="David" w:hint="cs"/>
          <w:rtl/>
        </w:rPr>
        <w:t>9%-</w:t>
      </w:r>
      <w:r>
        <w:rPr>
          <w:rFonts w:ascii="Arial" w:hAnsi="Arial" w:cs="David" w:hint="cs"/>
          <w:rtl/>
        </w:rPr>
        <w:t xml:space="preserve">): בעיקר </w:t>
      </w:r>
      <w:r w:rsidR="0046284A">
        <w:rPr>
          <w:rFonts w:ascii="Arial" w:hAnsi="Arial" w:cs="David" w:hint="cs"/>
          <w:rtl/>
        </w:rPr>
        <w:t>ירידות</w:t>
      </w:r>
      <w:r>
        <w:rPr>
          <w:rFonts w:ascii="Arial" w:hAnsi="Arial" w:cs="David" w:hint="cs"/>
          <w:rtl/>
        </w:rPr>
        <w:t xml:space="preserve"> במחירי המניות הישראליות שמחזיקים תושבי חוץ (</w:t>
      </w:r>
      <w:r w:rsidR="0046284A">
        <w:rPr>
          <w:rFonts w:ascii="Arial" w:hAnsi="Arial" w:cs="David" w:hint="cs"/>
          <w:rtl/>
        </w:rPr>
        <w:t>11.2</w:t>
      </w:r>
      <w:r>
        <w:rPr>
          <w:rFonts w:ascii="Arial" w:hAnsi="Arial" w:cs="David" w:hint="cs"/>
          <w:rtl/>
        </w:rPr>
        <w:t xml:space="preserve"> מיליארדי דולרים, </w:t>
      </w:r>
      <w:r w:rsidR="0046284A">
        <w:rPr>
          <w:rFonts w:ascii="Arial" w:hAnsi="Arial" w:cs="David" w:hint="cs"/>
          <w:rtl/>
        </w:rPr>
        <w:t>9.1%-).</w:t>
      </w:r>
    </w:p>
    <w:p w:rsidR="008964DB" w:rsidRDefault="00890447" w:rsidP="00F30148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="008807BA"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המהווה חלק מיתרת ההשקעות הפיננסיות של תושבי חוץ</w:t>
      </w:r>
      <w:r w:rsidR="008807BA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במשק</w:t>
      </w:r>
      <w:r w:rsidR="008807BA">
        <w:rPr>
          <w:rFonts w:ascii="Arial" w:hAnsi="Arial" w:cs="David" w:hint="cs"/>
          <w:rtl/>
        </w:rPr>
        <w:t>,</w:t>
      </w:r>
      <w:r w:rsidR="008807BA" w:rsidRPr="008807BA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עלה ברביע </w:t>
      </w:r>
      <w:r w:rsidR="00F30148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בכ-</w:t>
      </w:r>
      <w:r w:rsidR="00F30148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 xml:space="preserve"> מיליארדי דולרים (</w:t>
      </w:r>
      <w:r w:rsidR="00F30148">
        <w:rPr>
          <w:rFonts w:ascii="Arial" w:hAnsi="Arial" w:cs="David" w:hint="cs"/>
          <w:rtl/>
        </w:rPr>
        <w:t>3.2</w:t>
      </w:r>
      <w:r>
        <w:rPr>
          <w:rFonts w:ascii="Arial" w:hAnsi="Arial" w:cs="David" w:hint="cs"/>
          <w:rtl/>
        </w:rPr>
        <w:t xml:space="preserve">%) ועמד בסוף </w:t>
      </w:r>
      <w:r w:rsidR="00F30148">
        <w:rPr>
          <w:rFonts w:ascii="Arial" w:hAnsi="Arial" w:cs="David" w:hint="cs"/>
          <w:rtl/>
        </w:rPr>
        <w:t>ספטמבר</w:t>
      </w:r>
      <w:r>
        <w:rPr>
          <w:rFonts w:ascii="Arial" w:hAnsi="Arial" w:cs="David" w:hint="cs"/>
          <w:rtl/>
        </w:rPr>
        <w:t xml:space="preserve"> על </w:t>
      </w:r>
      <w:r w:rsidR="00F30148">
        <w:rPr>
          <w:rFonts w:ascii="Arial" w:hAnsi="Arial" w:cs="David" w:hint="cs"/>
          <w:rtl/>
        </w:rPr>
        <w:t>39</w:t>
      </w:r>
      <w:r>
        <w:rPr>
          <w:rFonts w:ascii="Arial" w:hAnsi="Arial" w:cs="David" w:hint="cs"/>
          <w:rtl/>
        </w:rPr>
        <w:t xml:space="preserve"> מיליארדים. עיקר העלייה בשווי התיק הפיננסי ברביע </w:t>
      </w:r>
      <w:r w:rsidR="00F30148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מקורה בעלייה בשווי יתרת </w:t>
      </w:r>
      <w:proofErr w:type="spellStart"/>
      <w:r w:rsidR="00F30148">
        <w:rPr>
          <w:rFonts w:ascii="Arial" w:hAnsi="Arial" w:cs="David" w:hint="cs"/>
          <w:rtl/>
        </w:rPr>
        <w:t>האג"ח</w:t>
      </w:r>
      <w:proofErr w:type="spellEnd"/>
      <w:r>
        <w:rPr>
          <w:rFonts w:ascii="Arial" w:hAnsi="Arial" w:cs="David" w:hint="cs"/>
          <w:rtl/>
        </w:rPr>
        <w:t xml:space="preserve"> בעיקר כתוצאה </w:t>
      </w:r>
      <w:r w:rsidR="00F30148">
        <w:rPr>
          <w:rFonts w:ascii="Arial" w:hAnsi="Arial" w:cs="David" w:hint="cs"/>
          <w:rtl/>
        </w:rPr>
        <w:t xml:space="preserve">מהשקעות נטו </w:t>
      </w:r>
      <w:proofErr w:type="spellStart"/>
      <w:r w:rsidR="00F30148">
        <w:rPr>
          <w:rFonts w:ascii="Arial" w:hAnsi="Arial" w:cs="David" w:hint="cs"/>
          <w:rtl/>
        </w:rPr>
        <w:t>במק"ם</w:t>
      </w:r>
      <w:proofErr w:type="spellEnd"/>
      <w:r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2</w:t>
      </w:r>
      <w:r w:rsidR="00F30148">
        <w:rPr>
          <w:rFonts w:ascii="Arial" w:hAnsi="Arial" w:cs="David" w:hint="cs"/>
          <w:rtl/>
        </w:rPr>
        <w:t xml:space="preserve">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1357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5681"/>
      </w:tblGrid>
      <w:tr w:rsidR="008261FD" w:rsidTr="00BE4078">
        <w:trPr>
          <w:trHeight w:val="3543"/>
        </w:trPr>
        <w:tc>
          <w:tcPr>
            <w:tcW w:w="5676" w:type="dxa"/>
          </w:tcPr>
          <w:p w:rsidR="008261FD" w:rsidRPr="00933151" w:rsidRDefault="005D1632" w:rsidP="008261FD">
            <w:pPr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D038D8" wp14:editId="3921A716">
                  <wp:extent cx="3466221" cy="2512612"/>
                  <wp:effectExtent l="0" t="0" r="1270" b="2540"/>
                  <wp:docPr id="5" name="Picture 5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400" cy="2515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8261FD" w:rsidRDefault="001229A4" w:rsidP="00A165D5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5B13D121" wp14:editId="224ACC89">
                  <wp:extent cx="3470400" cy="2514487"/>
                  <wp:effectExtent l="0" t="0" r="0" b="635"/>
                  <wp:docPr id="6" name="Picture 6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400" cy="2514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4DB" w:rsidRDefault="008964DB" w:rsidP="00C75881">
      <w:pPr>
        <w:spacing w:line="360" w:lineRule="auto"/>
        <w:jc w:val="both"/>
        <w:rPr>
          <w:rtl/>
        </w:rPr>
      </w:pPr>
    </w:p>
    <w:p w:rsidR="00695D66" w:rsidRDefault="00695D66" w:rsidP="00C75881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>עלה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במהלך הרביע </w:t>
      </w:r>
      <w:r w:rsidR="007E755F">
        <w:rPr>
          <w:rFonts w:ascii="Arial" w:hAnsi="Arial" w:cs="David" w:hint="cs"/>
          <w:rtl/>
        </w:rPr>
        <w:t>השלישי</w:t>
      </w:r>
      <w:r w:rsidRPr="00633A72">
        <w:rPr>
          <w:rFonts w:ascii="Arial" w:hAnsi="Arial" w:cs="David" w:hint="cs"/>
          <w:rtl/>
        </w:rPr>
        <w:t xml:space="preserve"> בכ-</w:t>
      </w:r>
      <w:r w:rsidR="007E755F">
        <w:rPr>
          <w:rFonts w:ascii="Arial" w:hAnsi="Arial" w:cs="David" w:hint="cs"/>
          <w:rtl/>
        </w:rPr>
        <w:t>1.5</w:t>
      </w:r>
      <w:r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מיל</w:t>
      </w:r>
      <w:r>
        <w:rPr>
          <w:rFonts w:ascii="Arial" w:hAnsi="Arial" w:cs="David" w:hint="cs"/>
          <w:rtl/>
        </w:rPr>
        <w:t>יארדי</w:t>
      </w:r>
      <w:r w:rsidRPr="00633A72">
        <w:rPr>
          <w:rFonts w:ascii="Arial" w:hAnsi="Arial" w:cs="David" w:hint="cs"/>
          <w:rtl/>
        </w:rPr>
        <w:t xml:space="preserve"> דולרים (</w:t>
      </w:r>
      <w:r w:rsidR="007E755F">
        <w:rPr>
          <w:rFonts w:ascii="Arial" w:hAnsi="Arial" w:cs="David" w:hint="cs"/>
          <w:rtl/>
        </w:rPr>
        <w:t>2.9</w:t>
      </w:r>
      <w:r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>
        <w:rPr>
          <w:rFonts w:ascii="Arial" w:hAnsi="Arial" w:cs="David" w:hint="cs"/>
          <w:rtl/>
        </w:rPr>
        <w:t xml:space="preserve">בעיקר גידול </w:t>
      </w:r>
      <w:r w:rsidR="007E755F">
        <w:rPr>
          <w:rFonts w:ascii="Arial" w:hAnsi="Arial" w:cs="David" w:hint="cs"/>
          <w:rtl/>
        </w:rPr>
        <w:t>בהלוואות פיננסיות שניתנו על ידי תושבי חוץ לתושבי ישראל</w:t>
      </w:r>
      <w:r>
        <w:rPr>
          <w:rFonts w:ascii="Arial" w:hAnsi="Arial" w:cs="David" w:hint="cs"/>
          <w:rtl/>
        </w:rPr>
        <w:t xml:space="preserve"> בהיקף של כ-</w:t>
      </w:r>
      <w:r w:rsidR="007E755F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 xml:space="preserve"> מיליארדים (</w:t>
      </w:r>
      <w:r w:rsidR="007E755F">
        <w:rPr>
          <w:rFonts w:ascii="Arial" w:hAnsi="Arial" w:cs="David" w:hint="cs"/>
          <w:rtl/>
        </w:rPr>
        <w:t>2.3</w:t>
      </w:r>
      <w:r>
        <w:rPr>
          <w:rFonts w:ascii="Arial" w:hAnsi="Arial" w:cs="David" w:hint="cs"/>
          <w:rtl/>
        </w:rPr>
        <w:t>%)</w:t>
      </w:r>
      <w:r w:rsidR="00C75881">
        <w:rPr>
          <w:rFonts w:ascii="Arial" w:hAnsi="Arial" w:cs="David" w:hint="cs"/>
          <w:rtl/>
        </w:rPr>
        <w:t>.</w:t>
      </w:r>
    </w:p>
    <w:p w:rsidR="00695D66" w:rsidRPr="003F3174" w:rsidRDefault="00695D66" w:rsidP="00C75881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lastRenderedPageBreak/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עלתה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C75881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כ-2.</w:t>
      </w:r>
      <w:r w:rsidR="00C75881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>4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>
        <w:rPr>
          <w:rFonts w:ascii="Arial" w:hAnsi="Arial" w:cs="David" w:hint="cs"/>
          <w:rtl/>
        </w:rPr>
        <w:t>2.</w:t>
      </w:r>
      <w:r w:rsidR="00C75881">
        <w:rPr>
          <w:rFonts w:ascii="Arial" w:hAnsi="Arial" w:cs="David" w:hint="cs"/>
          <w:rtl/>
        </w:rPr>
        <w:t>5</w:t>
      </w:r>
      <w:r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C75881">
        <w:rPr>
          <w:rFonts w:ascii="Arial" w:hAnsi="Arial" w:cs="David" w:hint="cs"/>
          <w:rtl/>
        </w:rPr>
        <w:t>95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C75881">
        <w:rPr>
          <w:rFonts w:ascii="Arial" w:hAnsi="Arial" w:cs="David" w:hint="cs"/>
          <w:rtl/>
        </w:rPr>
        <w:t>מגידול ביתרת ההלוואות הפיננסיות שניתנו על ידי תושבי חוץ לתושבי ישראל.</w:t>
      </w:r>
    </w:p>
    <w:p w:rsidR="00695D66" w:rsidRDefault="00695D66" w:rsidP="0076362E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C75881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rtl/>
        </w:rPr>
        <w:t xml:space="preserve"> 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C75881">
        <w:rPr>
          <w:rFonts w:ascii="Arial" w:hAnsi="Arial" w:cs="David" w:hint="cs"/>
          <w:rtl/>
        </w:rPr>
        <w:t>השלישי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ועמד בסוף </w:t>
      </w:r>
      <w:r w:rsidR="00F30148">
        <w:rPr>
          <w:rFonts w:ascii="Arial" w:hAnsi="Arial" w:cs="David" w:hint="cs"/>
          <w:rtl/>
        </w:rPr>
        <w:t>ספטמבר</w:t>
      </w:r>
      <w:r>
        <w:rPr>
          <w:rFonts w:ascii="Arial" w:hAnsi="Arial" w:cs="David" w:hint="cs"/>
          <w:rtl/>
        </w:rPr>
        <w:t xml:space="preserve"> על 26.</w:t>
      </w:r>
      <w:r w:rsidR="00C75881">
        <w:rPr>
          <w:rFonts w:ascii="Arial" w:hAnsi="Arial" w:cs="David" w:hint="cs"/>
          <w:rtl/>
        </w:rPr>
        <w:t>7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C75881">
        <w:rPr>
          <w:rFonts w:ascii="Arial" w:hAnsi="Arial" w:cs="David" w:hint="cs"/>
          <w:rtl/>
        </w:rPr>
        <w:t>העלייה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C75881">
        <w:rPr>
          <w:rFonts w:ascii="Arial" w:hAnsi="Arial" w:cs="David" w:hint="cs"/>
          <w:rtl/>
        </w:rPr>
        <w:t>עלייה</w:t>
      </w:r>
      <w:r>
        <w:rPr>
          <w:rFonts w:ascii="Arial" w:hAnsi="Arial" w:cs="David" w:hint="cs"/>
          <w:rtl/>
        </w:rPr>
        <w:t xml:space="preserve"> </w:t>
      </w:r>
      <w:r w:rsidR="0076362E">
        <w:rPr>
          <w:rFonts w:ascii="Arial" w:hAnsi="Arial" w:cs="David" w:hint="cs"/>
          <w:rtl/>
        </w:rPr>
        <w:t xml:space="preserve">בשיעור גבוה יותר (3%)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>יתרת החוב החיצוני ברוטו משיעור העלייה בתוצר</w:t>
      </w:r>
      <w:r>
        <w:rPr>
          <w:rFonts w:ascii="Arial" w:hAnsi="Arial" w:cs="David" w:hint="cs"/>
          <w:rtl/>
        </w:rPr>
        <w:t xml:space="preserve"> (</w:t>
      </w:r>
      <w:r w:rsidR="00C75881">
        <w:rPr>
          <w:rFonts w:ascii="Arial" w:hAnsi="Arial" w:cs="David" w:hint="cs"/>
          <w:rtl/>
        </w:rPr>
        <w:t>0.4</w:t>
      </w:r>
      <w:r>
        <w:rPr>
          <w:rFonts w:ascii="Arial" w:hAnsi="Arial" w:cs="David" w:hint="cs"/>
          <w:rtl/>
        </w:rPr>
        <w:t>%).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C75881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03A3A672">
            <wp:extent cx="5040000" cy="3075349"/>
            <wp:effectExtent l="19050" t="19050" r="27305" b="10795"/>
            <wp:docPr id="7" name="Picture 7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753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036848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5E7A76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34171E">
        <w:rPr>
          <w:rFonts w:ascii="Arial" w:hAnsi="Arial" w:cs="David" w:hint="cs"/>
          <w:rtl/>
        </w:rPr>
        <w:t>השלישי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34171E">
        <w:rPr>
          <w:rFonts w:ascii="Arial" w:hAnsi="Arial" w:cs="David" w:hint="cs"/>
          <w:rtl/>
        </w:rPr>
        <w:t>18.4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34171E">
        <w:rPr>
          <w:rFonts w:ascii="Arial" w:hAnsi="Arial" w:cs="David" w:hint="cs"/>
          <w:rtl/>
        </w:rPr>
        <w:t>15.8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34171E">
        <w:rPr>
          <w:rFonts w:ascii="Arial" w:hAnsi="Arial" w:cs="David" w:hint="cs"/>
          <w:rtl/>
        </w:rPr>
        <w:t>ספטמבר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8812E8">
        <w:rPr>
          <w:rFonts w:ascii="Arial" w:hAnsi="Arial" w:cs="David" w:hint="cs"/>
          <w:rtl/>
        </w:rPr>
        <w:t>1</w:t>
      </w:r>
      <w:r w:rsidR="0034171E">
        <w:rPr>
          <w:rFonts w:ascii="Arial" w:hAnsi="Arial" w:cs="David" w:hint="cs"/>
          <w:rtl/>
        </w:rPr>
        <w:t>35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A23889" w:rsidP="00036848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עיקר הגידול בעודף הנכסים על ההתחייבויות מקורו </w:t>
      </w:r>
      <w:r w:rsidR="00036848">
        <w:rPr>
          <w:rFonts w:ascii="Arial" w:hAnsi="Arial" w:cs="David" w:hint="cs"/>
          <w:rtl/>
        </w:rPr>
        <w:t xml:space="preserve">בהתפתחות הפוכה של מחירי ני"ע הסחירים העיקריים בישראל ובעולם: ברביע השלישי חלה עלייה במחירי המניות בחו"ל אשר הגדילה את שווי יתרת הנכסים של המשק בחו"ל בהיקף של כ- 4.6 מיליארדים (3.9%). מנגד חלה ירידה במחירי המניות הישראליות שמוחזקים על ידי תושבי חוץ, בעיקר ירידות בענף </w:t>
      </w:r>
      <w:proofErr w:type="spellStart"/>
      <w:r w:rsidR="00036848">
        <w:rPr>
          <w:rFonts w:ascii="Arial" w:hAnsi="Arial" w:cs="David" w:hint="cs"/>
          <w:rtl/>
        </w:rPr>
        <w:t>הפארמה</w:t>
      </w:r>
      <w:proofErr w:type="spellEnd"/>
      <w:r w:rsidR="00036848">
        <w:rPr>
          <w:rFonts w:ascii="Arial" w:hAnsi="Arial" w:cs="David" w:hint="cs"/>
          <w:rtl/>
        </w:rPr>
        <w:t>, אשר הקטינה את שווי יתרת ההתחייבויות של המשק לחו"ל בהיקף של כ- 11.2 מיליארדים (9.5%).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34171E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22DF4777" wp14:editId="6AC57473">
            <wp:extent cx="5040000" cy="3075349"/>
            <wp:effectExtent l="19050" t="19050" r="27305" b="10795"/>
            <wp:docPr id="8" name="Picture 8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753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8964DB" w:rsidRPr="00FE10AB" w:rsidRDefault="008964DB" w:rsidP="008964DB">
      <w:pPr>
        <w:pStyle w:val="1"/>
        <w:rPr>
          <w:rtl/>
        </w:rPr>
      </w:pPr>
      <w:r w:rsidRPr="00FE10AB">
        <w:rPr>
          <w:rFonts w:hint="cs"/>
          <w:rtl/>
        </w:rPr>
        <w:t xml:space="preserve">החוב החיצוני נטו </w:t>
      </w:r>
    </w:p>
    <w:p w:rsidR="001F545C" w:rsidRPr="00690E6A" w:rsidRDefault="001F545C" w:rsidP="00F30148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172330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 xml:space="preserve">ברביע </w:t>
      </w:r>
      <w:r w:rsidR="0034171E">
        <w:rPr>
          <w:rFonts w:ascii="Arial" w:hAnsi="Arial" w:cs="David" w:hint="cs"/>
          <w:rtl/>
        </w:rPr>
        <w:t>השלישי</w:t>
      </w:r>
      <w:r w:rsidR="00EA0CA3">
        <w:rPr>
          <w:rFonts w:ascii="Arial" w:hAnsi="Arial" w:cs="David" w:hint="cs"/>
          <w:rtl/>
        </w:rPr>
        <w:t xml:space="preserve"> </w:t>
      </w:r>
      <w:r w:rsidR="00172330">
        <w:rPr>
          <w:rFonts w:ascii="Arial" w:hAnsi="Arial" w:cs="David" w:hint="cs"/>
          <w:rtl/>
        </w:rPr>
        <w:t>בכ</w:t>
      </w:r>
      <w:r w:rsidR="00F9624C">
        <w:rPr>
          <w:rFonts w:ascii="Arial" w:hAnsi="Arial" w:cs="David" w:hint="cs"/>
          <w:rtl/>
        </w:rPr>
        <w:t>-</w:t>
      </w:r>
      <w:r w:rsidR="0034171E">
        <w:rPr>
          <w:rFonts w:ascii="Arial" w:hAnsi="Arial" w:cs="David" w:hint="cs"/>
          <w:rtl/>
        </w:rPr>
        <w:t>6.4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(</w:t>
      </w:r>
      <w:r w:rsidR="0034171E">
        <w:rPr>
          <w:rFonts w:ascii="Arial" w:hAnsi="Arial" w:cs="David" w:hint="cs"/>
          <w:rtl/>
        </w:rPr>
        <w:t>4.4</w:t>
      </w:r>
      <w:r w:rsidR="00172330">
        <w:rPr>
          <w:rFonts w:ascii="Arial" w:hAnsi="Arial" w:cs="David" w:hint="cs"/>
          <w:rtl/>
        </w:rPr>
        <w:t>%)</w:t>
      </w:r>
      <w:r w:rsidR="00EA0CA3">
        <w:rPr>
          <w:rFonts w:ascii="Arial" w:hAnsi="Arial" w:cs="David" w:hint="cs"/>
          <w:rtl/>
        </w:rPr>
        <w:t xml:space="preserve"> כך שעמד </w:t>
      </w:r>
      <w:r w:rsidRPr="00690E6A">
        <w:rPr>
          <w:rFonts w:ascii="Arial" w:hAnsi="Arial" w:cs="David" w:hint="cs"/>
          <w:rtl/>
        </w:rPr>
        <w:t xml:space="preserve">בסוף </w:t>
      </w:r>
      <w:r w:rsidR="00F30148">
        <w:rPr>
          <w:rFonts w:ascii="Arial" w:hAnsi="Arial" w:cs="David" w:hint="cs"/>
          <w:rtl/>
        </w:rPr>
        <w:t>ספטמבר</w:t>
      </w:r>
      <w:r w:rsidRPr="00690E6A">
        <w:rPr>
          <w:rFonts w:ascii="Arial" w:hAnsi="Arial" w:cs="David" w:hint="cs"/>
          <w:rtl/>
        </w:rPr>
        <w:t xml:space="preserve"> על כ-</w:t>
      </w:r>
      <w:r w:rsidR="00C25625">
        <w:rPr>
          <w:rFonts w:ascii="Arial" w:hAnsi="Arial" w:cs="David" w:hint="cs"/>
          <w:rtl/>
        </w:rPr>
        <w:t>1</w:t>
      </w:r>
      <w:r w:rsidR="0034171E">
        <w:rPr>
          <w:rFonts w:ascii="Arial" w:hAnsi="Arial" w:cs="David" w:hint="cs"/>
          <w:rtl/>
        </w:rPr>
        <w:t>5</w:t>
      </w:r>
      <w:r w:rsidR="00C25625">
        <w:rPr>
          <w:rFonts w:ascii="Arial" w:hAnsi="Arial" w:cs="David" w:hint="cs"/>
          <w:rtl/>
        </w:rPr>
        <w:t>0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34171E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34171E">
        <w:rPr>
          <w:rFonts w:ascii="Arial" w:hAnsi="Arial" w:cs="David" w:hint="cs"/>
          <w:rtl/>
        </w:rPr>
        <w:t>ספטמבר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34171E">
        <w:rPr>
          <w:rFonts w:ascii="Arial" w:hAnsi="Arial" w:cs="David" w:hint="cs"/>
          <w:rtl/>
        </w:rPr>
        <w:t>161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</w:t>
      </w:r>
      <w:r w:rsidR="0034171E">
        <w:rPr>
          <w:rFonts w:ascii="Arial" w:hAnsi="Arial" w:cs="David" w:hint="cs"/>
          <w:rtl/>
        </w:rPr>
        <w:t>.3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Fonts w:ascii="Arial" w:hAnsi="Arial" w:cs="David"/>
          <w:rtl/>
        </w:rPr>
      </w:pPr>
    </w:p>
    <w:p w:rsidR="00164CA6" w:rsidRDefault="0034171E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31A8C6DE">
            <wp:extent cx="5040000" cy="2823889"/>
            <wp:effectExtent l="0" t="0" r="8255" b="0"/>
            <wp:docPr id="9" name="Picture 9" descr="התרשים מתאר את התפתחות החוב החיצוני השלילי של המשק, לאורך זמן. את התרשים ניתן למצוא בקובץ האקסל המצורף להודעה זו בגיליון &quot;תרשים6&quot;." title="תרשים 6: החוב החיצוני השלי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DD34E2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1B" w:rsidRDefault="001D191B">
      <w:r>
        <w:separator/>
      </w:r>
    </w:p>
  </w:endnote>
  <w:endnote w:type="continuationSeparator" w:id="0">
    <w:p w:rsidR="001D191B" w:rsidRDefault="001D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8610A8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8610A8">
      <w:rPr>
        <w:rFonts w:cs="David" w:hint="cs"/>
        <w:rtl/>
      </w:rPr>
      <w:t>השלישי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201</w:t>
    </w:r>
    <w:r w:rsidR="00EF7E32">
      <w:rPr>
        <w:rFonts w:cs="David" w:hint="cs"/>
        <w:rtl/>
      </w:rPr>
      <w:t>7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DD34E2">
      <w:rPr>
        <w:rFonts w:cs="David"/>
        <w:b/>
        <w:bCs/>
        <w:noProof/>
        <w:rtl/>
      </w:rPr>
      <w:t>1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DD34E2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1B" w:rsidRDefault="001D191B">
      <w:r>
        <w:separator/>
      </w:r>
    </w:p>
  </w:footnote>
  <w:footnote w:type="continuationSeparator" w:id="0">
    <w:p w:rsidR="001D191B" w:rsidRDefault="001D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7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CCF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F0C06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416E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EBF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71E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7A05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6DFD"/>
    <w:rsid w:val="00537605"/>
    <w:rsid w:val="0053772E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4D5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3371"/>
    <w:rsid w:val="00683FF7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ABF"/>
    <w:rsid w:val="006E70F9"/>
    <w:rsid w:val="006E7885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334E"/>
    <w:rsid w:val="00873827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E38"/>
    <w:rsid w:val="00A30B5D"/>
    <w:rsid w:val="00A30C05"/>
    <w:rsid w:val="00A313A0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F61"/>
    <w:rsid w:val="00A4221A"/>
    <w:rsid w:val="00A426EC"/>
    <w:rsid w:val="00A4283A"/>
    <w:rsid w:val="00A43387"/>
    <w:rsid w:val="00A43A32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6657"/>
    <w:rsid w:val="00BB7169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920"/>
    <w:rsid w:val="00C534F9"/>
    <w:rsid w:val="00C53A37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0E5B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34E2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DFF"/>
    <w:rsid w:val="00E9004D"/>
    <w:rsid w:val="00E90E27"/>
    <w:rsid w:val="00E90F15"/>
    <w:rsid w:val="00E90F70"/>
    <w:rsid w:val="00E91B53"/>
    <w:rsid w:val="00E91CAF"/>
    <w:rsid w:val="00E91D66"/>
    <w:rsid w:val="00E93F6D"/>
    <w:rsid w:val="00E946BC"/>
    <w:rsid w:val="00E9538C"/>
    <w:rsid w:val="00E95830"/>
    <w:rsid w:val="00E95A20"/>
    <w:rsid w:val="00E95D04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E00B8"/>
    <w:rsid w:val="00EE0540"/>
    <w:rsid w:val="00EE0ADE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481C"/>
    <w:rsid w:val="00F24DD9"/>
    <w:rsid w:val="00F2578E"/>
    <w:rsid w:val="00F26339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2B7D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A02D7D-2C8F-4F49-A162-1BB53B973B60}"/>
</file>

<file path=customXml/itemProps2.xml><?xml version="1.0" encoding="utf-8"?>
<ds:datastoreItem xmlns:ds="http://schemas.openxmlformats.org/officeDocument/2006/customXml" ds:itemID="{3239EF40-6043-4FA7-BDFA-E2991FF4DB5F}"/>
</file>

<file path=customXml/itemProps3.xml><?xml version="1.0" encoding="utf-8"?>
<ds:datastoreItem xmlns:ds="http://schemas.openxmlformats.org/officeDocument/2006/customXml" ds:itemID="{E6355374-E2B4-4116-943F-4A2255E074F7}"/>
</file>

<file path=customXml/itemProps4.xml><?xml version="1.0" encoding="utf-8"?>
<ds:datastoreItem xmlns:ds="http://schemas.openxmlformats.org/officeDocument/2006/customXml" ds:itemID="{1B22DFE3-9889-47EC-9997-23E5DBD79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5494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2017-12-18T09:34:00Z</dcterms:created>
  <dcterms:modified xsi:type="dcterms:W3CDTF">2017-12-18T09:57:00Z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