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21"/>
        <w:bidiVisual/>
        <w:tblW w:w="10991" w:type="dxa"/>
        <w:tblLayout w:type="fixed"/>
        <w:tblLook w:val="0000" w:firstRow="0" w:lastRow="0" w:firstColumn="0" w:lastColumn="0" w:noHBand="0" w:noVBand="0"/>
        <w:tblCaption w:val="כותרת"/>
        <w:tblDescription w:val="כותרת"/>
      </w:tblPr>
      <w:tblGrid>
        <w:gridCol w:w="3404"/>
        <w:gridCol w:w="4182"/>
        <w:gridCol w:w="3405"/>
      </w:tblGrid>
      <w:tr w:rsidR="004D70A9" w:rsidRPr="004D70A9" w14:paraId="3294B2F8" w14:textId="77777777" w:rsidTr="002B2268">
        <w:trPr>
          <w:trHeight w:val="1495"/>
        </w:trPr>
        <w:tc>
          <w:tcPr>
            <w:tcW w:w="3404" w:type="dxa"/>
            <w:tcBorders>
              <w:top w:val="nil"/>
              <w:left w:val="nil"/>
              <w:bottom w:val="nil"/>
              <w:right w:val="nil"/>
            </w:tcBorders>
            <w:vAlign w:val="center"/>
          </w:tcPr>
          <w:p w14:paraId="3D1AAF2B" w14:textId="77777777" w:rsidR="004D70A9" w:rsidRPr="004D70A9" w:rsidRDefault="004D70A9" w:rsidP="002B2268">
            <w:pPr>
              <w:bidi/>
              <w:spacing w:line="360" w:lineRule="auto"/>
              <w:rPr>
                <w:rFonts w:cs="David"/>
                <w:b/>
                <w:bCs/>
                <w:sz w:val="28"/>
                <w:szCs w:val="28"/>
                <w:rtl/>
              </w:rPr>
            </w:pPr>
            <w:r w:rsidRPr="004D70A9">
              <w:rPr>
                <w:rFonts w:cs="David"/>
                <w:b/>
                <w:bCs/>
                <w:sz w:val="28"/>
                <w:szCs w:val="28"/>
                <w:rtl/>
              </w:rPr>
              <w:t>בנ</w:t>
            </w:r>
            <w:r w:rsidRPr="004D70A9">
              <w:rPr>
                <w:rFonts w:cs="David" w:hint="cs"/>
                <w:b/>
                <w:bCs/>
                <w:sz w:val="28"/>
                <w:szCs w:val="28"/>
                <w:rtl/>
              </w:rPr>
              <w:t xml:space="preserve">ק </w:t>
            </w:r>
            <w:r w:rsidRPr="004D70A9">
              <w:rPr>
                <w:rFonts w:cs="David"/>
                <w:b/>
                <w:bCs/>
                <w:sz w:val="28"/>
                <w:szCs w:val="28"/>
                <w:rtl/>
              </w:rPr>
              <w:t>יש</w:t>
            </w:r>
            <w:r w:rsidRPr="004D70A9">
              <w:rPr>
                <w:rFonts w:cs="David" w:hint="cs"/>
                <w:b/>
                <w:bCs/>
                <w:sz w:val="28"/>
                <w:szCs w:val="28"/>
                <w:rtl/>
              </w:rPr>
              <w:t>ראל</w:t>
            </w:r>
          </w:p>
          <w:p w14:paraId="43BEE5F4" w14:textId="77777777" w:rsidR="004D70A9" w:rsidRPr="004D70A9" w:rsidRDefault="004D70A9" w:rsidP="002B2268">
            <w:pPr>
              <w:bidi/>
              <w:spacing w:line="360" w:lineRule="auto"/>
              <w:ind w:right="-101"/>
              <w:rPr>
                <w:sz w:val="24"/>
                <w:szCs w:val="24"/>
              </w:rPr>
            </w:pPr>
            <w:r w:rsidRPr="004D70A9">
              <w:rPr>
                <w:rFonts w:cs="David"/>
                <w:sz w:val="24"/>
                <w:szCs w:val="24"/>
                <w:rtl/>
              </w:rPr>
              <w:t>דו</w:t>
            </w:r>
            <w:r w:rsidRPr="004D70A9">
              <w:rPr>
                <w:rFonts w:cs="David" w:hint="cs"/>
                <w:sz w:val="24"/>
                <w:szCs w:val="24"/>
                <w:rtl/>
              </w:rPr>
              <w:t>בר</w:t>
            </w:r>
            <w:r w:rsidRPr="004D70A9">
              <w:rPr>
                <w:rFonts w:cs="David"/>
                <w:sz w:val="24"/>
                <w:szCs w:val="24"/>
                <w:rtl/>
              </w:rPr>
              <w:t>ות</w:t>
            </w:r>
            <w:r w:rsidRPr="004D70A9">
              <w:rPr>
                <w:rFonts w:cs="David" w:hint="cs"/>
                <w:sz w:val="24"/>
                <w:szCs w:val="24"/>
                <w:rtl/>
              </w:rPr>
              <w:t xml:space="preserve"> והסברה כלכלית</w:t>
            </w:r>
          </w:p>
        </w:tc>
        <w:tc>
          <w:tcPr>
            <w:tcW w:w="4182" w:type="dxa"/>
            <w:tcBorders>
              <w:top w:val="nil"/>
              <w:left w:val="nil"/>
              <w:bottom w:val="nil"/>
              <w:right w:val="nil"/>
            </w:tcBorders>
          </w:tcPr>
          <w:p w14:paraId="0D88999C" w14:textId="77777777" w:rsidR="004D70A9" w:rsidRPr="004D70A9" w:rsidRDefault="004D70A9" w:rsidP="002B2268">
            <w:pPr>
              <w:bidi/>
              <w:jc w:val="center"/>
              <w:rPr>
                <w:rtl/>
              </w:rPr>
            </w:pPr>
            <w:r w:rsidRPr="004D70A9">
              <w:rPr>
                <w:noProof/>
                <w:rtl/>
              </w:rPr>
              <w:drawing>
                <wp:inline distT="0" distB="0" distL="0" distR="0" wp14:anchorId="2BAABA83" wp14:editId="500CDD6B">
                  <wp:extent cx="914400" cy="914400"/>
                  <wp:effectExtent l="0" t="0" r="0" b="0"/>
                  <wp:docPr id="1" name="תמונה 1" title="לוגו בנק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862\AppData\Local\Microsoft\Windows\Temporary Internet Files\Content.Outlook\M6E9SVHT\Logo Bank of Israel 2 color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3405" w:type="dxa"/>
            <w:tcBorders>
              <w:top w:val="nil"/>
              <w:left w:val="nil"/>
              <w:bottom w:val="nil"/>
              <w:right w:val="nil"/>
            </w:tcBorders>
            <w:vAlign w:val="center"/>
          </w:tcPr>
          <w:p w14:paraId="4C79B297" w14:textId="131F9178" w:rsidR="004D70A9" w:rsidRPr="004D70A9" w:rsidRDefault="004D70A9" w:rsidP="004D70A9">
            <w:pPr>
              <w:bidi/>
              <w:spacing w:line="480" w:lineRule="auto"/>
              <w:jc w:val="right"/>
              <w:rPr>
                <w:rFonts w:cs="David"/>
                <w:sz w:val="24"/>
                <w:szCs w:val="24"/>
              </w:rPr>
            </w:pPr>
            <w:r w:rsidRPr="004D70A9">
              <w:rPr>
                <w:rFonts w:cs="David" w:hint="eastAsia"/>
                <w:sz w:val="24"/>
                <w:szCs w:val="24"/>
                <w:rtl/>
              </w:rPr>
              <w:t>‏</w:t>
            </w:r>
            <w:r w:rsidRPr="004D70A9">
              <w:rPr>
                <w:rFonts w:cs="David" w:hint="cs"/>
                <w:sz w:val="24"/>
                <w:szCs w:val="24"/>
                <w:rtl/>
              </w:rPr>
              <w:t xml:space="preserve">ירושלים, </w:t>
            </w:r>
            <w:r w:rsidRPr="004D70A9">
              <w:rPr>
                <w:rFonts w:cs="David"/>
                <w:sz w:val="24"/>
                <w:szCs w:val="24"/>
              </w:rPr>
              <w:fldChar w:fldCharType="begin"/>
            </w:r>
            <w:r w:rsidRPr="004D70A9">
              <w:rPr>
                <w:rFonts w:cs="David"/>
                <w:sz w:val="24"/>
                <w:szCs w:val="24"/>
                <w:rtl/>
              </w:rPr>
              <w:instrText xml:space="preserve"> </w:instrText>
            </w:r>
            <w:r w:rsidRPr="004D70A9">
              <w:rPr>
                <w:rFonts w:cs="David" w:hint="cs"/>
                <w:sz w:val="24"/>
                <w:szCs w:val="24"/>
              </w:rPr>
              <w:instrText>DATE</w:instrText>
            </w:r>
            <w:r w:rsidRPr="004D70A9">
              <w:rPr>
                <w:rFonts w:cs="David" w:hint="cs"/>
                <w:sz w:val="24"/>
                <w:szCs w:val="24"/>
                <w:rtl/>
              </w:rPr>
              <w:instrText xml:space="preserve"> \@ "</w:instrText>
            </w:r>
            <w:r w:rsidRPr="004D70A9">
              <w:rPr>
                <w:rFonts w:cs="David" w:hint="cs"/>
                <w:sz w:val="24"/>
                <w:szCs w:val="24"/>
              </w:rPr>
              <w:instrText>dd MMMM yyyy" \h</w:instrText>
            </w:r>
            <w:r w:rsidRPr="004D70A9">
              <w:rPr>
                <w:rFonts w:cs="David"/>
                <w:sz w:val="24"/>
                <w:szCs w:val="24"/>
                <w:rtl/>
              </w:rPr>
              <w:instrText xml:space="preserve"> </w:instrText>
            </w:r>
            <w:r w:rsidRPr="004D70A9">
              <w:rPr>
                <w:rFonts w:cs="David"/>
                <w:sz w:val="24"/>
                <w:szCs w:val="24"/>
              </w:rPr>
              <w:fldChar w:fldCharType="separate"/>
            </w:r>
            <w:r w:rsidRPr="004D70A9">
              <w:rPr>
                <w:rFonts w:cs="David" w:hint="cs"/>
                <w:noProof/>
                <w:sz w:val="24"/>
                <w:szCs w:val="24"/>
                <w:rtl/>
              </w:rPr>
              <w:t>א</w:t>
            </w:r>
            <w:r w:rsidRPr="004D70A9">
              <w:rPr>
                <w:rFonts w:cs="David"/>
                <w:noProof/>
                <w:sz w:val="24"/>
                <w:szCs w:val="24"/>
                <w:rtl/>
              </w:rPr>
              <w:t xml:space="preserve">' </w:t>
            </w:r>
            <w:r w:rsidRPr="004D70A9">
              <w:rPr>
                <w:rFonts w:cs="David" w:hint="cs"/>
                <w:noProof/>
                <w:sz w:val="24"/>
                <w:szCs w:val="24"/>
                <w:rtl/>
              </w:rPr>
              <w:t>באדר</w:t>
            </w:r>
            <w:r w:rsidRPr="004D70A9">
              <w:rPr>
                <w:rFonts w:cs="David"/>
                <w:noProof/>
                <w:sz w:val="24"/>
                <w:szCs w:val="24"/>
                <w:rtl/>
              </w:rPr>
              <w:t xml:space="preserve"> תשפ"ג</w:t>
            </w:r>
            <w:r w:rsidRPr="004D70A9">
              <w:rPr>
                <w:rFonts w:cs="David"/>
                <w:sz w:val="24"/>
                <w:szCs w:val="24"/>
              </w:rPr>
              <w:fldChar w:fldCharType="end"/>
            </w:r>
          </w:p>
          <w:p w14:paraId="73C5182E" w14:textId="6A052946" w:rsidR="004D70A9" w:rsidRPr="004D70A9" w:rsidRDefault="004D70A9" w:rsidP="004D70A9">
            <w:pPr>
              <w:bidi/>
              <w:spacing w:line="480" w:lineRule="auto"/>
              <w:jc w:val="right"/>
              <w:rPr>
                <w:rFonts w:cs="David"/>
                <w:sz w:val="24"/>
                <w:szCs w:val="24"/>
                <w:rtl/>
              </w:rPr>
            </w:pPr>
            <w:r w:rsidRPr="004D70A9">
              <w:rPr>
                <w:rFonts w:cs="David" w:hint="eastAsia"/>
                <w:sz w:val="24"/>
                <w:szCs w:val="24"/>
                <w:rtl/>
              </w:rPr>
              <w:t>‏‏</w:t>
            </w:r>
            <w:r w:rsidRPr="004D70A9">
              <w:rPr>
                <w:rFonts w:cs="David"/>
                <w:sz w:val="24"/>
                <w:szCs w:val="24"/>
              </w:rPr>
              <w:fldChar w:fldCharType="begin"/>
            </w:r>
            <w:r w:rsidRPr="004D70A9">
              <w:rPr>
                <w:rFonts w:cs="David"/>
                <w:sz w:val="24"/>
                <w:szCs w:val="24"/>
                <w:rtl/>
              </w:rPr>
              <w:instrText xml:space="preserve"> </w:instrText>
            </w:r>
            <w:r w:rsidRPr="004D70A9">
              <w:rPr>
                <w:rFonts w:cs="David" w:hint="cs"/>
                <w:sz w:val="24"/>
                <w:szCs w:val="24"/>
              </w:rPr>
              <w:instrText>DATE</w:instrText>
            </w:r>
            <w:r w:rsidRPr="004D70A9">
              <w:rPr>
                <w:rFonts w:cs="David" w:hint="cs"/>
                <w:sz w:val="24"/>
                <w:szCs w:val="24"/>
                <w:rtl/>
              </w:rPr>
              <w:instrText xml:space="preserve"> \@ "</w:instrText>
            </w:r>
            <w:r w:rsidRPr="004D70A9">
              <w:rPr>
                <w:rFonts w:cs="David" w:hint="cs"/>
                <w:sz w:val="24"/>
                <w:szCs w:val="24"/>
              </w:rPr>
              <w:instrText>dd MMMM yyyy</w:instrText>
            </w:r>
            <w:r w:rsidRPr="004D70A9">
              <w:rPr>
                <w:rFonts w:cs="David" w:hint="cs"/>
                <w:sz w:val="24"/>
                <w:szCs w:val="24"/>
                <w:rtl/>
              </w:rPr>
              <w:instrText>"</w:instrText>
            </w:r>
            <w:r w:rsidRPr="004D70A9">
              <w:rPr>
                <w:rFonts w:cs="David"/>
                <w:sz w:val="24"/>
                <w:szCs w:val="24"/>
                <w:rtl/>
              </w:rPr>
              <w:instrText xml:space="preserve"> </w:instrText>
            </w:r>
            <w:r w:rsidRPr="004D70A9">
              <w:rPr>
                <w:rFonts w:cs="David"/>
                <w:sz w:val="24"/>
                <w:szCs w:val="24"/>
              </w:rPr>
              <w:fldChar w:fldCharType="separate"/>
            </w:r>
            <w:r w:rsidRPr="004D70A9">
              <w:rPr>
                <w:rFonts w:cs="David"/>
                <w:noProof/>
                <w:sz w:val="24"/>
                <w:szCs w:val="24"/>
                <w:rtl/>
              </w:rPr>
              <w:t>‏</w:t>
            </w:r>
            <w:r w:rsidRPr="004D70A9">
              <w:rPr>
                <w:rFonts w:cs="David" w:hint="cs"/>
                <w:noProof/>
                <w:sz w:val="24"/>
                <w:szCs w:val="24"/>
                <w:rtl/>
              </w:rPr>
              <w:t>22</w:t>
            </w:r>
            <w:r w:rsidRPr="004D70A9">
              <w:rPr>
                <w:rFonts w:cs="David"/>
                <w:noProof/>
                <w:sz w:val="24"/>
                <w:szCs w:val="24"/>
                <w:rtl/>
              </w:rPr>
              <w:t xml:space="preserve"> פברואר 2023</w:t>
            </w:r>
            <w:r w:rsidRPr="004D70A9">
              <w:rPr>
                <w:rFonts w:cs="David"/>
                <w:sz w:val="24"/>
                <w:szCs w:val="24"/>
              </w:rPr>
              <w:fldChar w:fldCharType="end"/>
            </w:r>
          </w:p>
          <w:p w14:paraId="6B3D87EE" w14:textId="77777777" w:rsidR="004D70A9" w:rsidRPr="004D70A9" w:rsidRDefault="004D70A9" w:rsidP="002B2268">
            <w:pPr>
              <w:bidi/>
              <w:spacing w:line="480" w:lineRule="auto"/>
              <w:jc w:val="right"/>
              <w:rPr>
                <w:rFonts w:cs="David"/>
                <w:sz w:val="24"/>
                <w:szCs w:val="24"/>
              </w:rPr>
            </w:pPr>
          </w:p>
        </w:tc>
      </w:tr>
    </w:tbl>
    <w:p w14:paraId="30A7AD29" w14:textId="0C603240" w:rsidR="004D70A9" w:rsidRDefault="004D70A9" w:rsidP="004D70A9">
      <w:pPr>
        <w:bidi/>
        <w:spacing w:line="360" w:lineRule="auto"/>
        <w:ind w:right="-101"/>
        <w:rPr>
          <w:rFonts w:cs="David" w:hint="cs"/>
          <w:sz w:val="24"/>
          <w:szCs w:val="24"/>
          <w:rtl/>
        </w:rPr>
      </w:pPr>
      <w:r w:rsidRPr="004D70A9">
        <w:rPr>
          <w:rFonts w:cs="David" w:hint="cs"/>
          <w:sz w:val="24"/>
          <w:szCs w:val="24"/>
          <w:rtl/>
        </w:rPr>
        <w:t>הודעה לעיתונות:</w:t>
      </w:r>
      <w:r>
        <w:rPr>
          <w:rFonts w:cs="David" w:hint="cs"/>
          <w:sz w:val="24"/>
          <w:szCs w:val="24"/>
          <w:rtl/>
        </w:rPr>
        <w:t xml:space="preserve"> </w:t>
      </w:r>
    </w:p>
    <w:p w14:paraId="6174800A" w14:textId="096D5F49" w:rsidR="004D70A9" w:rsidRPr="004D70A9" w:rsidRDefault="004D70A9" w:rsidP="004D70A9">
      <w:pPr>
        <w:bidi/>
        <w:spacing w:line="360" w:lineRule="auto"/>
        <w:ind w:right="-101"/>
        <w:jc w:val="center"/>
        <w:rPr>
          <w:rFonts w:cs="David"/>
          <w:sz w:val="24"/>
          <w:szCs w:val="24"/>
          <w:rtl/>
        </w:rPr>
      </w:pPr>
      <w:r>
        <w:rPr>
          <w:rFonts w:cs="David" w:hint="cs"/>
          <w:sz w:val="24"/>
          <w:szCs w:val="24"/>
          <w:rtl/>
        </w:rPr>
        <w:t>מחקר חדש:</w:t>
      </w:r>
    </w:p>
    <w:p w14:paraId="03EE5FAF" w14:textId="77777777" w:rsidR="00F06F64" w:rsidRPr="004D70A9" w:rsidRDefault="00313D90" w:rsidP="00301A87">
      <w:pPr>
        <w:pStyle w:val="1"/>
        <w:rPr>
          <w:sz w:val="28"/>
          <w:szCs w:val="28"/>
          <w:u w:val="none"/>
          <w:rtl/>
        </w:rPr>
      </w:pPr>
      <w:bookmarkStart w:id="0" w:name="_GoBack"/>
      <w:r w:rsidRPr="004D70A9">
        <w:rPr>
          <w:rFonts w:hint="cs"/>
          <w:sz w:val="28"/>
          <w:szCs w:val="28"/>
          <w:u w:val="none"/>
          <w:rtl/>
        </w:rPr>
        <w:t>ח</w:t>
      </w:r>
      <w:r w:rsidR="00F06F64" w:rsidRPr="004D70A9">
        <w:rPr>
          <w:sz w:val="28"/>
          <w:szCs w:val="28"/>
          <w:u w:val="none"/>
          <w:rtl/>
        </w:rPr>
        <w:t xml:space="preserve">סמים גיאוגרפיים להשכלה בקרב אוכלוסיות מוחלשות: </w:t>
      </w:r>
    </w:p>
    <w:p w14:paraId="6AD97944" w14:textId="77777777" w:rsidR="00C85DB2" w:rsidRPr="004D70A9" w:rsidRDefault="006D71C7" w:rsidP="00301A87">
      <w:pPr>
        <w:pStyle w:val="1"/>
        <w:spacing w:before="0" w:beforeAutospacing="0"/>
        <w:rPr>
          <w:sz w:val="28"/>
          <w:szCs w:val="28"/>
          <w:u w:val="none"/>
        </w:rPr>
      </w:pPr>
      <w:r w:rsidRPr="004D70A9">
        <w:rPr>
          <w:rFonts w:hint="cs"/>
          <w:sz w:val="28"/>
          <w:szCs w:val="28"/>
          <w:u w:val="none"/>
          <w:rtl/>
        </w:rPr>
        <w:t>השפעת פתיחת</w:t>
      </w:r>
      <w:r w:rsidR="00F06F64" w:rsidRPr="004D70A9">
        <w:rPr>
          <w:sz w:val="28"/>
          <w:szCs w:val="28"/>
          <w:u w:val="none"/>
          <w:rtl/>
        </w:rPr>
        <w:t xml:space="preserve"> בתי ספר תיכונים ביישובים ערבים בישראל</w:t>
      </w:r>
    </w:p>
    <w:bookmarkEnd w:id="0"/>
    <w:p w14:paraId="340E047D" w14:textId="6AC73FB0" w:rsidR="0061332B" w:rsidRPr="004D70A9" w:rsidRDefault="00F06F64" w:rsidP="007321E5">
      <w:pPr>
        <w:numPr>
          <w:ilvl w:val="0"/>
          <w:numId w:val="1"/>
        </w:numPr>
        <w:bidi/>
        <w:spacing w:before="100" w:beforeAutospacing="1" w:after="100" w:afterAutospacing="1" w:line="360" w:lineRule="auto"/>
        <w:jc w:val="both"/>
        <w:rPr>
          <w:rFonts w:ascii="Arial" w:eastAsia="Times New Roman" w:hAnsi="Arial" w:cs="Arial"/>
          <w:sz w:val="30"/>
          <w:szCs w:val="30"/>
        </w:rPr>
      </w:pPr>
      <w:r w:rsidRPr="004D70A9">
        <w:rPr>
          <w:rFonts w:ascii="David" w:eastAsia="Times New Roman" w:hAnsi="David" w:cs="David" w:hint="cs"/>
          <w:b/>
          <w:bCs/>
          <w:sz w:val="24"/>
          <w:szCs w:val="24"/>
          <w:rtl/>
        </w:rPr>
        <w:t xml:space="preserve">בעשורים האחרונים </w:t>
      </w:r>
      <w:r w:rsidR="007822F7" w:rsidRPr="004D70A9">
        <w:rPr>
          <w:rFonts w:ascii="David" w:eastAsia="Times New Roman" w:hAnsi="David" w:cs="David" w:hint="cs"/>
          <w:b/>
          <w:bCs/>
          <w:sz w:val="24"/>
          <w:szCs w:val="24"/>
          <w:rtl/>
        </w:rPr>
        <w:t xml:space="preserve">התרחבה משמעותית הפריסה הגיאוגרפית של בתי הספר התיכוניים </w:t>
      </w:r>
      <w:r w:rsidR="00DB066C" w:rsidRPr="004D70A9">
        <w:rPr>
          <w:rFonts w:ascii="David" w:eastAsia="Times New Roman" w:hAnsi="David" w:cs="David" w:hint="cs"/>
          <w:b/>
          <w:bCs/>
          <w:sz w:val="24"/>
          <w:szCs w:val="24"/>
          <w:rtl/>
        </w:rPr>
        <w:t xml:space="preserve">בישובים </w:t>
      </w:r>
      <w:r w:rsidR="007822F7" w:rsidRPr="004D70A9">
        <w:rPr>
          <w:rFonts w:ascii="David" w:eastAsia="Times New Roman" w:hAnsi="David" w:cs="David" w:hint="cs"/>
          <w:b/>
          <w:bCs/>
          <w:sz w:val="24"/>
          <w:szCs w:val="24"/>
          <w:rtl/>
        </w:rPr>
        <w:t xml:space="preserve">הערבים, ובמקביל </w:t>
      </w:r>
      <w:r w:rsidRPr="004D70A9">
        <w:rPr>
          <w:rFonts w:ascii="David" w:eastAsia="Times New Roman" w:hAnsi="David" w:cs="David" w:hint="cs"/>
          <w:b/>
          <w:bCs/>
          <w:sz w:val="24"/>
          <w:szCs w:val="24"/>
          <w:rtl/>
        </w:rPr>
        <w:t>חל גידול ניכר בהשכלה התיכונית בחברה הערבית.</w:t>
      </w:r>
    </w:p>
    <w:p w14:paraId="18CF00B6" w14:textId="77777777" w:rsidR="00F06F64" w:rsidRPr="004D70A9" w:rsidRDefault="00F06F64" w:rsidP="007321E5">
      <w:pPr>
        <w:numPr>
          <w:ilvl w:val="0"/>
          <w:numId w:val="1"/>
        </w:numPr>
        <w:bidi/>
        <w:spacing w:before="100" w:beforeAutospacing="1" w:after="100" w:afterAutospacing="1" w:line="360" w:lineRule="auto"/>
        <w:jc w:val="both"/>
        <w:rPr>
          <w:rFonts w:ascii="Arial" w:eastAsia="Times New Roman" w:hAnsi="Arial" w:cs="Arial"/>
          <w:sz w:val="30"/>
          <w:szCs w:val="30"/>
        </w:rPr>
      </w:pPr>
      <w:r w:rsidRPr="004D70A9">
        <w:rPr>
          <w:rFonts w:ascii="David" w:eastAsia="Times New Roman" w:hAnsi="David" w:cs="David" w:hint="cs"/>
          <w:b/>
          <w:bCs/>
          <w:sz w:val="24"/>
          <w:szCs w:val="24"/>
          <w:rtl/>
        </w:rPr>
        <w:t xml:space="preserve">במחקר שבחן את השפעת הזמינות של בית ספר תיכון מקומי ביישוב ערבי </w:t>
      </w:r>
      <w:r w:rsidR="008B382D" w:rsidRPr="004D70A9">
        <w:rPr>
          <w:rFonts w:ascii="David" w:eastAsia="Times New Roman" w:hAnsi="David" w:cs="David" w:hint="cs"/>
          <w:b/>
          <w:bCs/>
          <w:sz w:val="24"/>
          <w:szCs w:val="24"/>
          <w:rtl/>
        </w:rPr>
        <w:t xml:space="preserve">על משתני תוצאה שונים </w:t>
      </w:r>
      <w:r w:rsidRPr="004D70A9">
        <w:rPr>
          <w:rFonts w:ascii="David" w:eastAsia="Times New Roman" w:hAnsi="David" w:cs="David" w:hint="cs"/>
          <w:b/>
          <w:bCs/>
          <w:sz w:val="24"/>
          <w:szCs w:val="24"/>
          <w:rtl/>
        </w:rPr>
        <w:t xml:space="preserve">נמצא </w:t>
      </w:r>
      <w:r w:rsidR="00494F98" w:rsidRPr="004D70A9">
        <w:rPr>
          <w:rFonts w:ascii="David" w:eastAsia="Times New Roman" w:hAnsi="David" w:cs="David" w:hint="cs"/>
          <w:b/>
          <w:bCs/>
          <w:sz w:val="24"/>
          <w:szCs w:val="24"/>
          <w:rtl/>
        </w:rPr>
        <w:t xml:space="preserve">שפתיחת בית ספר תיכון ביישוב הגדילה את הסיכוי של בני נוער המתגוררים בו לסיים 12 שנות לימוד ב- </w:t>
      </w:r>
      <w:r w:rsidR="008B382D" w:rsidRPr="004D70A9">
        <w:rPr>
          <w:rFonts w:ascii="David" w:eastAsia="Times New Roman" w:hAnsi="David" w:cs="David" w:hint="cs"/>
          <w:b/>
          <w:bCs/>
          <w:sz w:val="24"/>
          <w:szCs w:val="24"/>
          <w:rtl/>
        </w:rPr>
        <w:t xml:space="preserve">7-5 </w:t>
      </w:r>
      <w:r w:rsidRPr="004D70A9">
        <w:rPr>
          <w:rFonts w:ascii="David" w:eastAsia="Times New Roman" w:hAnsi="David" w:cs="David" w:hint="cs"/>
          <w:b/>
          <w:bCs/>
          <w:sz w:val="24"/>
          <w:szCs w:val="24"/>
          <w:rtl/>
        </w:rPr>
        <w:t xml:space="preserve">נקודות אחוז. </w:t>
      </w:r>
    </w:p>
    <w:p w14:paraId="585AFCAA" w14:textId="5D9D25A1" w:rsidR="00F06F64" w:rsidRPr="004D70A9" w:rsidRDefault="00494F98" w:rsidP="007321E5">
      <w:pPr>
        <w:numPr>
          <w:ilvl w:val="0"/>
          <w:numId w:val="1"/>
        </w:numPr>
        <w:bidi/>
        <w:spacing w:before="100" w:beforeAutospacing="1" w:after="100" w:afterAutospacing="1" w:line="360" w:lineRule="auto"/>
        <w:jc w:val="both"/>
        <w:rPr>
          <w:rFonts w:ascii="Arial" w:eastAsia="Times New Roman" w:hAnsi="Arial" w:cs="Arial"/>
          <w:sz w:val="30"/>
          <w:szCs w:val="30"/>
        </w:rPr>
      </w:pPr>
      <w:r w:rsidRPr="004D70A9">
        <w:rPr>
          <w:rFonts w:ascii="David" w:eastAsia="Times New Roman" w:hAnsi="David" w:cs="David" w:hint="cs"/>
          <w:b/>
          <w:bCs/>
          <w:sz w:val="24"/>
          <w:szCs w:val="24"/>
          <w:rtl/>
        </w:rPr>
        <w:t xml:space="preserve">לפתיחת תיכון ביישוב </w:t>
      </w:r>
      <w:r w:rsidR="00F06F64" w:rsidRPr="004D70A9">
        <w:rPr>
          <w:rFonts w:ascii="David" w:eastAsia="Times New Roman" w:hAnsi="David" w:cs="David" w:hint="cs"/>
          <w:b/>
          <w:bCs/>
          <w:sz w:val="24"/>
          <w:szCs w:val="24"/>
          <w:rtl/>
        </w:rPr>
        <w:t xml:space="preserve">נמצאה השפעה חיובית גם </w:t>
      </w:r>
      <w:r w:rsidR="006D71C7" w:rsidRPr="004D70A9">
        <w:rPr>
          <w:rFonts w:ascii="David" w:eastAsia="Times New Roman" w:hAnsi="David" w:cs="David" w:hint="cs"/>
          <w:b/>
          <w:bCs/>
          <w:sz w:val="24"/>
          <w:szCs w:val="24"/>
          <w:rtl/>
        </w:rPr>
        <w:t>בממדים</w:t>
      </w:r>
      <w:r w:rsidR="00F06F64" w:rsidRPr="004D70A9">
        <w:rPr>
          <w:rFonts w:ascii="David" w:eastAsia="Times New Roman" w:hAnsi="David" w:cs="David" w:hint="cs"/>
          <w:b/>
          <w:bCs/>
          <w:sz w:val="24"/>
          <w:szCs w:val="24"/>
          <w:rtl/>
        </w:rPr>
        <w:t xml:space="preserve"> נוספים</w:t>
      </w:r>
      <w:r w:rsidR="00DB066C" w:rsidRPr="004D70A9">
        <w:rPr>
          <w:rFonts w:ascii="David" w:eastAsia="Times New Roman" w:hAnsi="David" w:cs="David" w:hint="cs"/>
          <w:b/>
          <w:bCs/>
          <w:sz w:val="24"/>
          <w:szCs w:val="24"/>
          <w:rtl/>
        </w:rPr>
        <w:t xml:space="preserve"> בקרב החברה הערבית</w:t>
      </w:r>
      <w:r w:rsidR="006D71C7" w:rsidRPr="004D70A9">
        <w:rPr>
          <w:rFonts w:ascii="David" w:eastAsia="Times New Roman" w:hAnsi="David" w:cs="David" w:hint="cs"/>
          <w:b/>
          <w:bCs/>
          <w:sz w:val="24"/>
          <w:szCs w:val="24"/>
          <w:rtl/>
        </w:rPr>
        <w:t xml:space="preserve">: </w:t>
      </w:r>
      <w:r w:rsidR="00F06F64" w:rsidRPr="004D70A9">
        <w:rPr>
          <w:rFonts w:ascii="David" w:eastAsia="Times New Roman" w:hAnsi="David" w:cs="David" w:hint="cs"/>
          <w:b/>
          <w:bCs/>
          <w:sz w:val="24"/>
          <w:szCs w:val="24"/>
          <w:rtl/>
        </w:rPr>
        <w:t xml:space="preserve">זכאות לבגרות, השכלה על-תיכונית, הכנסה ותעסוקת נשים, </w:t>
      </w:r>
      <w:r w:rsidR="007822F7" w:rsidRPr="004D70A9">
        <w:rPr>
          <w:rFonts w:ascii="David" w:eastAsia="Times New Roman" w:hAnsi="David" w:cs="David" w:hint="cs"/>
          <w:b/>
          <w:bCs/>
          <w:sz w:val="24"/>
          <w:szCs w:val="24"/>
          <w:rtl/>
        </w:rPr>
        <w:t>והקטנת</w:t>
      </w:r>
      <w:r w:rsidR="00F06F64" w:rsidRPr="004D70A9">
        <w:rPr>
          <w:rFonts w:ascii="David" w:eastAsia="Times New Roman" w:hAnsi="David" w:cs="David" w:hint="cs"/>
          <w:b/>
          <w:bCs/>
          <w:sz w:val="24"/>
          <w:szCs w:val="24"/>
          <w:rtl/>
        </w:rPr>
        <w:t xml:space="preserve"> </w:t>
      </w:r>
      <w:r w:rsidR="007822F7" w:rsidRPr="004D70A9">
        <w:rPr>
          <w:rFonts w:ascii="David" w:eastAsia="Times New Roman" w:hAnsi="David" w:cs="David" w:hint="cs"/>
          <w:b/>
          <w:bCs/>
          <w:sz w:val="24"/>
          <w:szCs w:val="24"/>
          <w:rtl/>
        </w:rPr>
        <w:t>ה</w:t>
      </w:r>
      <w:r w:rsidR="00F06F64" w:rsidRPr="004D70A9">
        <w:rPr>
          <w:rFonts w:ascii="David" w:eastAsia="Times New Roman" w:hAnsi="David" w:cs="David" w:hint="cs"/>
          <w:b/>
          <w:bCs/>
          <w:sz w:val="24"/>
          <w:szCs w:val="24"/>
          <w:rtl/>
        </w:rPr>
        <w:t xml:space="preserve">סיכוי </w:t>
      </w:r>
      <w:r w:rsidR="00FB6DBE" w:rsidRPr="004D70A9">
        <w:rPr>
          <w:rFonts w:ascii="David" w:eastAsia="Times New Roman" w:hAnsi="David" w:cs="David" w:hint="cs"/>
          <w:b/>
          <w:bCs/>
          <w:sz w:val="24"/>
          <w:szCs w:val="24"/>
          <w:rtl/>
        </w:rPr>
        <w:t>ל</w:t>
      </w:r>
      <w:r w:rsidR="00F06F64" w:rsidRPr="004D70A9">
        <w:rPr>
          <w:rFonts w:ascii="David" w:eastAsia="Times New Roman" w:hAnsi="David" w:cs="David" w:hint="cs"/>
          <w:b/>
          <w:bCs/>
          <w:sz w:val="24"/>
          <w:szCs w:val="24"/>
          <w:rtl/>
        </w:rPr>
        <w:t>פתיחת תיק פלילי</w:t>
      </w:r>
      <w:r w:rsidR="007822F7" w:rsidRPr="004D70A9">
        <w:rPr>
          <w:rFonts w:ascii="David" w:eastAsia="Times New Roman" w:hAnsi="David" w:cs="David" w:hint="cs"/>
          <w:b/>
          <w:bCs/>
          <w:sz w:val="24"/>
          <w:szCs w:val="24"/>
          <w:rtl/>
        </w:rPr>
        <w:t xml:space="preserve"> של בני נוער</w:t>
      </w:r>
      <w:r w:rsidR="00F06F64" w:rsidRPr="004D70A9">
        <w:rPr>
          <w:rFonts w:ascii="David" w:eastAsia="Times New Roman" w:hAnsi="David" w:cs="David" w:hint="cs"/>
          <w:b/>
          <w:bCs/>
          <w:sz w:val="24"/>
          <w:szCs w:val="24"/>
          <w:rtl/>
        </w:rPr>
        <w:t>.</w:t>
      </w:r>
    </w:p>
    <w:p w14:paraId="56CAD9C5" w14:textId="1259485A" w:rsidR="00ED0EC4" w:rsidRPr="004D70A9" w:rsidRDefault="00ED0EC4" w:rsidP="00ED0EC4">
      <w:pPr>
        <w:numPr>
          <w:ilvl w:val="0"/>
          <w:numId w:val="1"/>
        </w:numPr>
        <w:bidi/>
        <w:spacing w:before="100" w:beforeAutospacing="1" w:after="100" w:afterAutospacing="1" w:line="360" w:lineRule="auto"/>
        <w:jc w:val="both"/>
        <w:rPr>
          <w:rFonts w:ascii="David" w:eastAsia="Times New Roman" w:hAnsi="David" w:cs="David"/>
          <w:b/>
          <w:bCs/>
          <w:sz w:val="24"/>
          <w:szCs w:val="24"/>
        </w:rPr>
      </w:pPr>
      <w:r w:rsidRPr="004D70A9">
        <w:rPr>
          <w:rFonts w:ascii="David" w:eastAsia="Times New Roman" w:hAnsi="David" w:cs="David" w:hint="eastAsia"/>
          <w:b/>
          <w:bCs/>
          <w:sz w:val="24"/>
          <w:szCs w:val="24"/>
          <w:rtl/>
        </w:rPr>
        <w:t>ממצאים</w:t>
      </w:r>
      <w:r w:rsidRPr="004D70A9">
        <w:rPr>
          <w:rFonts w:ascii="David" w:eastAsia="Times New Roman" w:hAnsi="David" w:cs="David"/>
          <w:b/>
          <w:bCs/>
          <w:sz w:val="24"/>
          <w:szCs w:val="24"/>
          <w:rtl/>
        </w:rPr>
        <w:t xml:space="preserve"> </w:t>
      </w:r>
      <w:r w:rsidRPr="004D70A9">
        <w:rPr>
          <w:rFonts w:ascii="David" w:eastAsia="Times New Roman" w:hAnsi="David" w:cs="David" w:hint="eastAsia"/>
          <w:b/>
          <w:bCs/>
          <w:sz w:val="24"/>
          <w:szCs w:val="24"/>
          <w:rtl/>
        </w:rPr>
        <w:t>אלו</w:t>
      </w:r>
      <w:r w:rsidRPr="004D70A9">
        <w:rPr>
          <w:rFonts w:ascii="David" w:eastAsia="Times New Roman" w:hAnsi="David" w:cs="David"/>
          <w:b/>
          <w:bCs/>
          <w:sz w:val="24"/>
          <w:szCs w:val="24"/>
          <w:rtl/>
        </w:rPr>
        <w:t xml:space="preserve"> </w:t>
      </w:r>
      <w:r w:rsidRPr="004D70A9">
        <w:rPr>
          <w:rFonts w:ascii="David" w:eastAsia="Times New Roman" w:hAnsi="David" w:cs="David" w:hint="eastAsia"/>
          <w:b/>
          <w:bCs/>
          <w:sz w:val="24"/>
          <w:szCs w:val="24"/>
          <w:rtl/>
        </w:rPr>
        <w:t>מצביעים</w:t>
      </w:r>
      <w:r w:rsidRPr="004D70A9">
        <w:rPr>
          <w:rFonts w:ascii="David" w:eastAsia="Times New Roman" w:hAnsi="David" w:cs="David"/>
          <w:b/>
          <w:bCs/>
          <w:sz w:val="24"/>
          <w:szCs w:val="24"/>
          <w:rtl/>
        </w:rPr>
        <w:t xml:space="preserve"> </w:t>
      </w:r>
      <w:r w:rsidRPr="004D70A9">
        <w:rPr>
          <w:rFonts w:ascii="David" w:eastAsia="Times New Roman" w:hAnsi="David" w:cs="David" w:hint="eastAsia"/>
          <w:b/>
          <w:bCs/>
          <w:sz w:val="24"/>
          <w:szCs w:val="24"/>
          <w:rtl/>
        </w:rPr>
        <w:t>על</w:t>
      </w:r>
      <w:r w:rsidRPr="004D70A9">
        <w:rPr>
          <w:rFonts w:ascii="David" w:eastAsia="Times New Roman" w:hAnsi="David" w:cs="David"/>
          <w:b/>
          <w:bCs/>
          <w:sz w:val="24"/>
          <w:szCs w:val="24"/>
          <w:rtl/>
        </w:rPr>
        <w:t xml:space="preserve"> </w:t>
      </w:r>
      <w:r w:rsidRPr="004D70A9">
        <w:rPr>
          <w:rFonts w:ascii="David" w:eastAsia="Times New Roman" w:hAnsi="David" w:cs="David" w:hint="eastAsia"/>
          <w:b/>
          <w:bCs/>
          <w:sz w:val="24"/>
          <w:szCs w:val="24"/>
          <w:rtl/>
        </w:rPr>
        <w:t>חשיבותו</w:t>
      </w:r>
      <w:r w:rsidRPr="004D70A9">
        <w:rPr>
          <w:rFonts w:ascii="David" w:eastAsia="Times New Roman" w:hAnsi="David" w:cs="David"/>
          <w:b/>
          <w:bCs/>
          <w:sz w:val="24"/>
          <w:szCs w:val="24"/>
          <w:rtl/>
        </w:rPr>
        <w:t xml:space="preserve"> </w:t>
      </w:r>
      <w:r w:rsidRPr="004D70A9">
        <w:rPr>
          <w:rFonts w:ascii="David" w:eastAsia="Times New Roman" w:hAnsi="David" w:cs="David" w:hint="eastAsia"/>
          <w:b/>
          <w:bCs/>
          <w:sz w:val="24"/>
          <w:szCs w:val="24"/>
          <w:rtl/>
        </w:rPr>
        <w:t>של</w:t>
      </w:r>
      <w:r w:rsidRPr="004D70A9">
        <w:rPr>
          <w:rFonts w:ascii="David" w:eastAsia="Times New Roman" w:hAnsi="David" w:cs="David"/>
          <w:b/>
          <w:bCs/>
          <w:sz w:val="24"/>
          <w:szCs w:val="24"/>
          <w:rtl/>
        </w:rPr>
        <w:t xml:space="preserve"> </w:t>
      </w:r>
      <w:r w:rsidRPr="004D70A9">
        <w:rPr>
          <w:rFonts w:ascii="David" w:eastAsia="Times New Roman" w:hAnsi="David" w:cs="David" w:hint="eastAsia"/>
          <w:b/>
          <w:bCs/>
          <w:sz w:val="24"/>
          <w:szCs w:val="24"/>
          <w:rtl/>
        </w:rPr>
        <w:t>החסם</w:t>
      </w:r>
      <w:r w:rsidRPr="004D70A9">
        <w:rPr>
          <w:rFonts w:ascii="David" w:eastAsia="Times New Roman" w:hAnsi="David" w:cs="David"/>
          <w:b/>
          <w:bCs/>
          <w:sz w:val="24"/>
          <w:szCs w:val="24"/>
          <w:rtl/>
        </w:rPr>
        <w:t xml:space="preserve"> </w:t>
      </w:r>
      <w:r w:rsidRPr="004D70A9">
        <w:rPr>
          <w:rFonts w:ascii="David" w:eastAsia="Times New Roman" w:hAnsi="David" w:cs="David" w:hint="eastAsia"/>
          <w:b/>
          <w:bCs/>
          <w:sz w:val="24"/>
          <w:szCs w:val="24"/>
          <w:rtl/>
        </w:rPr>
        <w:t>הגיאוגרפי</w:t>
      </w:r>
      <w:r w:rsidRPr="004D70A9">
        <w:rPr>
          <w:rFonts w:ascii="David" w:eastAsia="Times New Roman" w:hAnsi="David" w:cs="David"/>
          <w:b/>
          <w:bCs/>
          <w:sz w:val="24"/>
          <w:szCs w:val="24"/>
          <w:rtl/>
        </w:rPr>
        <w:t xml:space="preserve"> </w:t>
      </w:r>
      <w:r w:rsidRPr="004D70A9">
        <w:rPr>
          <w:rFonts w:ascii="David" w:eastAsia="Times New Roman" w:hAnsi="David" w:cs="David" w:hint="eastAsia"/>
          <w:b/>
          <w:bCs/>
          <w:sz w:val="24"/>
          <w:szCs w:val="24"/>
          <w:rtl/>
        </w:rPr>
        <w:t>להשכלה</w:t>
      </w:r>
      <w:r w:rsidRPr="004D70A9">
        <w:rPr>
          <w:rFonts w:ascii="David" w:eastAsia="Times New Roman" w:hAnsi="David" w:cs="David"/>
          <w:b/>
          <w:bCs/>
          <w:sz w:val="24"/>
          <w:szCs w:val="24"/>
          <w:rtl/>
        </w:rPr>
        <w:t xml:space="preserve"> </w:t>
      </w:r>
      <w:r w:rsidRPr="004D70A9">
        <w:rPr>
          <w:rFonts w:ascii="David" w:eastAsia="Times New Roman" w:hAnsi="David" w:cs="David" w:hint="eastAsia"/>
          <w:b/>
          <w:bCs/>
          <w:sz w:val="24"/>
          <w:szCs w:val="24"/>
          <w:rtl/>
        </w:rPr>
        <w:t>תיכונית</w:t>
      </w:r>
      <w:r w:rsidRPr="004D70A9">
        <w:rPr>
          <w:rFonts w:ascii="David" w:eastAsia="Times New Roman" w:hAnsi="David" w:cs="David"/>
          <w:b/>
          <w:bCs/>
          <w:sz w:val="24"/>
          <w:szCs w:val="24"/>
          <w:rtl/>
        </w:rPr>
        <w:t xml:space="preserve"> </w:t>
      </w:r>
      <w:r w:rsidRPr="004D70A9">
        <w:rPr>
          <w:rFonts w:ascii="David" w:eastAsia="Times New Roman" w:hAnsi="David" w:cs="David" w:hint="eastAsia"/>
          <w:b/>
          <w:bCs/>
          <w:sz w:val="24"/>
          <w:szCs w:val="24"/>
          <w:rtl/>
        </w:rPr>
        <w:t>בחברה</w:t>
      </w:r>
      <w:r w:rsidRPr="004D70A9">
        <w:rPr>
          <w:rFonts w:ascii="David" w:eastAsia="Times New Roman" w:hAnsi="David" w:cs="David"/>
          <w:b/>
          <w:bCs/>
          <w:sz w:val="24"/>
          <w:szCs w:val="24"/>
          <w:rtl/>
        </w:rPr>
        <w:t xml:space="preserve"> </w:t>
      </w:r>
      <w:r w:rsidRPr="004D70A9">
        <w:rPr>
          <w:rFonts w:ascii="David" w:eastAsia="Times New Roman" w:hAnsi="David" w:cs="David" w:hint="eastAsia"/>
          <w:b/>
          <w:bCs/>
          <w:sz w:val="24"/>
          <w:szCs w:val="24"/>
          <w:rtl/>
        </w:rPr>
        <w:t>הערבית</w:t>
      </w:r>
      <w:r w:rsidRPr="004D70A9">
        <w:rPr>
          <w:rFonts w:ascii="David" w:eastAsia="Times New Roman" w:hAnsi="David" w:cs="David"/>
          <w:b/>
          <w:bCs/>
          <w:sz w:val="24"/>
          <w:szCs w:val="24"/>
          <w:rtl/>
        </w:rPr>
        <w:t xml:space="preserve">, </w:t>
      </w:r>
      <w:r w:rsidRPr="004D70A9">
        <w:rPr>
          <w:rFonts w:ascii="David" w:eastAsia="Times New Roman" w:hAnsi="David" w:cs="David" w:hint="eastAsia"/>
          <w:b/>
          <w:bCs/>
          <w:sz w:val="24"/>
          <w:szCs w:val="24"/>
          <w:rtl/>
        </w:rPr>
        <w:t>שכיום</w:t>
      </w:r>
      <w:r w:rsidRPr="004D70A9">
        <w:rPr>
          <w:rFonts w:ascii="David" w:eastAsia="Times New Roman" w:hAnsi="David" w:cs="David"/>
          <w:b/>
          <w:bCs/>
          <w:sz w:val="24"/>
          <w:szCs w:val="24"/>
          <w:rtl/>
        </w:rPr>
        <w:t xml:space="preserve"> </w:t>
      </w:r>
      <w:r w:rsidRPr="004D70A9">
        <w:rPr>
          <w:rFonts w:ascii="David" w:eastAsia="Times New Roman" w:hAnsi="David" w:cs="David" w:hint="eastAsia"/>
          <w:b/>
          <w:bCs/>
          <w:sz w:val="24"/>
          <w:szCs w:val="24"/>
          <w:rtl/>
        </w:rPr>
        <w:t>הוא</w:t>
      </w:r>
      <w:r w:rsidRPr="004D70A9">
        <w:rPr>
          <w:rFonts w:ascii="David" w:eastAsia="Times New Roman" w:hAnsi="David" w:cs="David"/>
          <w:b/>
          <w:bCs/>
          <w:sz w:val="24"/>
          <w:szCs w:val="24"/>
          <w:rtl/>
        </w:rPr>
        <w:t xml:space="preserve"> </w:t>
      </w:r>
      <w:r w:rsidRPr="004D70A9">
        <w:rPr>
          <w:rFonts w:ascii="David" w:eastAsia="Times New Roman" w:hAnsi="David" w:cs="David" w:hint="eastAsia"/>
          <w:b/>
          <w:bCs/>
          <w:sz w:val="24"/>
          <w:szCs w:val="24"/>
          <w:rtl/>
        </w:rPr>
        <w:t>ניכר</w:t>
      </w:r>
      <w:r w:rsidRPr="004D70A9">
        <w:rPr>
          <w:rFonts w:ascii="David" w:eastAsia="Times New Roman" w:hAnsi="David" w:cs="David"/>
          <w:b/>
          <w:bCs/>
          <w:sz w:val="24"/>
          <w:szCs w:val="24"/>
          <w:rtl/>
        </w:rPr>
        <w:t xml:space="preserve"> </w:t>
      </w:r>
      <w:r w:rsidRPr="004D70A9">
        <w:rPr>
          <w:rFonts w:ascii="David" w:eastAsia="Times New Roman" w:hAnsi="David" w:cs="David" w:hint="eastAsia"/>
          <w:b/>
          <w:bCs/>
          <w:sz w:val="24"/>
          <w:szCs w:val="24"/>
          <w:rtl/>
        </w:rPr>
        <w:t>בעיקר</w:t>
      </w:r>
      <w:r w:rsidRPr="004D70A9">
        <w:rPr>
          <w:rFonts w:ascii="David" w:eastAsia="Times New Roman" w:hAnsi="David" w:cs="David"/>
          <w:b/>
          <w:bCs/>
          <w:sz w:val="24"/>
          <w:szCs w:val="24"/>
          <w:rtl/>
        </w:rPr>
        <w:t xml:space="preserve"> </w:t>
      </w:r>
      <w:r w:rsidRPr="004D70A9">
        <w:rPr>
          <w:rFonts w:ascii="David" w:eastAsia="Times New Roman" w:hAnsi="David" w:cs="David" w:hint="eastAsia"/>
          <w:b/>
          <w:bCs/>
          <w:sz w:val="24"/>
          <w:szCs w:val="24"/>
          <w:rtl/>
        </w:rPr>
        <w:t>בחברה</w:t>
      </w:r>
      <w:r w:rsidRPr="004D70A9">
        <w:rPr>
          <w:rFonts w:ascii="David" w:eastAsia="Times New Roman" w:hAnsi="David" w:cs="David"/>
          <w:b/>
          <w:bCs/>
          <w:sz w:val="24"/>
          <w:szCs w:val="24"/>
          <w:rtl/>
        </w:rPr>
        <w:t xml:space="preserve"> </w:t>
      </w:r>
      <w:r w:rsidRPr="004D70A9">
        <w:rPr>
          <w:rFonts w:ascii="David" w:eastAsia="Times New Roman" w:hAnsi="David" w:cs="David" w:hint="eastAsia"/>
          <w:b/>
          <w:bCs/>
          <w:sz w:val="24"/>
          <w:szCs w:val="24"/>
          <w:rtl/>
        </w:rPr>
        <w:t>הבדואית</w:t>
      </w:r>
      <w:r w:rsidRPr="004D70A9">
        <w:rPr>
          <w:rFonts w:ascii="David" w:eastAsia="Times New Roman" w:hAnsi="David" w:cs="David"/>
          <w:b/>
          <w:bCs/>
          <w:sz w:val="24"/>
          <w:szCs w:val="24"/>
          <w:rtl/>
        </w:rPr>
        <w:t xml:space="preserve"> </w:t>
      </w:r>
      <w:r w:rsidRPr="004D70A9">
        <w:rPr>
          <w:rFonts w:ascii="David" w:eastAsia="Times New Roman" w:hAnsi="David" w:cs="David" w:hint="eastAsia"/>
          <w:b/>
          <w:bCs/>
          <w:sz w:val="24"/>
          <w:szCs w:val="24"/>
          <w:rtl/>
        </w:rPr>
        <w:t>בנגב</w:t>
      </w:r>
      <w:r w:rsidRPr="004D70A9">
        <w:rPr>
          <w:rFonts w:ascii="David" w:eastAsia="Times New Roman" w:hAnsi="David" w:cs="David"/>
          <w:b/>
          <w:bCs/>
          <w:sz w:val="24"/>
          <w:szCs w:val="24"/>
          <w:rtl/>
        </w:rPr>
        <w:t xml:space="preserve">, </w:t>
      </w:r>
      <w:r w:rsidRPr="004D70A9">
        <w:rPr>
          <w:rFonts w:ascii="David" w:eastAsia="Times New Roman" w:hAnsi="David" w:cs="David" w:hint="eastAsia"/>
          <w:b/>
          <w:bCs/>
          <w:sz w:val="24"/>
          <w:szCs w:val="24"/>
          <w:rtl/>
        </w:rPr>
        <w:t>ושהגדלת</w:t>
      </w:r>
      <w:r w:rsidRPr="004D70A9">
        <w:rPr>
          <w:rFonts w:ascii="David" w:eastAsia="Times New Roman" w:hAnsi="David" w:cs="David"/>
          <w:b/>
          <w:bCs/>
          <w:sz w:val="24"/>
          <w:szCs w:val="24"/>
          <w:rtl/>
        </w:rPr>
        <w:t xml:space="preserve"> </w:t>
      </w:r>
      <w:r w:rsidRPr="004D70A9">
        <w:rPr>
          <w:rFonts w:ascii="David" w:eastAsia="Times New Roman" w:hAnsi="David" w:cs="David" w:hint="eastAsia"/>
          <w:b/>
          <w:bCs/>
          <w:sz w:val="24"/>
          <w:szCs w:val="24"/>
          <w:rtl/>
        </w:rPr>
        <w:t>הזמינות</w:t>
      </w:r>
      <w:r w:rsidRPr="004D70A9">
        <w:rPr>
          <w:rFonts w:ascii="David" w:eastAsia="Times New Roman" w:hAnsi="David" w:cs="David"/>
          <w:b/>
          <w:bCs/>
          <w:sz w:val="24"/>
          <w:szCs w:val="24"/>
          <w:rtl/>
        </w:rPr>
        <w:t xml:space="preserve"> </w:t>
      </w:r>
      <w:r w:rsidRPr="004D70A9">
        <w:rPr>
          <w:rFonts w:ascii="David" w:eastAsia="Times New Roman" w:hAnsi="David" w:cs="David" w:hint="eastAsia"/>
          <w:b/>
          <w:bCs/>
          <w:sz w:val="24"/>
          <w:szCs w:val="24"/>
          <w:rtl/>
        </w:rPr>
        <w:t>הגיאוגרפית</w:t>
      </w:r>
      <w:r w:rsidRPr="004D70A9">
        <w:rPr>
          <w:rFonts w:ascii="David" w:eastAsia="Times New Roman" w:hAnsi="David" w:cs="David"/>
          <w:b/>
          <w:bCs/>
          <w:sz w:val="24"/>
          <w:szCs w:val="24"/>
          <w:rtl/>
        </w:rPr>
        <w:t xml:space="preserve"> </w:t>
      </w:r>
      <w:r w:rsidRPr="004D70A9">
        <w:rPr>
          <w:rFonts w:ascii="David" w:eastAsia="Times New Roman" w:hAnsi="David" w:cs="David" w:hint="eastAsia"/>
          <w:b/>
          <w:bCs/>
          <w:sz w:val="24"/>
          <w:szCs w:val="24"/>
          <w:rtl/>
        </w:rPr>
        <w:t>של</w:t>
      </w:r>
      <w:r w:rsidRPr="004D70A9">
        <w:rPr>
          <w:rFonts w:ascii="David" w:eastAsia="Times New Roman" w:hAnsi="David" w:cs="David"/>
          <w:b/>
          <w:bCs/>
          <w:sz w:val="24"/>
          <w:szCs w:val="24"/>
          <w:rtl/>
        </w:rPr>
        <w:t xml:space="preserve"> </w:t>
      </w:r>
      <w:r w:rsidRPr="004D70A9">
        <w:rPr>
          <w:rFonts w:ascii="David" w:eastAsia="Times New Roman" w:hAnsi="David" w:cs="David" w:hint="eastAsia"/>
          <w:b/>
          <w:bCs/>
          <w:sz w:val="24"/>
          <w:szCs w:val="24"/>
          <w:rtl/>
        </w:rPr>
        <w:t>בתי</w:t>
      </w:r>
      <w:r w:rsidRPr="004D70A9">
        <w:rPr>
          <w:rFonts w:ascii="David" w:eastAsia="Times New Roman" w:hAnsi="David" w:cs="David"/>
          <w:b/>
          <w:bCs/>
          <w:sz w:val="24"/>
          <w:szCs w:val="24"/>
          <w:rtl/>
        </w:rPr>
        <w:t xml:space="preserve"> </w:t>
      </w:r>
      <w:r w:rsidRPr="004D70A9">
        <w:rPr>
          <w:rFonts w:ascii="David" w:eastAsia="Times New Roman" w:hAnsi="David" w:cs="David" w:hint="eastAsia"/>
          <w:b/>
          <w:bCs/>
          <w:sz w:val="24"/>
          <w:szCs w:val="24"/>
          <w:rtl/>
        </w:rPr>
        <w:t>ספר</w:t>
      </w:r>
      <w:r w:rsidRPr="004D70A9">
        <w:rPr>
          <w:rFonts w:ascii="David" w:eastAsia="Times New Roman" w:hAnsi="David" w:cs="David"/>
          <w:b/>
          <w:bCs/>
          <w:sz w:val="24"/>
          <w:szCs w:val="24"/>
          <w:rtl/>
        </w:rPr>
        <w:t xml:space="preserve"> </w:t>
      </w:r>
      <w:r w:rsidRPr="004D70A9">
        <w:rPr>
          <w:rFonts w:ascii="David" w:eastAsia="Times New Roman" w:hAnsi="David" w:cs="David" w:hint="eastAsia"/>
          <w:b/>
          <w:bCs/>
          <w:sz w:val="24"/>
          <w:szCs w:val="24"/>
          <w:rtl/>
        </w:rPr>
        <w:t>התיכוניים</w:t>
      </w:r>
      <w:r w:rsidRPr="004D70A9">
        <w:rPr>
          <w:rFonts w:ascii="David" w:eastAsia="Times New Roman" w:hAnsi="David" w:cs="David"/>
          <w:b/>
          <w:bCs/>
          <w:sz w:val="24"/>
          <w:szCs w:val="24"/>
          <w:rtl/>
        </w:rPr>
        <w:t xml:space="preserve"> </w:t>
      </w:r>
      <w:r w:rsidRPr="004D70A9">
        <w:rPr>
          <w:rFonts w:ascii="David" w:eastAsia="Times New Roman" w:hAnsi="David" w:cs="David" w:hint="eastAsia"/>
          <w:b/>
          <w:bCs/>
          <w:sz w:val="24"/>
          <w:szCs w:val="24"/>
          <w:rtl/>
        </w:rPr>
        <w:t>עשויה</w:t>
      </w:r>
      <w:r w:rsidRPr="004D70A9">
        <w:rPr>
          <w:rFonts w:ascii="David" w:eastAsia="Times New Roman" w:hAnsi="David" w:cs="David"/>
          <w:b/>
          <w:bCs/>
          <w:sz w:val="24"/>
          <w:szCs w:val="24"/>
          <w:rtl/>
        </w:rPr>
        <w:t xml:space="preserve"> </w:t>
      </w:r>
      <w:r w:rsidRPr="004D70A9">
        <w:rPr>
          <w:rFonts w:ascii="David" w:eastAsia="Times New Roman" w:hAnsi="David" w:cs="David" w:hint="eastAsia"/>
          <w:b/>
          <w:bCs/>
          <w:sz w:val="24"/>
          <w:szCs w:val="24"/>
          <w:rtl/>
        </w:rPr>
        <w:t>להועיל</w:t>
      </w:r>
      <w:r w:rsidRPr="004D70A9">
        <w:rPr>
          <w:rFonts w:ascii="David" w:eastAsia="Times New Roman" w:hAnsi="David" w:cs="David"/>
          <w:b/>
          <w:bCs/>
          <w:sz w:val="24"/>
          <w:szCs w:val="24"/>
          <w:rtl/>
        </w:rPr>
        <w:t xml:space="preserve"> </w:t>
      </w:r>
      <w:r w:rsidRPr="004D70A9">
        <w:rPr>
          <w:rFonts w:ascii="David" w:eastAsia="Times New Roman" w:hAnsi="David" w:cs="David" w:hint="eastAsia"/>
          <w:b/>
          <w:bCs/>
          <w:sz w:val="24"/>
          <w:szCs w:val="24"/>
          <w:rtl/>
        </w:rPr>
        <w:t>ביישובים</w:t>
      </w:r>
      <w:r w:rsidRPr="004D70A9">
        <w:rPr>
          <w:rFonts w:ascii="David" w:eastAsia="Times New Roman" w:hAnsi="David" w:cs="David"/>
          <w:b/>
          <w:bCs/>
          <w:sz w:val="24"/>
          <w:szCs w:val="24"/>
          <w:rtl/>
        </w:rPr>
        <w:t xml:space="preserve"> </w:t>
      </w:r>
      <w:r w:rsidRPr="004D70A9">
        <w:rPr>
          <w:rFonts w:ascii="David" w:eastAsia="Times New Roman" w:hAnsi="David" w:cs="David" w:hint="eastAsia"/>
          <w:b/>
          <w:bCs/>
          <w:sz w:val="24"/>
          <w:szCs w:val="24"/>
          <w:rtl/>
        </w:rPr>
        <w:t>אלו</w:t>
      </w:r>
      <w:r w:rsidRPr="004D70A9">
        <w:rPr>
          <w:rFonts w:ascii="David" w:eastAsia="Times New Roman" w:hAnsi="David" w:cs="David"/>
          <w:b/>
          <w:bCs/>
          <w:sz w:val="24"/>
          <w:szCs w:val="24"/>
          <w:rtl/>
        </w:rPr>
        <w:t xml:space="preserve"> </w:t>
      </w:r>
      <w:r w:rsidRPr="004D70A9">
        <w:rPr>
          <w:rFonts w:ascii="David" w:eastAsia="Times New Roman" w:hAnsi="David" w:cs="David" w:hint="eastAsia"/>
          <w:b/>
          <w:bCs/>
          <w:sz w:val="24"/>
          <w:szCs w:val="24"/>
          <w:rtl/>
        </w:rPr>
        <w:t>במגוון</w:t>
      </w:r>
      <w:r w:rsidRPr="004D70A9">
        <w:rPr>
          <w:rFonts w:ascii="David" w:eastAsia="Times New Roman" w:hAnsi="David" w:cs="David"/>
          <w:b/>
          <w:bCs/>
          <w:sz w:val="24"/>
          <w:szCs w:val="24"/>
          <w:rtl/>
        </w:rPr>
        <w:t xml:space="preserve"> </w:t>
      </w:r>
      <w:r w:rsidRPr="004D70A9">
        <w:rPr>
          <w:rFonts w:ascii="David" w:eastAsia="Times New Roman" w:hAnsi="David" w:cs="David" w:hint="eastAsia"/>
          <w:b/>
          <w:bCs/>
          <w:sz w:val="24"/>
          <w:szCs w:val="24"/>
          <w:rtl/>
        </w:rPr>
        <w:t>היבטים</w:t>
      </w:r>
      <w:r w:rsidRPr="004D70A9">
        <w:rPr>
          <w:rFonts w:ascii="David" w:eastAsia="Times New Roman" w:hAnsi="David" w:cs="David"/>
          <w:b/>
          <w:bCs/>
          <w:sz w:val="24"/>
          <w:szCs w:val="24"/>
          <w:rtl/>
        </w:rPr>
        <w:t>.</w:t>
      </w:r>
    </w:p>
    <w:p w14:paraId="359BE897" w14:textId="5EC55E16" w:rsidR="00C85DB2" w:rsidRPr="004D70A9" w:rsidRDefault="00C85DB2" w:rsidP="00C81240">
      <w:pPr>
        <w:bidi/>
        <w:spacing w:after="0" w:line="450" w:lineRule="atLeast"/>
        <w:ind w:firstLine="360"/>
        <w:jc w:val="both"/>
        <w:rPr>
          <w:rFonts w:ascii="David" w:eastAsia="Times New Roman" w:hAnsi="David" w:cs="David"/>
          <w:sz w:val="24"/>
          <w:szCs w:val="24"/>
          <w:rtl/>
        </w:rPr>
      </w:pPr>
      <w:r w:rsidRPr="004D70A9">
        <w:rPr>
          <w:rFonts w:ascii="David" w:eastAsia="Times New Roman" w:hAnsi="David" w:cs="David" w:hint="cs"/>
          <w:sz w:val="24"/>
          <w:szCs w:val="24"/>
          <w:rtl/>
        </w:rPr>
        <w:t>מאז קום המדינה</w:t>
      </w:r>
      <w:r w:rsidR="0061332B" w:rsidRPr="004D70A9">
        <w:rPr>
          <w:rFonts w:ascii="David" w:eastAsia="Times New Roman" w:hAnsi="David" w:cs="David" w:hint="cs"/>
          <w:sz w:val="24"/>
          <w:szCs w:val="24"/>
          <w:rtl/>
        </w:rPr>
        <w:t xml:space="preserve"> התרחב </w:t>
      </w:r>
      <w:r w:rsidR="007822F7" w:rsidRPr="004D70A9">
        <w:rPr>
          <w:rFonts w:ascii="David" w:eastAsia="Times New Roman" w:hAnsi="David" w:cs="David" w:hint="cs"/>
          <w:sz w:val="24"/>
          <w:szCs w:val="24"/>
          <w:rtl/>
        </w:rPr>
        <w:t xml:space="preserve">היצע בתי הספר התיכוניים </w:t>
      </w:r>
      <w:proofErr w:type="spellStart"/>
      <w:r w:rsidR="007822F7" w:rsidRPr="004D70A9">
        <w:rPr>
          <w:rFonts w:ascii="David" w:eastAsia="Times New Roman" w:hAnsi="David" w:cs="David" w:hint="cs"/>
          <w:sz w:val="24"/>
          <w:szCs w:val="24"/>
          <w:rtl/>
        </w:rPr>
        <w:t>בישובי</w:t>
      </w:r>
      <w:proofErr w:type="spellEnd"/>
      <w:r w:rsidR="007822F7" w:rsidRPr="004D70A9">
        <w:rPr>
          <w:rFonts w:ascii="David" w:eastAsia="Times New Roman" w:hAnsi="David" w:cs="David" w:hint="cs"/>
          <w:sz w:val="24"/>
          <w:szCs w:val="24"/>
          <w:rtl/>
        </w:rPr>
        <w:t xml:space="preserve"> החברה הערבית.</w:t>
      </w:r>
      <w:r w:rsidRPr="004D70A9">
        <w:rPr>
          <w:rFonts w:ascii="David" w:eastAsia="Times New Roman" w:hAnsi="David" w:cs="David" w:hint="cs"/>
          <w:sz w:val="24"/>
          <w:szCs w:val="24"/>
          <w:rtl/>
        </w:rPr>
        <w:t xml:space="preserve"> בקרב הערבים שאינם בדואים בנגב, 28% התגוררו ביישוב עם תיכון ב-1970 </w:t>
      </w:r>
      <w:r w:rsidR="00F06F64" w:rsidRPr="004D70A9">
        <w:rPr>
          <w:rFonts w:ascii="David" w:eastAsia="Times New Roman" w:hAnsi="David" w:cs="David" w:hint="cs"/>
          <w:sz w:val="24"/>
          <w:szCs w:val="24"/>
          <w:rtl/>
        </w:rPr>
        <w:t xml:space="preserve">לעומת </w:t>
      </w:r>
      <w:r w:rsidRPr="004D70A9">
        <w:rPr>
          <w:rFonts w:ascii="David" w:eastAsia="Times New Roman" w:hAnsi="David" w:cs="David" w:hint="cs"/>
          <w:sz w:val="24"/>
          <w:szCs w:val="24"/>
          <w:rtl/>
        </w:rPr>
        <w:t>95% כיום (</w:t>
      </w:r>
      <w:r w:rsidR="00C81240" w:rsidRPr="004D70A9">
        <w:rPr>
          <w:rFonts w:ascii="David" w:eastAsia="Times New Roman" w:hAnsi="David" w:cs="David" w:hint="cs"/>
          <w:sz w:val="24"/>
          <w:szCs w:val="24"/>
          <w:rtl/>
        </w:rPr>
        <w:t xml:space="preserve">ראו </w:t>
      </w:r>
      <w:r w:rsidRPr="004D70A9">
        <w:rPr>
          <w:rFonts w:ascii="David" w:eastAsia="Times New Roman" w:hAnsi="David" w:cs="David" w:hint="cs"/>
          <w:sz w:val="24"/>
          <w:szCs w:val="24"/>
          <w:rtl/>
        </w:rPr>
        <w:t>איור</w:t>
      </w:r>
      <w:r w:rsidR="00ED0EC4" w:rsidRPr="004D70A9">
        <w:rPr>
          <w:rFonts w:ascii="David" w:eastAsia="Times New Roman" w:hAnsi="David" w:cs="David" w:hint="cs"/>
          <w:sz w:val="24"/>
          <w:szCs w:val="24"/>
          <w:rtl/>
        </w:rPr>
        <w:t xml:space="preserve"> </w:t>
      </w:r>
      <w:r w:rsidR="00713154" w:rsidRPr="004D70A9">
        <w:rPr>
          <w:rFonts w:ascii="David" w:eastAsia="Times New Roman" w:hAnsi="David" w:cs="David" w:hint="cs"/>
          <w:sz w:val="24"/>
          <w:szCs w:val="24"/>
          <w:rtl/>
        </w:rPr>
        <w:t>1</w:t>
      </w:r>
      <w:r w:rsidRPr="004D70A9">
        <w:rPr>
          <w:rFonts w:ascii="David" w:eastAsia="Times New Roman" w:hAnsi="David" w:cs="David" w:hint="cs"/>
          <w:sz w:val="24"/>
          <w:szCs w:val="24"/>
          <w:rtl/>
        </w:rPr>
        <w:t xml:space="preserve">). גם </w:t>
      </w:r>
      <w:r w:rsidR="00C81240" w:rsidRPr="004D70A9">
        <w:rPr>
          <w:rFonts w:ascii="David" w:eastAsia="Times New Roman" w:hAnsi="David" w:cs="David" w:hint="cs"/>
          <w:sz w:val="24"/>
          <w:szCs w:val="24"/>
          <w:rtl/>
        </w:rPr>
        <w:t xml:space="preserve">בישובים </w:t>
      </w:r>
      <w:r w:rsidRPr="004D70A9">
        <w:rPr>
          <w:rFonts w:ascii="David" w:eastAsia="Times New Roman" w:hAnsi="David" w:cs="David" w:hint="cs"/>
          <w:sz w:val="24"/>
          <w:szCs w:val="24"/>
          <w:rtl/>
        </w:rPr>
        <w:t>הבדואים בנגב חלה התרחבות</w:t>
      </w:r>
      <w:r w:rsidR="005B3F5E" w:rsidRPr="004D70A9">
        <w:rPr>
          <w:rFonts w:ascii="David" w:eastAsia="Times New Roman" w:hAnsi="David" w:cs="David" w:hint="cs"/>
          <w:sz w:val="24"/>
          <w:szCs w:val="24"/>
          <w:rtl/>
        </w:rPr>
        <w:t xml:space="preserve"> ניכרת בזמינות בתי הספר, </w:t>
      </w:r>
      <w:r w:rsidR="00A823CF" w:rsidRPr="004D70A9">
        <w:rPr>
          <w:rFonts w:ascii="David" w:eastAsia="Times New Roman" w:hAnsi="David" w:cs="David" w:hint="cs"/>
          <w:sz w:val="24"/>
          <w:szCs w:val="24"/>
          <w:rtl/>
        </w:rPr>
        <w:t>למרות</w:t>
      </w:r>
      <w:r w:rsidRPr="004D70A9">
        <w:rPr>
          <w:rFonts w:ascii="David" w:eastAsia="Times New Roman" w:hAnsi="David" w:cs="David" w:hint="cs"/>
          <w:sz w:val="24"/>
          <w:szCs w:val="24"/>
          <w:rtl/>
        </w:rPr>
        <w:t xml:space="preserve"> </w:t>
      </w:r>
      <w:r w:rsidR="00A823CF" w:rsidRPr="004D70A9">
        <w:rPr>
          <w:rFonts w:ascii="David" w:eastAsia="Times New Roman" w:hAnsi="David" w:cs="David" w:hint="cs"/>
          <w:sz w:val="24"/>
          <w:szCs w:val="24"/>
          <w:rtl/>
        </w:rPr>
        <w:t>ש</w:t>
      </w:r>
      <w:r w:rsidR="00FB6DBE" w:rsidRPr="004D70A9">
        <w:rPr>
          <w:rFonts w:ascii="David" w:eastAsia="Times New Roman" w:hAnsi="David" w:cs="David" w:hint="cs"/>
          <w:sz w:val="24"/>
          <w:szCs w:val="24"/>
          <w:rtl/>
        </w:rPr>
        <w:t xml:space="preserve">גם כיום </w:t>
      </w:r>
      <w:r w:rsidRPr="004D70A9">
        <w:rPr>
          <w:rFonts w:ascii="David" w:eastAsia="Times New Roman" w:hAnsi="David" w:cs="David" w:hint="cs"/>
          <w:sz w:val="24"/>
          <w:szCs w:val="24"/>
          <w:rtl/>
        </w:rPr>
        <w:t xml:space="preserve">שיעור ניכר </w:t>
      </w:r>
      <w:r w:rsidR="00C81240" w:rsidRPr="004D70A9">
        <w:rPr>
          <w:rFonts w:ascii="David" w:eastAsia="Times New Roman" w:hAnsi="David" w:cs="David" w:hint="cs"/>
          <w:sz w:val="24"/>
          <w:szCs w:val="24"/>
          <w:rtl/>
        </w:rPr>
        <w:t xml:space="preserve">מהבדואים </w:t>
      </w:r>
      <w:r w:rsidRPr="004D70A9">
        <w:rPr>
          <w:rFonts w:ascii="David" w:eastAsia="Times New Roman" w:hAnsi="David" w:cs="David" w:hint="cs"/>
          <w:sz w:val="24"/>
          <w:szCs w:val="24"/>
          <w:rtl/>
        </w:rPr>
        <w:t>(כ-40%) חיים</w:t>
      </w:r>
      <w:r w:rsidR="00FB6DBE" w:rsidRPr="004D70A9">
        <w:rPr>
          <w:rFonts w:ascii="David" w:eastAsia="Times New Roman" w:hAnsi="David" w:cs="David" w:hint="cs"/>
          <w:sz w:val="24"/>
          <w:szCs w:val="24"/>
          <w:rtl/>
        </w:rPr>
        <w:t xml:space="preserve"> </w:t>
      </w:r>
      <w:r w:rsidRPr="004D70A9">
        <w:rPr>
          <w:rFonts w:ascii="David" w:eastAsia="Times New Roman" w:hAnsi="David" w:cs="David" w:hint="cs"/>
          <w:sz w:val="24"/>
          <w:szCs w:val="24"/>
          <w:rtl/>
        </w:rPr>
        <w:t>ביישובים שאינם מוכרים, ללא בית ספר תיכון</w:t>
      </w:r>
      <w:r w:rsidR="005B3F5E" w:rsidRPr="004D70A9">
        <w:rPr>
          <w:rFonts w:ascii="David" w:eastAsia="Times New Roman" w:hAnsi="David" w:cs="David" w:hint="cs"/>
          <w:sz w:val="24"/>
          <w:szCs w:val="24"/>
          <w:rtl/>
        </w:rPr>
        <w:t xml:space="preserve"> ביישוב</w:t>
      </w:r>
      <w:r w:rsidRPr="004D70A9">
        <w:rPr>
          <w:rFonts w:ascii="David" w:eastAsia="Times New Roman" w:hAnsi="David" w:cs="David" w:hint="cs"/>
          <w:sz w:val="24"/>
          <w:szCs w:val="24"/>
          <w:rtl/>
        </w:rPr>
        <w:t>.</w:t>
      </w:r>
      <w:r w:rsidR="00A47D56" w:rsidRPr="004D70A9">
        <w:rPr>
          <w:rFonts w:ascii="David" w:eastAsia="Times New Roman" w:hAnsi="David" w:cs="David" w:hint="cs"/>
          <w:sz w:val="24"/>
          <w:szCs w:val="24"/>
          <w:rtl/>
        </w:rPr>
        <w:t xml:space="preserve"> </w:t>
      </w:r>
    </w:p>
    <w:p w14:paraId="3936B2BC" w14:textId="2CCE116A" w:rsidR="005B2214" w:rsidRPr="004D70A9" w:rsidRDefault="0061332B" w:rsidP="00403FF0">
      <w:pPr>
        <w:bidi/>
        <w:spacing w:after="0" w:line="450" w:lineRule="atLeast"/>
        <w:ind w:firstLine="379"/>
        <w:jc w:val="both"/>
        <w:rPr>
          <w:rFonts w:ascii="David" w:eastAsia="Times New Roman" w:hAnsi="David" w:cs="David"/>
          <w:sz w:val="24"/>
          <w:szCs w:val="24"/>
          <w:rtl/>
        </w:rPr>
      </w:pPr>
      <w:r w:rsidRPr="004D70A9">
        <w:rPr>
          <w:rFonts w:ascii="David" w:eastAsia="Times New Roman" w:hAnsi="David" w:cs="David" w:hint="cs"/>
          <w:sz w:val="24"/>
          <w:szCs w:val="24"/>
          <w:rtl/>
        </w:rPr>
        <w:t xml:space="preserve">מחקר שערך אלעד דה-מלאך מחטיבת המחקר </w:t>
      </w:r>
      <w:r w:rsidR="005B3F5E" w:rsidRPr="004D70A9">
        <w:rPr>
          <w:rFonts w:ascii="David" w:eastAsia="Times New Roman" w:hAnsi="David" w:cs="David" w:hint="cs"/>
          <w:sz w:val="24"/>
          <w:szCs w:val="24"/>
          <w:rtl/>
        </w:rPr>
        <w:t xml:space="preserve">בבנק ישראל </w:t>
      </w:r>
      <w:r w:rsidRPr="004D70A9">
        <w:rPr>
          <w:rFonts w:ascii="David" w:eastAsia="Times New Roman" w:hAnsi="David" w:cs="David" w:hint="cs"/>
          <w:sz w:val="24"/>
          <w:szCs w:val="24"/>
          <w:rtl/>
        </w:rPr>
        <w:t xml:space="preserve">בוחן כיצד </w:t>
      </w:r>
      <w:r w:rsidR="00FB6DBE" w:rsidRPr="004D70A9">
        <w:rPr>
          <w:rFonts w:ascii="David" w:eastAsia="Times New Roman" w:hAnsi="David" w:cs="David" w:hint="cs"/>
          <w:sz w:val="24"/>
          <w:szCs w:val="24"/>
          <w:rtl/>
        </w:rPr>
        <w:t xml:space="preserve">פתיחה </w:t>
      </w:r>
      <w:r w:rsidRPr="004D70A9">
        <w:rPr>
          <w:rFonts w:ascii="David" w:eastAsia="Times New Roman" w:hAnsi="David" w:cs="David" w:hint="cs"/>
          <w:sz w:val="24"/>
          <w:szCs w:val="24"/>
          <w:rtl/>
        </w:rPr>
        <w:t xml:space="preserve">של בית ספר תיכון ביישוב המגורים של התלמיד </w:t>
      </w:r>
      <w:r w:rsidR="00C85DB2" w:rsidRPr="004D70A9">
        <w:rPr>
          <w:rFonts w:ascii="David" w:eastAsia="Times New Roman" w:hAnsi="David" w:cs="David" w:hint="cs"/>
          <w:sz w:val="24"/>
          <w:szCs w:val="24"/>
          <w:rtl/>
        </w:rPr>
        <w:t>ה</w:t>
      </w:r>
      <w:r w:rsidRPr="004D70A9">
        <w:rPr>
          <w:rFonts w:ascii="David" w:eastAsia="Times New Roman" w:hAnsi="David" w:cs="David" w:hint="cs"/>
          <w:sz w:val="24"/>
          <w:szCs w:val="24"/>
          <w:rtl/>
        </w:rPr>
        <w:t>שפיע</w:t>
      </w:r>
      <w:r w:rsidR="00FB6DBE" w:rsidRPr="004D70A9">
        <w:rPr>
          <w:rFonts w:ascii="David" w:eastAsia="Times New Roman" w:hAnsi="David" w:cs="David" w:hint="cs"/>
          <w:sz w:val="24"/>
          <w:szCs w:val="24"/>
          <w:rtl/>
        </w:rPr>
        <w:t>ה</w:t>
      </w:r>
      <w:r w:rsidRPr="004D70A9">
        <w:rPr>
          <w:rFonts w:ascii="David" w:eastAsia="Times New Roman" w:hAnsi="David" w:cs="David" w:hint="cs"/>
          <w:sz w:val="24"/>
          <w:szCs w:val="24"/>
          <w:rtl/>
        </w:rPr>
        <w:t xml:space="preserve"> על </w:t>
      </w:r>
      <w:r w:rsidR="00C85DB2" w:rsidRPr="004D70A9">
        <w:rPr>
          <w:rFonts w:ascii="David" w:eastAsia="Times New Roman" w:hAnsi="David" w:cs="David" w:hint="cs"/>
          <w:sz w:val="24"/>
          <w:szCs w:val="24"/>
          <w:rtl/>
        </w:rPr>
        <w:t>סיכוי</w:t>
      </w:r>
      <w:r w:rsidR="00F06F64" w:rsidRPr="004D70A9">
        <w:rPr>
          <w:rFonts w:ascii="David" w:eastAsia="Times New Roman" w:hAnsi="David" w:cs="David" w:hint="cs"/>
          <w:sz w:val="24"/>
          <w:szCs w:val="24"/>
          <w:rtl/>
        </w:rPr>
        <w:t>ו</w:t>
      </w:r>
      <w:r w:rsidR="00C85DB2" w:rsidRPr="004D70A9">
        <w:rPr>
          <w:rFonts w:ascii="David" w:eastAsia="Times New Roman" w:hAnsi="David" w:cs="David" w:hint="cs"/>
          <w:sz w:val="24"/>
          <w:szCs w:val="24"/>
          <w:rtl/>
        </w:rPr>
        <w:t xml:space="preserve"> לרכוש השכלה. </w:t>
      </w:r>
      <w:r w:rsidR="00520413" w:rsidRPr="004D70A9">
        <w:rPr>
          <w:rFonts w:ascii="David" w:eastAsia="Times New Roman" w:hAnsi="David" w:cs="David" w:hint="cs"/>
          <w:sz w:val="24"/>
          <w:szCs w:val="24"/>
          <w:rtl/>
        </w:rPr>
        <w:t xml:space="preserve">המחקר </w:t>
      </w:r>
      <w:r w:rsidR="00403FF0" w:rsidRPr="004D70A9">
        <w:rPr>
          <w:rFonts w:ascii="David" w:eastAsia="Times New Roman" w:hAnsi="David" w:cs="David" w:hint="cs"/>
          <w:sz w:val="24"/>
          <w:szCs w:val="24"/>
          <w:rtl/>
        </w:rPr>
        <w:t>נעזר בשונות</w:t>
      </w:r>
      <w:r w:rsidR="00520413" w:rsidRPr="004D70A9">
        <w:rPr>
          <w:rFonts w:ascii="David" w:eastAsia="Times New Roman" w:hAnsi="David" w:cs="David" w:hint="cs"/>
          <w:sz w:val="24"/>
          <w:szCs w:val="24"/>
          <w:rtl/>
        </w:rPr>
        <w:t xml:space="preserve"> </w:t>
      </w:r>
      <w:r w:rsidR="00FB6DBE" w:rsidRPr="004D70A9">
        <w:rPr>
          <w:rFonts w:ascii="David" w:eastAsia="Times New Roman" w:hAnsi="David" w:cs="David" w:hint="cs"/>
          <w:sz w:val="24"/>
          <w:szCs w:val="24"/>
          <w:rtl/>
        </w:rPr>
        <w:t>ב</w:t>
      </w:r>
      <w:r w:rsidR="00520413" w:rsidRPr="004D70A9">
        <w:rPr>
          <w:rFonts w:ascii="David" w:eastAsia="Times New Roman" w:hAnsi="David" w:cs="David" w:hint="cs"/>
          <w:sz w:val="24"/>
          <w:szCs w:val="24"/>
          <w:rtl/>
        </w:rPr>
        <w:t xml:space="preserve">מועדי הקמת בתי ספר תיכונים </w:t>
      </w:r>
      <w:r w:rsidR="00F06F64" w:rsidRPr="004D70A9">
        <w:rPr>
          <w:rFonts w:ascii="David" w:eastAsia="Times New Roman" w:hAnsi="David" w:cs="David" w:hint="cs"/>
          <w:sz w:val="24"/>
          <w:szCs w:val="24"/>
          <w:rtl/>
        </w:rPr>
        <w:t>ערבים</w:t>
      </w:r>
      <w:r w:rsidR="00520413" w:rsidRPr="004D70A9">
        <w:rPr>
          <w:rFonts w:ascii="David" w:eastAsia="Times New Roman" w:hAnsi="David" w:cs="David" w:hint="cs"/>
          <w:sz w:val="24"/>
          <w:szCs w:val="24"/>
          <w:rtl/>
        </w:rPr>
        <w:t xml:space="preserve"> ביישובים שונים ובשנים שונות </w:t>
      </w:r>
      <w:r w:rsidR="00A823CF" w:rsidRPr="004D70A9">
        <w:rPr>
          <w:rFonts w:ascii="David" w:eastAsia="Times New Roman" w:hAnsi="David" w:cs="David" w:hint="cs"/>
          <w:sz w:val="24"/>
          <w:szCs w:val="24"/>
          <w:rtl/>
        </w:rPr>
        <w:t>לבחינת ההשפעה</w:t>
      </w:r>
      <w:r w:rsidR="00520413" w:rsidRPr="004D70A9">
        <w:rPr>
          <w:rFonts w:ascii="David" w:eastAsia="Times New Roman" w:hAnsi="David" w:cs="David" w:hint="cs"/>
          <w:sz w:val="24"/>
          <w:szCs w:val="24"/>
          <w:rtl/>
        </w:rPr>
        <w:t xml:space="preserve"> של </w:t>
      </w:r>
      <w:r w:rsidR="005B3F5E" w:rsidRPr="004D70A9">
        <w:rPr>
          <w:rFonts w:ascii="David" w:eastAsia="Times New Roman" w:hAnsi="David" w:cs="David" w:hint="cs"/>
          <w:sz w:val="24"/>
          <w:szCs w:val="24"/>
          <w:rtl/>
        </w:rPr>
        <w:t xml:space="preserve">זמינות בתי ספר תיכון בישוב </w:t>
      </w:r>
      <w:r w:rsidR="00A823CF" w:rsidRPr="004D70A9">
        <w:rPr>
          <w:rFonts w:ascii="David" w:eastAsia="Times New Roman" w:hAnsi="David" w:cs="David" w:hint="cs"/>
          <w:sz w:val="24"/>
          <w:szCs w:val="24"/>
          <w:rtl/>
        </w:rPr>
        <w:t>על הסיכוי של בני נוער לסיים תיכון</w:t>
      </w:r>
      <w:r w:rsidR="005B3F5E" w:rsidRPr="004D70A9">
        <w:rPr>
          <w:rFonts w:ascii="David" w:eastAsia="Times New Roman" w:hAnsi="David" w:cs="David" w:hint="cs"/>
          <w:sz w:val="24"/>
          <w:szCs w:val="24"/>
          <w:rtl/>
        </w:rPr>
        <w:t>,</w:t>
      </w:r>
      <w:r w:rsidR="005B2214" w:rsidRPr="004D70A9">
        <w:rPr>
          <w:rFonts w:ascii="David" w:eastAsia="Times New Roman" w:hAnsi="David" w:cs="David" w:hint="cs"/>
          <w:sz w:val="24"/>
          <w:szCs w:val="24"/>
          <w:rtl/>
        </w:rPr>
        <w:t xml:space="preserve"> זאת</w:t>
      </w:r>
      <w:r w:rsidR="00520413" w:rsidRPr="004D70A9">
        <w:rPr>
          <w:rFonts w:ascii="David" w:eastAsia="Times New Roman" w:hAnsi="David" w:cs="David" w:hint="cs"/>
          <w:sz w:val="24"/>
          <w:szCs w:val="24"/>
          <w:rtl/>
        </w:rPr>
        <w:t xml:space="preserve"> תוך שימוש במסד נתונים רחב ו</w:t>
      </w:r>
      <w:r w:rsidR="00F06F64" w:rsidRPr="004D70A9">
        <w:rPr>
          <w:rFonts w:ascii="David" w:eastAsia="Times New Roman" w:hAnsi="David" w:cs="David" w:hint="cs"/>
          <w:sz w:val="24"/>
          <w:szCs w:val="24"/>
          <w:rtl/>
        </w:rPr>
        <w:t>ב</w:t>
      </w:r>
      <w:r w:rsidR="00520413" w:rsidRPr="004D70A9">
        <w:rPr>
          <w:rFonts w:ascii="David" w:eastAsia="Times New Roman" w:hAnsi="David" w:cs="David" w:hint="cs"/>
          <w:sz w:val="24"/>
          <w:szCs w:val="24"/>
          <w:rtl/>
        </w:rPr>
        <w:t>שיטות סטטיסטיות מתקדמ</w:t>
      </w:r>
      <w:r w:rsidR="00A823CF" w:rsidRPr="004D70A9">
        <w:rPr>
          <w:rFonts w:ascii="David" w:eastAsia="Times New Roman" w:hAnsi="David" w:cs="David" w:hint="cs"/>
          <w:sz w:val="24"/>
          <w:szCs w:val="24"/>
          <w:rtl/>
        </w:rPr>
        <w:t>ו</w:t>
      </w:r>
      <w:r w:rsidR="00520413" w:rsidRPr="004D70A9">
        <w:rPr>
          <w:rFonts w:ascii="David" w:eastAsia="Times New Roman" w:hAnsi="David" w:cs="David" w:hint="cs"/>
          <w:sz w:val="24"/>
          <w:szCs w:val="24"/>
          <w:rtl/>
        </w:rPr>
        <w:t xml:space="preserve">ת </w:t>
      </w:r>
      <w:r w:rsidR="005B3F5E" w:rsidRPr="004D70A9">
        <w:rPr>
          <w:rFonts w:ascii="David" w:eastAsia="Times New Roman" w:hAnsi="David" w:cs="David" w:hint="cs"/>
          <w:sz w:val="24"/>
          <w:szCs w:val="24"/>
          <w:rtl/>
        </w:rPr>
        <w:t xml:space="preserve">המאפשרות לזהות </w:t>
      </w:r>
      <w:r w:rsidR="00520413" w:rsidRPr="004D70A9">
        <w:rPr>
          <w:rFonts w:ascii="David" w:eastAsia="Times New Roman" w:hAnsi="David" w:cs="David" w:hint="cs"/>
          <w:sz w:val="24"/>
          <w:szCs w:val="24"/>
          <w:rtl/>
        </w:rPr>
        <w:t>את ההשפעה הסיבתית</w:t>
      </w:r>
      <w:r w:rsidR="005B3F5E" w:rsidRPr="004D70A9">
        <w:rPr>
          <w:rFonts w:ascii="David" w:eastAsia="Times New Roman" w:hAnsi="David" w:cs="David" w:hint="cs"/>
          <w:sz w:val="24"/>
          <w:szCs w:val="24"/>
          <w:rtl/>
        </w:rPr>
        <w:t xml:space="preserve"> </w:t>
      </w:r>
      <w:r w:rsidR="005B3F5E" w:rsidRPr="004D70A9">
        <w:rPr>
          <w:rFonts w:ascii="David" w:eastAsia="Times New Roman" w:hAnsi="David" w:cs="David" w:hint="eastAsia"/>
          <w:sz w:val="24"/>
          <w:szCs w:val="24"/>
          <w:rtl/>
        </w:rPr>
        <w:t>בין</w:t>
      </w:r>
      <w:r w:rsidR="005B3F5E" w:rsidRPr="004D70A9">
        <w:rPr>
          <w:rFonts w:ascii="David" w:eastAsia="Times New Roman" w:hAnsi="David" w:cs="David"/>
          <w:sz w:val="24"/>
          <w:szCs w:val="24"/>
          <w:rtl/>
        </w:rPr>
        <w:t xml:space="preserve"> השניים</w:t>
      </w:r>
      <w:r w:rsidR="00520413" w:rsidRPr="004D70A9">
        <w:rPr>
          <w:rFonts w:ascii="David" w:eastAsia="Times New Roman" w:hAnsi="David" w:cs="David" w:hint="cs"/>
          <w:sz w:val="24"/>
          <w:szCs w:val="24"/>
          <w:rtl/>
        </w:rPr>
        <w:t xml:space="preserve">. </w:t>
      </w:r>
      <w:r w:rsidRPr="004D70A9">
        <w:rPr>
          <w:rFonts w:ascii="David" w:eastAsia="Times New Roman" w:hAnsi="David" w:cs="David" w:hint="cs"/>
          <w:sz w:val="24"/>
          <w:szCs w:val="24"/>
          <w:rtl/>
        </w:rPr>
        <w:t xml:space="preserve">המחקר בוחן שתי </w:t>
      </w:r>
      <w:r w:rsidR="00403FF0" w:rsidRPr="004D70A9">
        <w:rPr>
          <w:rFonts w:ascii="David" w:eastAsia="Times New Roman" w:hAnsi="David" w:cs="David" w:hint="cs"/>
          <w:sz w:val="24"/>
          <w:szCs w:val="24"/>
          <w:rtl/>
        </w:rPr>
        <w:t>תקופות</w:t>
      </w:r>
      <w:r w:rsidRPr="004D70A9">
        <w:rPr>
          <w:rFonts w:ascii="David" w:eastAsia="Times New Roman" w:hAnsi="David" w:cs="David" w:hint="cs"/>
          <w:sz w:val="24"/>
          <w:szCs w:val="24"/>
          <w:rtl/>
        </w:rPr>
        <w:t xml:space="preserve"> היסטוריות שונות של הקמת בתי ספר תיכוניים. </w:t>
      </w:r>
      <w:r w:rsidR="0087512E" w:rsidRPr="004D70A9">
        <w:rPr>
          <w:rFonts w:ascii="David" w:eastAsia="Times New Roman" w:hAnsi="David" w:cs="David" w:hint="cs"/>
          <w:sz w:val="24"/>
          <w:szCs w:val="24"/>
          <w:rtl/>
        </w:rPr>
        <w:t>(1) פתיחת</w:t>
      </w:r>
      <w:r w:rsidRPr="004D70A9">
        <w:rPr>
          <w:rFonts w:ascii="David" w:eastAsia="Times New Roman" w:hAnsi="David" w:cs="David" w:hint="cs"/>
          <w:sz w:val="24"/>
          <w:szCs w:val="24"/>
          <w:rtl/>
        </w:rPr>
        <w:t xml:space="preserve"> בתי ספר תיכוניים </w:t>
      </w:r>
      <w:r w:rsidR="005B3F5E" w:rsidRPr="004D70A9">
        <w:rPr>
          <w:rFonts w:ascii="David" w:eastAsia="Times New Roman" w:hAnsi="David" w:cs="David" w:hint="cs"/>
          <w:sz w:val="24"/>
          <w:szCs w:val="24"/>
          <w:rtl/>
        </w:rPr>
        <w:t>ביישובים ה</w:t>
      </w:r>
      <w:r w:rsidRPr="004D70A9">
        <w:rPr>
          <w:rFonts w:ascii="David" w:eastAsia="Times New Roman" w:hAnsi="David" w:cs="David" w:hint="cs"/>
          <w:sz w:val="24"/>
          <w:szCs w:val="24"/>
          <w:rtl/>
        </w:rPr>
        <w:t>ערביי</w:t>
      </w:r>
      <w:r w:rsidR="005B3F5E" w:rsidRPr="004D70A9">
        <w:rPr>
          <w:rFonts w:ascii="David" w:eastAsia="Times New Roman" w:hAnsi="David" w:cs="David" w:hint="cs"/>
          <w:sz w:val="24"/>
          <w:szCs w:val="24"/>
          <w:rtl/>
        </w:rPr>
        <w:t>ם</w:t>
      </w:r>
      <w:r w:rsidRPr="004D70A9">
        <w:rPr>
          <w:rFonts w:ascii="David" w:eastAsia="Times New Roman" w:hAnsi="David" w:cs="David" w:hint="cs"/>
          <w:sz w:val="24"/>
          <w:szCs w:val="24"/>
          <w:rtl/>
        </w:rPr>
        <w:t xml:space="preserve"> </w:t>
      </w:r>
      <w:r w:rsidR="005B3F5E" w:rsidRPr="004D70A9">
        <w:rPr>
          <w:rFonts w:ascii="David" w:eastAsia="Times New Roman" w:hAnsi="David" w:cs="David" w:hint="cs"/>
          <w:sz w:val="24"/>
          <w:szCs w:val="24"/>
          <w:rtl/>
        </w:rPr>
        <w:t>ב</w:t>
      </w:r>
      <w:r w:rsidRPr="004D70A9">
        <w:rPr>
          <w:rFonts w:ascii="David" w:eastAsia="Times New Roman" w:hAnsi="David" w:cs="David" w:hint="cs"/>
          <w:sz w:val="24"/>
          <w:szCs w:val="24"/>
          <w:rtl/>
        </w:rPr>
        <w:t>צפון ו</w:t>
      </w:r>
      <w:r w:rsidR="005B3F5E" w:rsidRPr="004D70A9">
        <w:rPr>
          <w:rFonts w:ascii="David" w:eastAsia="Times New Roman" w:hAnsi="David" w:cs="David" w:hint="cs"/>
          <w:sz w:val="24"/>
          <w:szCs w:val="24"/>
          <w:rtl/>
        </w:rPr>
        <w:t>ב</w:t>
      </w:r>
      <w:r w:rsidRPr="004D70A9">
        <w:rPr>
          <w:rFonts w:ascii="David" w:eastAsia="Times New Roman" w:hAnsi="David" w:cs="David" w:hint="cs"/>
          <w:sz w:val="24"/>
          <w:szCs w:val="24"/>
          <w:rtl/>
        </w:rPr>
        <w:t xml:space="preserve">מרכז בשנים </w:t>
      </w:r>
      <w:r w:rsidR="00A823CF" w:rsidRPr="004D70A9">
        <w:rPr>
          <w:rFonts w:ascii="David" w:eastAsia="Times New Roman" w:hAnsi="David" w:cs="David" w:hint="cs"/>
          <w:sz w:val="24"/>
          <w:szCs w:val="24"/>
          <w:rtl/>
        </w:rPr>
        <w:t>1995-1972</w:t>
      </w:r>
      <w:r w:rsidR="00F06F64" w:rsidRPr="004D70A9">
        <w:rPr>
          <w:rFonts w:ascii="David" w:eastAsia="Times New Roman" w:hAnsi="David" w:cs="David" w:hint="cs"/>
          <w:sz w:val="24"/>
          <w:szCs w:val="24"/>
          <w:rtl/>
        </w:rPr>
        <w:t>;</w:t>
      </w:r>
      <w:r w:rsidR="0087512E" w:rsidRPr="004D70A9">
        <w:rPr>
          <w:rFonts w:ascii="David" w:eastAsia="Times New Roman" w:hAnsi="David" w:cs="David" w:hint="cs"/>
          <w:sz w:val="24"/>
          <w:szCs w:val="24"/>
          <w:rtl/>
        </w:rPr>
        <w:t xml:space="preserve"> (2) </w:t>
      </w:r>
      <w:r w:rsidRPr="004D70A9">
        <w:rPr>
          <w:rFonts w:ascii="David" w:eastAsia="Times New Roman" w:hAnsi="David" w:cs="David" w:hint="cs"/>
          <w:sz w:val="24"/>
          <w:szCs w:val="24"/>
          <w:rtl/>
        </w:rPr>
        <w:t xml:space="preserve"> הקמה של בתי ספר ביישובים בדואים בנגב בשנים </w:t>
      </w:r>
      <w:r w:rsidR="00A823CF" w:rsidRPr="004D70A9">
        <w:rPr>
          <w:rFonts w:ascii="David" w:eastAsia="Times New Roman" w:hAnsi="David" w:cs="David" w:hint="cs"/>
          <w:sz w:val="24"/>
          <w:szCs w:val="24"/>
          <w:rtl/>
        </w:rPr>
        <w:t>2014-2007</w:t>
      </w:r>
      <w:r w:rsidRPr="004D70A9">
        <w:rPr>
          <w:rFonts w:ascii="David" w:eastAsia="Times New Roman" w:hAnsi="David" w:cs="David" w:hint="cs"/>
          <w:sz w:val="24"/>
          <w:szCs w:val="24"/>
          <w:rtl/>
        </w:rPr>
        <w:t>.</w:t>
      </w:r>
    </w:p>
    <w:p w14:paraId="0273B3E3" w14:textId="28A791B7" w:rsidR="00BC30B2" w:rsidRPr="004D70A9" w:rsidRDefault="00F06F64" w:rsidP="00613F6C">
      <w:pPr>
        <w:bidi/>
        <w:spacing w:after="0" w:line="450" w:lineRule="atLeast"/>
        <w:ind w:firstLine="379"/>
        <w:jc w:val="both"/>
        <w:rPr>
          <w:rFonts w:ascii="David" w:eastAsia="Times New Roman" w:hAnsi="David" w:cs="David"/>
          <w:sz w:val="24"/>
          <w:szCs w:val="24"/>
          <w:rtl/>
        </w:rPr>
      </w:pPr>
      <w:r w:rsidRPr="004D70A9">
        <w:rPr>
          <w:rFonts w:ascii="David" w:eastAsia="Times New Roman" w:hAnsi="David" w:cs="David" w:hint="cs"/>
          <w:sz w:val="24"/>
          <w:szCs w:val="24"/>
          <w:rtl/>
        </w:rPr>
        <w:lastRenderedPageBreak/>
        <w:t>במחקר נמצא</w:t>
      </w:r>
      <w:r w:rsidR="005B2214" w:rsidRPr="004D70A9">
        <w:rPr>
          <w:rFonts w:ascii="David" w:eastAsia="Times New Roman" w:hAnsi="David" w:cs="David" w:hint="cs"/>
          <w:sz w:val="24"/>
          <w:szCs w:val="24"/>
          <w:rtl/>
        </w:rPr>
        <w:t xml:space="preserve"> כי</w:t>
      </w:r>
      <w:r w:rsidR="00C85DB2" w:rsidRPr="004D70A9">
        <w:rPr>
          <w:rFonts w:ascii="David" w:eastAsia="Times New Roman" w:hAnsi="David" w:cs="David" w:hint="cs"/>
          <w:sz w:val="24"/>
          <w:szCs w:val="24"/>
          <w:rtl/>
        </w:rPr>
        <w:t xml:space="preserve"> פתיחת בית ספר תיכון מקומי העל</w:t>
      </w:r>
      <w:r w:rsidR="008B382D" w:rsidRPr="004D70A9">
        <w:rPr>
          <w:rFonts w:ascii="David" w:eastAsia="Times New Roman" w:hAnsi="David" w:cs="David" w:hint="cs"/>
          <w:sz w:val="24"/>
          <w:szCs w:val="24"/>
          <w:rtl/>
        </w:rPr>
        <w:t>ת</w:t>
      </w:r>
      <w:r w:rsidR="00C85DB2" w:rsidRPr="004D70A9">
        <w:rPr>
          <w:rFonts w:ascii="David" w:eastAsia="Times New Roman" w:hAnsi="David" w:cs="David" w:hint="cs"/>
          <w:sz w:val="24"/>
          <w:szCs w:val="24"/>
          <w:rtl/>
        </w:rPr>
        <w:t>ה את שיעור בעלי 12 שנות לימוד ביישוב ב</w:t>
      </w:r>
      <w:r w:rsidR="00A823CF" w:rsidRPr="004D70A9">
        <w:rPr>
          <w:rFonts w:ascii="David" w:eastAsia="Times New Roman" w:hAnsi="David" w:cs="David" w:hint="cs"/>
          <w:sz w:val="24"/>
          <w:szCs w:val="24"/>
          <w:rtl/>
        </w:rPr>
        <w:t>-7-5</w:t>
      </w:r>
      <w:r w:rsidR="00C85DB2" w:rsidRPr="004D70A9">
        <w:rPr>
          <w:rFonts w:ascii="David" w:eastAsia="Times New Roman" w:hAnsi="David" w:cs="David" w:hint="cs"/>
          <w:sz w:val="24"/>
          <w:szCs w:val="24"/>
          <w:rtl/>
        </w:rPr>
        <w:t xml:space="preserve"> נקודות אחוז</w:t>
      </w:r>
      <w:r w:rsidR="00713154" w:rsidRPr="004D70A9">
        <w:rPr>
          <w:rFonts w:ascii="David" w:eastAsia="Times New Roman" w:hAnsi="David" w:cs="David" w:hint="cs"/>
          <w:sz w:val="24"/>
          <w:szCs w:val="24"/>
          <w:rtl/>
        </w:rPr>
        <w:t xml:space="preserve"> (איור 2)</w:t>
      </w:r>
      <w:r w:rsidR="00C85DB2" w:rsidRPr="004D70A9">
        <w:rPr>
          <w:rFonts w:ascii="David" w:eastAsia="Times New Roman" w:hAnsi="David" w:cs="David" w:hint="cs"/>
          <w:sz w:val="24"/>
          <w:szCs w:val="24"/>
          <w:rtl/>
        </w:rPr>
        <w:t>.</w:t>
      </w:r>
      <w:r w:rsidR="00FB6DBE" w:rsidRPr="004D70A9">
        <w:rPr>
          <w:rStyle w:val="a4"/>
          <w:rFonts w:ascii="David" w:eastAsia="Times New Roman" w:hAnsi="David" w:cs="David"/>
          <w:sz w:val="24"/>
          <w:szCs w:val="24"/>
          <w:vertAlign w:val="superscript"/>
          <w:rtl/>
        </w:rPr>
        <w:footnoteReference w:id="1"/>
      </w:r>
      <w:r w:rsidR="00C85DB2" w:rsidRPr="004D70A9">
        <w:rPr>
          <w:rFonts w:ascii="David" w:eastAsia="Times New Roman" w:hAnsi="David" w:cs="David" w:hint="cs"/>
          <w:sz w:val="24"/>
          <w:szCs w:val="24"/>
          <w:rtl/>
        </w:rPr>
        <w:t xml:space="preserve"> </w:t>
      </w:r>
      <w:r w:rsidR="005B3F5E" w:rsidRPr="004D70A9">
        <w:rPr>
          <w:rFonts w:ascii="David" w:eastAsia="Times New Roman" w:hAnsi="David" w:cs="David" w:hint="cs"/>
          <w:sz w:val="24"/>
          <w:szCs w:val="24"/>
          <w:rtl/>
        </w:rPr>
        <w:t xml:space="preserve">ההשפעה </w:t>
      </w:r>
      <w:r w:rsidR="00233981" w:rsidRPr="004D70A9">
        <w:rPr>
          <w:rFonts w:ascii="David" w:eastAsia="Times New Roman" w:hAnsi="David" w:cs="David" w:hint="cs"/>
          <w:sz w:val="24"/>
          <w:szCs w:val="24"/>
          <w:rtl/>
        </w:rPr>
        <w:t>נמצא</w:t>
      </w:r>
      <w:r w:rsidR="005B3F5E" w:rsidRPr="004D70A9">
        <w:rPr>
          <w:rFonts w:ascii="David" w:eastAsia="Times New Roman" w:hAnsi="David" w:cs="David" w:hint="cs"/>
          <w:sz w:val="24"/>
          <w:szCs w:val="24"/>
          <w:rtl/>
        </w:rPr>
        <w:t>ה</w:t>
      </w:r>
      <w:r w:rsidR="00233981" w:rsidRPr="004D70A9">
        <w:rPr>
          <w:rFonts w:ascii="David" w:eastAsia="Times New Roman" w:hAnsi="David" w:cs="David" w:hint="cs"/>
          <w:sz w:val="24"/>
          <w:szCs w:val="24"/>
          <w:rtl/>
        </w:rPr>
        <w:t xml:space="preserve"> באמידות נפרדות הן</w:t>
      </w:r>
      <w:r w:rsidRPr="004D70A9">
        <w:rPr>
          <w:rFonts w:ascii="David" w:eastAsia="Times New Roman" w:hAnsi="David" w:cs="David" w:hint="cs"/>
          <w:sz w:val="24"/>
          <w:szCs w:val="24"/>
          <w:rtl/>
        </w:rPr>
        <w:t xml:space="preserve"> </w:t>
      </w:r>
      <w:r w:rsidR="00C85DB2" w:rsidRPr="004D70A9">
        <w:rPr>
          <w:rFonts w:ascii="David" w:eastAsia="Times New Roman" w:hAnsi="David" w:cs="David" w:hint="cs"/>
          <w:sz w:val="24"/>
          <w:szCs w:val="24"/>
          <w:rtl/>
        </w:rPr>
        <w:t xml:space="preserve">בקרב ערביי הצפון והמרכז, </w:t>
      </w:r>
      <w:r w:rsidR="00233981" w:rsidRPr="004D70A9">
        <w:rPr>
          <w:rFonts w:ascii="David" w:eastAsia="Times New Roman" w:hAnsi="David" w:cs="David" w:hint="cs"/>
          <w:sz w:val="24"/>
          <w:szCs w:val="24"/>
          <w:rtl/>
        </w:rPr>
        <w:t xml:space="preserve">והן </w:t>
      </w:r>
      <w:r w:rsidR="00C85DB2" w:rsidRPr="004D70A9">
        <w:rPr>
          <w:rFonts w:ascii="David" w:eastAsia="Times New Roman" w:hAnsi="David" w:cs="David" w:hint="cs"/>
          <w:sz w:val="24"/>
          <w:szCs w:val="24"/>
          <w:rtl/>
        </w:rPr>
        <w:t xml:space="preserve">בקרב הבדואים בנגב. </w:t>
      </w:r>
      <w:r w:rsidR="00233981" w:rsidRPr="004D70A9">
        <w:rPr>
          <w:rFonts w:ascii="David" w:eastAsia="Times New Roman" w:hAnsi="David" w:cs="David" w:hint="cs"/>
          <w:sz w:val="24"/>
          <w:szCs w:val="24"/>
          <w:rtl/>
        </w:rPr>
        <w:t>ה</w:t>
      </w:r>
      <w:r w:rsidR="00C85DB2" w:rsidRPr="004D70A9">
        <w:rPr>
          <w:rFonts w:ascii="David" w:eastAsia="Times New Roman" w:hAnsi="David" w:cs="David" w:hint="cs"/>
          <w:sz w:val="24"/>
          <w:szCs w:val="24"/>
          <w:rtl/>
        </w:rPr>
        <w:t xml:space="preserve">השפעה </w:t>
      </w:r>
      <w:r w:rsidR="00233981" w:rsidRPr="004D70A9">
        <w:rPr>
          <w:rFonts w:ascii="David" w:eastAsia="Times New Roman" w:hAnsi="David" w:cs="David" w:hint="cs"/>
          <w:sz w:val="24"/>
          <w:szCs w:val="24"/>
          <w:rtl/>
        </w:rPr>
        <w:t xml:space="preserve">של פתיחת בית ספר תיכון </w:t>
      </w:r>
      <w:r w:rsidR="00C85DB2" w:rsidRPr="004D70A9">
        <w:rPr>
          <w:rFonts w:ascii="David" w:eastAsia="Times New Roman" w:hAnsi="David" w:cs="David" w:hint="cs"/>
          <w:sz w:val="24"/>
          <w:szCs w:val="24"/>
          <w:rtl/>
        </w:rPr>
        <w:t xml:space="preserve">הולכת וגוברת ככל שהיישוב היה מרוחק יותר מבתי ספר אחרים </w:t>
      </w:r>
      <w:r w:rsidR="00233981" w:rsidRPr="004D70A9">
        <w:rPr>
          <w:rFonts w:ascii="David" w:eastAsia="Times New Roman" w:hAnsi="David" w:cs="David" w:hint="cs"/>
          <w:sz w:val="24"/>
          <w:szCs w:val="24"/>
          <w:rtl/>
        </w:rPr>
        <w:t xml:space="preserve">טרם </w:t>
      </w:r>
      <w:r w:rsidR="00C85DB2" w:rsidRPr="004D70A9">
        <w:rPr>
          <w:rFonts w:ascii="David" w:eastAsia="Times New Roman" w:hAnsi="David" w:cs="David" w:hint="cs"/>
          <w:sz w:val="24"/>
          <w:szCs w:val="24"/>
          <w:rtl/>
        </w:rPr>
        <w:t xml:space="preserve">הקמת התיכון המקומי. המחקר גם מוצא השפעות חיוביות בהיבטים נוספים. בפרט, בקרב ערביי הצפון והמרכז נרשמה עלייה </w:t>
      </w:r>
      <w:r w:rsidR="004B1EEB" w:rsidRPr="004D70A9">
        <w:rPr>
          <w:rFonts w:ascii="David" w:eastAsia="Times New Roman" w:hAnsi="David" w:cs="David" w:hint="cs"/>
          <w:sz w:val="24"/>
          <w:szCs w:val="24"/>
          <w:rtl/>
        </w:rPr>
        <w:t>כ-6%</w:t>
      </w:r>
      <w:r w:rsidR="00DF61A7" w:rsidRPr="004D70A9">
        <w:rPr>
          <w:rFonts w:ascii="David" w:eastAsia="Times New Roman" w:hAnsi="David" w:cs="David" w:hint="cs"/>
          <w:sz w:val="24"/>
          <w:szCs w:val="24"/>
          <w:rtl/>
        </w:rPr>
        <w:t xml:space="preserve"> </w:t>
      </w:r>
      <w:r w:rsidR="004B1EEB" w:rsidRPr="004D70A9">
        <w:rPr>
          <w:rFonts w:ascii="David" w:eastAsia="Times New Roman" w:hAnsi="David" w:cs="David" w:hint="cs"/>
          <w:sz w:val="24"/>
          <w:szCs w:val="24"/>
          <w:rtl/>
        </w:rPr>
        <w:t xml:space="preserve">בהיקף בעלי השכלה על-תיכונית, </w:t>
      </w:r>
      <w:r w:rsidR="00C85DB2" w:rsidRPr="004D70A9">
        <w:rPr>
          <w:rFonts w:ascii="David" w:eastAsia="Times New Roman" w:hAnsi="David" w:cs="David" w:hint="cs"/>
          <w:sz w:val="24"/>
          <w:szCs w:val="24"/>
          <w:rtl/>
        </w:rPr>
        <w:t>וכן בתעסוקה ובהכנסה של נשים</w:t>
      </w:r>
      <w:r w:rsidR="00DF61A7" w:rsidRPr="004D70A9">
        <w:rPr>
          <w:rFonts w:ascii="David" w:eastAsia="Times New Roman" w:hAnsi="David" w:cs="David" w:hint="cs"/>
          <w:sz w:val="24"/>
          <w:szCs w:val="24"/>
          <w:rtl/>
        </w:rPr>
        <w:t xml:space="preserve"> (</w:t>
      </w:r>
      <w:r w:rsidR="004B1EEB" w:rsidRPr="004D70A9">
        <w:rPr>
          <w:rFonts w:ascii="David" w:eastAsia="Times New Roman" w:hAnsi="David" w:cs="David"/>
          <w:sz w:val="24"/>
          <w:szCs w:val="24"/>
        </w:rPr>
        <w:t>7%</w:t>
      </w:r>
      <w:r w:rsidR="004B1EEB" w:rsidRPr="004D70A9">
        <w:rPr>
          <w:rFonts w:ascii="David" w:eastAsia="Times New Roman" w:hAnsi="David" w:cs="David" w:hint="cs"/>
          <w:sz w:val="24"/>
          <w:szCs w:val="24"/>
          <w:rtl/>
        </w:rPr>
        <w:t xml:space="preserve"> ו-11% בהתאמה)</w:t>
      </w:r>
      <w:r w:rsidR="00C85DB2" w:rsidRPr="004D70A9">
        <w:rPr>
          <w:rFonts w:ascii="David" w:eastAsia="Times New Roman" w:hAnsi="David" w:cs="David" w:hint="cs"/>
          <w:sz w:val="24"/>
          <w:szCs w:val="24"/>
          <w:rtl/>
        </w:rPr>
        <w:t xml:space="preserve">. בקרב הבדואים בנגב, נמצאה עלייה בזכאות לבגרות, וירידה בסיכוי לפתיחת תיק פלילי בקרב בני נוער, במיוחד </w:t>
      </w:r>
      <w:r w:rsidR="00613F6C" w:rsidRPr="004D70A9">
        <w:rPr>
          <w:rFonts w:ascii="David" w:eastAsia="Times New Roman" w:hAnsi="David" w:cs="David" w:hint="cs"/>
          <w:sz w:val="24"/>
          <w:szCs w:val="24"/>
          <w:rtl/>
        </w:rPr>
        <w:t xml:space="preserve">בגין </w:t>
      </w:r>
      <w:r w:rsidR="00C85DB2" w:rsidRPr="004D70A9">
        <w:rPr>
          <w:rFonts w:ascii="David" w:eastAsia="Times New Roman" w:hAnsi="David" w:cs="David" w:hint="cs"/>
          <w:sz w:val="24"/>
          <w:szCs w:val="24"/>
          <w:rtl/>
        </w:rPr>
        <w:t xml:space="preserve">עבירות רכוש. ממצאים אלו מצביעים על חשיבותו של החסם הגיאוגרפי להשכלה תיכונית בחברה הערבית, </w:t>
      </w:r>
      <w:r w:rsidRPr="004D70A9">
        <w:rPr>
          <w:rFonts w:ascii="David" w:eastAsia="Times New Roman" w:hAnsi="David" w:cs="David" w:hint="cs"/>
          <w:sz w:val="24"/>
          <w:szCs w:val="24"/>
          <w:rtl/>
        </w:rPr>
        <w:t xml:space="preserve">שכיום הוא ניכר בעיקר בחברה הבדואית בנגב, </w:t>
      </w:r>
      <w:r w:rsidR="00C85DB2" w:rsidRPr="004D70A9">
        <w:rPr>
          <w:rFonts w:ascii="David" w:eastAsia="Times New Roman" w:hAnsi="David" w:cs="David" w:hint="cs"/>
          <w:sz w:val="24"/>
          <w:szCs w:val="24"/>
          <w:rtl/>
        </w:rPr>
        <w:t>ושהגדלת הזמינות</w:t>
      </w:r>
      <w:r w:rsidRPr="004D70A9">
        <w:rPr>
          <w:rFonts w:ascii="David" w:eastAsia="Times New Roman" w:hAnsi="David" w:cs="David" w:hint="cs"/>
          <w:sz w:val="24"/>
          <w:szCs w:val="24"/>
          <w:rtl/>
        </w:rPr>
        <w:t xml:space="preserve"> הגיאוגרפית</w:t>
      </w:r>
      <w:r w:rsidR="00C85DB2" w:rsidRPr="004D70A9">
        <w:rPr>
          <w:rFonts w:ascii="David" w:eastAsia="Times New Roman" w:hAnsi="David" w:cs="David" w:hint="cs"/>
          <w:sz w:val="24"/>
          <w:szCs w:val="24"/>
          <w:rtl/>
        </w:rPr>
        <w:t xml:space="preserve"> של </w:t>
      </w:r>
      <w:r w:rsidR="00713154" w:rsidRPr="004D70A9">
        <w:rPr>
          <w:rFonts w:ascii="David" w:eastAsia="Times New Roman" w:hAnsi="David" w:cs="David" w:hint="cs"/>
          <w:sz w:val="24"/>
          <w:szCs w:val="24"/>
          <w:rtl/>
        </w:rPr>
        <w:t xml:space="preserve">בתי ספר התיכוניים עשויה להועיל </w:t>
      </w:r>
      <w:r w:rsidR="00ED0EC4" w:rsidRPr="004D70A9">
        <w:rPr>
          <w:rFonts w:ascii="David" w:eastAsia="Times New Roman" w:hAnsi="David" w:cs="David" w:hint="cs"/>
          <w:sz w:val="24"/>
          <w:szCs w:val="24"/>
          <w:rtl/>
        </w:rPr>
        <w:t xml:space="preserve">ביישובים אלו </w:t>
      </w:r>
      <w:r w:rsidR="00713154" w:rsidRPr="004D70A9">
        <w:rPr>
          <w:rFonts w:ascii="David" w:eastAsia="Times New Roman" w:hAnsi="David" w:cs="David" w:hint="cs"/>
          <w:sz w:val="24"/>
          <w:szCs w:val="24"/>
          <w:rtl/>
        </w:rPr>
        <w:t>במגוון היבטים.</w:t>
      </w:r>
    </w:p>
    <w:p w14:paraId="2BC8B9EC" w14:textId="77777777" w:rsidR="00FB6DBE" w:rsidRPr="004D70A9" w:rsidRDefault="00FB6DBE" w:rsidP="003C54C7">
      <w:pPr>
        <w:bidi/>
        <w:spacing w:after="0" w:line="450" w:lineRule="atLeast"/>
        <w:ind w:firstLine="379"/>
        <w:jc w:val="both"/>
        <w:rPr>
          <w:rFonts w:ascii="David" w:eastAsia="Times New Roman" w:hAnsi="David" w:cs="David" w:hint="cs"/>
          <w:sz w:val="24"/>
          <w:szCs w:val="24"/>
          <w:rtl/>
        </w:rPr>
      </w:pPr>
    </w:p>
    <w:p w14:paraId="4E915DE4" w14:textId="77777777" w:rsidR="00313D90" w:rsidRPr="004D70A9" w:rsidRDefault="00313D90" w:rsidP="00301A87">
      <w:pPr>
        <w:pStyle w:val="af5"/>
      </w:pPr>
      <w:r w:rsidRPr="004D70A9">
        <w:rPr>
          <w:rtl/>
        </w:rPr>
        <w:t xml:space="preserve">איור </w:t>
      </w:r>
      <w:r w:rsidR="00DF61A7" w:rsidRPr="004D70A9">
        <w:rPr>
          <w:rFonts w:hint="cs"/>
          <w:rtl/>
        </w:rPr>
        <w:t>1</w:t>
      </w:r>
      <w:r w:rsidRPr="004D70A9">
        <w:rPr>
          <w:rtl/>
        </w:rPr>
        <w:t>: יישובים ערבים עם תיכון</w:t>
      </w:r>
    </w:p>
    <w:tbl>
      <w:tblPr>
        <w:tblStyle w:val="a5"/>
        <w:tblW w:w="13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איור 1: יישובים ערבים עם תיכון"/>
        <w:tblDescription w:val="איור 1: יישובים ערבים עם תיכון"/>
      </w:tblPr>
      <w:tblGrid>
        <w:gridCol w:w="4531"/>
        <w:gridCol w:w="4531"/>
        <w:gridCol w:w="4531"/>
      </w:tblGrid>
      <w:tr w:rsidR="004D70A9" w:rsidRPr="004D70A9" w14:paraId="1503C72A" w14:textId="3BA81A4A" w:rsidTr="004D70A9">
        <w:trPr>
          <w:trHeight w:val="342"/>
        </w:trPr>
        <w:tc>
          <w:tcPr>
            <w:tcW w:w="4531" w:type="dxa"/>
          </w:tcPr>
          <w:p w14:paraId="39CBC56D" w14:textId="77777777" w:rsidR="004D70A9" w:rsidRPr="004D70A9" w:rsidRDefault="004D70A9" w:rsidP="00301A87">
            <w:pPr>
              <w:pStyle w:val="a"/>
              <w:numPr>
                <w:ilvl w:val="0"/>
                <w:numId w:val="0"/>
              </w:numPr>
              <w:ind w:left="1080" w:hanging="360"/>
              <w:rPr>
                <w:rtl/>
              </w:rPr>
            </w:pPr>
            <w:r w:rsidRPr="004D70A9">
              <w:rPr>
                <w:rtl/>
              </w:rPr>
              <w:t>ב. שיעור היישובים עם ב</w:t>
            </w:r>
            <w:r w:rsidRPr="004D70A9">
              <w:rPr>
                <w:rFonts w:hint="cs"/>
                <w:rtl/>
              </w:rPr>
              <w:t xml:space="preserve">י"ס </w:t>
            </w:r>
            <w:r w:rsidRPr="004D70A9">
              <w:rPr>
                <w:rtl/>
              </w:rPr>
              <w:t>תיכון</w:t>
            </w:r>
          </w:p>
        </w:tc>
        <w:tc>
          <w:tcPr>
            <w:tcW w:w="4531" w:type="dxa"/>
          </w:tcPr>
          <w:p w14:paraId="5961B904" w14:textId="77777777" w:rsidR="004D70A9" w:rsidRPr="004D70A9" w:rsidRDefault="004D70A9" w:rsidP="00301A87">
            <w:pPr>
              <w:pStyle w:val="a"/>
            </w:pPr>
            <w:r w:rsidRPr="004D70A9">
              <w:rPr>
                <w:rtl/>
              </w:rPr>
              <w:t xml:space="preserve">מספר היישובים עם </w:t>
            </w:r>
            <w:r w:rsidRPr="004D70A9">
              <w:rPr>
                <w:rFonts w:hint="cs"/>
                <w:rtl/>
              </w:rPr>
              <w:t>בי"ס</w:t>
            </w:r>
            <w:r w:rsidRPr="004D70A9">
              <w:rPr>
                <w:rtl/>
              </w:rPr>
              <w:t xml:space="preserve"> תיכון</w:t>
            </w:r>
          </w:p>
        </w:tc>
        <w:tc>
          <w:tcPr>
            <w:tcW w:w="4531" w:type="dxa"/>
          </w:tcPr>
          <w:p w14:paraId="3B054B1F" w14:textId="77777777" w:rsidR="004D70A9" w:rsidRPr="004D70A9" w:rsidRDefault="004D70A9" w:rsidP="00301A87">
            <w:pPr>
              <w:pStyle w:val="a"/>
              <w:rPr>
                <w:rtl/>
              </w:rPr>
            </w:pPr>
          </w:p>
        </w:tc>
      </w:tr>
      <w:tr w:rsidR="004D70A9" w:rsidRPr="004D70A9" w14:paraId="235C309B" w14:textId="551FAD9E" w:rsidTr="004D70A9">
        <w:trPr>
          <w:trHeight w:val="342"/>
        </w:trPr>
        <w:tc>
          <w:tcPr>
            <w:tcW w:w="4531" w:type="dxa"/>
          </w:tcPr>
          <w:p w14:paraId="4CFC61A3" w14:textId="77777777" w:rsidR="004D70A9" w:rsidRPr="004D70A9" w:rsidRDefault="004D70A9" w:rsidP="00D84025">
            <w:pPr>
              <w:spacing w:line="276" w:lineRule="auto"/>
              <w:ind w:right="-23"/>
              <w:jc w:val="both"/>
              <w:rPr>
                <w:rFonts w:asciiTheme="majorBidi" w:eastAsia="Calibri" w:hAnsiTheme="majorBidi" w:cstheme="majorBidi"/>
                <w:b/>
                <w:bCs/>
              </w:rPr>
            </w:pPr>
            <w:r w:rsidRPr="004D70A9">
              <w:rPr>
                <w:rFonts w:asciiTheme="majorBidi" w:eastAsia="Calibri" w:hAnsiTheme="majorBidi" w:cstheme="majorBidi"/>
                <w:b/>
                <w:bCs/>
                <w:noProof/>
              </w:rPr>
              <w:drawing>
                <wp:inline distT="0" distB="0" distL="0" distR="0" wp14:anchorId="05A07B3A" wp14:editId="5F2B0E2D">
                  <wp:extent cx="2516505" cy="3597275"/>
                  <wp:effectExtent l="0" t="0" r="0" b="3175"/>
                  <wp:docPr id="5" name="Picture 5" descr="באיור זה רואים עלייה רציפה בשיעור הייישובים הערבים עם בתי ספר תיכוניים מאז קטום המדינה ועד היום. בעוד שב-1948 רק 10% מהערבים חיו ביישוב עם בית ספר תיכון, כיום כ-95% מהערבים חיים ביישוב עם תיכ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6505" cy="3597275"/>
                          </a:xfrm>
                          <a:prstGeom prst="rect">
                            <a:avLst/>
                          </a:prstGeom>
                          <a:noFill/>
                          <a:ln>
                            <a:noFill/>
                          </a:ln>
                        </pic:spPr>
                      </pic:pic>
                    </a:graphicData>
                  </a:graphic>
                </wp:inline>
              </w:drawing>
            </w:r>
          </w:p>
        </w:tc>
        <w:tc>
          <w:tcPr>
            <w:tcW w:w="4531" w:type="dxa"/>
          </w:tcPr>
          <w:p w14:paraId="093A79B8" w14:textId="77777777" w:rsidR="004D70A9" w:rsidRPr="004D70A9" w:rsidRDefault="004D70A9" w:rsidP="00D84025">
            <w:pPr>
              <w:spacing w:line="276" w:lineRule="auto"/>
              <w:ind w:right="-23"/>
              <w:jc w:val="both"/>
              <w:rPr>
                <w:rFonts w:asciiTheme="majorBidi" w:eastAsia="Calibri" w:hAnsiTheme="majorBidi" w:cstheme="majorBidi"/>
                <w:b/>
                <w:bCs/>
              </w:rPr>
            </w:pPr>
            <w:r w:rsidRPr="004D70A9">
              <w:rPr>
                <w:rFonts w:asciiTheme="majorBidi" w:eastAsia="Calibri" w:hAnsiTheme="majorBidi" w:cstheme="majorBidi"/>
                <w:b/>
                <w:bCs/>
                <w:noProof/>
              </w:rPr>
              <w:drawing>
                <wp:inline distT="0" distB="0" distL="0" distR="0" wp14:anchorId="48A5DE02" wp14:editId="0B266D44">
                  <wp:extent cx="2516505" cy="3597275"/>
                  <wp:effectExtent l="0" t="0" r="0" b="3175"/>
                  <wp:docPr id="6" name="Picture 6" descr="באיור זה רואים עלייה רציפה במספר בתי הספר התיכוניים הערבים מקום המדינה ועד היום. ב-1948 היה תיכון ערבי אחד בלבד וב-2020 יש יותר מ-80 בתי ספר תיכונ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6505" cy="3597275"/>
                          </a:xfrm>
                          <a:prstGeom prst="rect">
                            <a:avLst/>
                          </a:prstGeom>
                          <a:noFill/>
                          <a:ln>
                            <a:noFill/>
                          </a:ln>
                        </pic:spPr>
                      </pic:pic>
                    </a:graphicData>
                  </a:graphic>
                </wp:inline>
              </w:drawing>
            </w:r>
          </w:p>
        </w:tc>
        <w:tc>
          <w:tcPr>
            <w:tcW w:w="4531" w:type="dxa"/>
          </w:tcPr>
          <w:p w14:paraId="3B545992" w14:textId="77777777" w:rsidR="004D70A9" w:rsidRPr="004D70A9" w:rsidRDefault="004D70A9" w:rsidP="00D84025">
            <w:pPr>
              <w:spacing w:line="276" w:lineRule="auto"/>
              <w:ind w:right="-23"/>
              <w:jc w:val="both"/>
              <w:rPr>
                <w:rFonts w:asciiTheme="majorBidi" w:eastAsia="Calibri" w:hAnsiTheme="majorBidi" w:cstheme="majorBidi"/>
                <w:b/>
                <w:bCs/>
                <w:noProof/>
              </w:rPr>
            </w:pPr>
          </w:p>
        </w:tc>
      </w:tr>
    </w:tbl>
    <w:p w14:paraId="22C17CF5" w14:textId="77777777" w:rsidR="00D55B12" w:rsidRPr="004D70A9" w:rsidRDefault="00D55B12" w:rsidP="00301A87">
      <w:pPr>
        <w:pStyle w:val="af8"/>
        <w:rPr>
          <w:b w:val="0"/>
          <w:bCs w:val="0"/>
          <w:color w:val="auto"/>
          <w:rtl/>
        </w:rPr>
      </w:pPr>
      <w:r w:rsidRPr="004D70A9">
        <w:rPr>
          <w:rFonts w:hint="cs"/>
          <w:color w:val="auto"/>
          <w:rtl/>
        </w:rPr>
        <w:t>מקור:</w:t>
      </w:r>
      <w:r w:rsidRPr="004D70A9">
        <w:rPr>
          <w:rFonts w:hint="cs"/>
          <w:b w:val="0"/>
          <w:bCs w:val="0"/>
          <w:color w:val="auto"/>
          <w:rtl/>
        </w:rPr>
        <w:t xml:space="preserve"> עיבודי המחבר. העיבודים מבוססים על נתוני משרד החינוך והלשכה המרכזית לסטטיסטיקה.</w:t>
      </w:r>
    </w:p>
    <w:p w14:paraId="73E383E4" w14:textId="77777777" w:rsidR="00D55B12" w:rsidRPr="004D70A9" w:rsidRDefault="00D55B12" w:rsidP="00D55B12">
      <w:pPr>
        <w:bidi/>
        <w:spacing w:after="0" w:line="240" w:lineRule="auto"/>
        <w:ind w:firstLine="380"/>
        <w:jc w:val="both"/>
        <w:rPr>
          <w:rFonts w:ascii="David" w:eastAsia="Times New Roman" w:hAnsi="David" w:cs="David"/>
          <w:sz w:val="20"/>
          <w:szCs w:val="20"/>
          <w:rtl/>
        </w:rPr>
      </w:pPr>
    </w:p>
    <w:p w14:paraId="2238E5A0" w14:textId="77777777" w:rsidR="004D70A9" w:rsidRDefault="004D70A9">
      <w:pPr>
        <w:rPr>
          <w:rFonts w:ascii="David" w:eastAsia="Calibri" w:hAnsi="David" w:cs="David"/>
          <w:b/>
          <w:bCs/>
          <w:sz w:val="24"/>
          <w:szCs w:val="24"/>
        </w:rPr>
      </w:pPr>
      <w:r>
        <w:br w:type="page"/>
      </w:r>
    </w:p>
    <w:p w14:paraId="7A47A734" w14:textId="19E5DC16" w:rsidR="00713154" w:rsidRPr="004D70A9" w:rsidRDefault="00713154" w:rsidP="00301A87">
      <w:pPr>
        <w:pStyle w:val="af5"/>
        <w:spacing w:line="360" w:lineRule="auto"/>
        <w:rPr>
          <w:rtl/>
        </w:rPr>
      </w:pPr>
      <w:r w:rsidRPr="004D70A9">
        <w:rPr>
          <w:rFonts w:hint="cs"/>
          <w:rtl/>
        </w:rPr>
        <w:lastRenderedPageBreak/>
        <w:t>איור 2: ה</w:t>
      </w:r>
      <w:r w:rsidR="000F5A4B" w:rsidRPr="004D70A9">
        <w:rPr>
          <w:rFonts w:hint="cs"/>
          <w:rtl/>
        </w:rPr>
        <w:t xml:space="preserve">גידול </w:t>
      </w:r>
      <w:r w:rsidRPr="004D70A9">
        <w:rPr>
          <w:rFonts w:hint="cs"/>
          <w:rtl/>
        </w:rPr>
        <w:t xml:space="preserve">(בנק' אחוז) </w:t>
      </w:r>
      <w:r w:rsidR="000F5A4B" w:rsidRPr="004D70A9">
        <w:rPr>
          <w:rFonts w:hint="cs"/>
          <w:rtl/>
        </w:rPr>
        <w:t>בסיכוי לסיים 12 שנות לימוד כתוצאה</w:t>
      </w:r>
      <w:r w:rsidRPr="004D70A9">
        <w:rPr>
          <w:rFonts w:hint="cs"/>
          <w:rtl/>
        </w:rPr>
        <w:t xml:space="preserve"> </w:t>
      </w:r>
      <w:r w:rsidR="000F5A4B" w:rsidRPr="004D70A9">
        <w:rPr>
          <w:rFonts w:hint="cs"/>
          <w:rtl/>
        </w:rPr>
        <w:t>מפתיחת בתי ספר תיכוניים ביישוב</w:t>
      </w:r>
      <w:r w:rsidRPr="004D70A9">
        <w:rPr>
          <w:rFonts w:hint="cs"/>
          <w:rtl/>
        </w:rPr>
        <w:t xml:space="preserve">, לפי הגיל בו היה הפרט בעת שנפתח בית הספר </w:t>
      </w:r>
    </w:p>
    <w:p w14:paraId="29E66CF4" w14:textId="77777777" w:rsidR="00713154" w:rsidRPr="004D70A9" w:rsidRDefault="00713154" w:rsidP="00301A87">
      <w:pPr>
        <w:pStyle w:val="a"/>
        <w:numPr>
          <w:ilvl w:val="0"/>
          <w:numId w:val="0"/>
        </w:numPr>
        <w:ind w:left="720"/>
        <w:jc w:val="center"/>
        <w:rPr>
          <w:rtl/>
        </w:rPr>
      </w:pPr>
      <w:r w:rsidRPr="004D70A9">
        <w:rPr>
          <w:rFonts w:hint="cs"/>
          <w:rtl/>
        </w:rPr>
        <w:t>(נקודה= גודל ההשפעה, קו אנכי=רווח בר-סמך ברמת מובהקות של 95%)</w:t>
      </w:r>
    </w:p>
    <w:p w14:paraId="07EE983F" w14:textId="1EF6BCD8" w:rsidR="003C54C7" w:rsidRPr="004D70A9" w:rsidRDefault="00C30F05" w:rsidP="00713154">
      <w:pPr>
        <w:bidi/>
        <w:spacing w:after="0" w:line="450" w:lineRule="atLeast"/>
        <w:ind w:firstLine="379"/>
        <w:jc w:val="center"/>
        <w:rPr>
          <w:rFonts w:ascii="David" w:eastAsia="Times New Roman" w:hAnsi="David" w:cs="David"/>
          <w:sz w:val="24"/>
          <w:szCs w:val="24"/>
          <w:rtl/>
        </w:rPr>
      </w:pPr>
      <w:r w:rsidRPr="004D70A9">
        <w:rPr>
          <w:noProof/>
        </w:rPr>
        <w:drawing>
          <wp:inline distT="0" distB="0" distL="0" distR="0" wp14:anchorId="534ACEB0" wp14:editId="69289B2F">
            <wp:extent cx="5036185" cy="2514600"/>
            <wp:effectExtent l="0" t="0" r="0" b="0"/>
            <wp:docPr id="3" name="Picture 3" descr="באיור זה רואים את גודל ההשפעה הנאמדה של הקמת בית ספר תיכון על הסיכוי של הפרט לסיים 12 שנות לימוד. ניתן לראות כי בקרב הפרטים שהיו בני 17 או פחות בעת הקמת התיכון ביישוב ניכרת עלייה משמעותית בסיכוי לסיים 12 שנות לימוד." title="הגידול (בנק' אחוז) בסיכוי לסיים 12 שנות לימוד כתוצאה מפתיחת בתי ספר תיכוניים ביישוב, לפי הגיל בו היה הפרט בעת שנפתח בית הספר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36185" cy="2514600"/>
                    </a:xfrm>
                    <a:prstGeom prst="rect">
                      <a:avLst/>
                    </a:prstGeom>
                    <a:noFill/>
                    <a:ln>
                      <a:noFill/>
                    </a:ln>
                  </pic:spPr>
                </pic:pic>
              </a:graphicData>
            </a:graphic>
          </wp:inline>
        </w:drawing>
      </w:r>
    </w:p>
    <w:p w14:paraId="675366ED" w14:textId="77777777" w:rsidR="00D55B12" w:rsidRPr="004D70A9" w:rsidRDefault="00D55B12" w:rsidP="00301A87">
      <w:pPr>
        <w:pStyle w:val="af8"/>
        <w:rPr>
          <w:b w:val="0"/>
          <w:bCs w:val="0"/>
          <w:color w:val="auto"/>
          <w:sz w:val="24"/>
          <w:szCs w:val="24"/>
          <w:rtl/>
        </w:rPr>
      </w:pPr>
      <w:r w:rsidRPr="004D70A9">
        <w:rPr>
          <w:rFonts w:hint="cs"/>
          <w:color w:val="auto"/>
          <w:rtl/>
        </w:rPr>
        <w:t>מקור:</w:t>
      </w:r>
      <w:r w:rsidRPr="004D70A9">
        <w:rPr>
          <w:rFonts w:hint="cs"/>
          <w:b w:val="0"/>
          <w:bCs w:val="0"/>
          <w:color w:val="auto"/>
          <w:rtl/>
        </w:rPr>
        <w:t xml:space="preserve"> עיבודי המחבר. העיבודים מבוססים על נתוני משרד החינוך והלשכה המרכזית לסטטיסטיקה.</w:t>
      </w:r>
    </w:p>
    <w:sectPr w:rsidR="00D55B12" w:rsidRPr="004D70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93C2C" w14:textId="77777777" w:rsidR="000E3AFD" w:rsidRDefault="000E3AFD" w:rsidP="00FB6DBE">
      <w:pPr>
        <w:spacing w:after="0" w:line="240" w:lineRule="auto"/>
      </w:pPr>
      <w:r>
        <w:separator/>
      </w:r>
    </w:p>
  </w:endnote>
  <w:endnote w:type="continuationSeparator" w:id="0">
    <w:p w14:paraId="55FEA3BA" w14:textId="77777777" w:rsidR="000E3AFD" w:rsidRDefault="000E3AFD" w:rsidP="00FB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204FB" w14:textId="77777777" w:rsidR="000E3AFD" w:rsidRDefault="000E3AFD" w:rsidP="00D57AE3">
      <w:pPr>
        <w:bidi/>
        <w:spacing w:after="0" w:line="240" w:lineRule="auto"/>
      </w:pPr>
      <w:r>
        <w:separator/>
      </w:r>
    </w:p>
  </w:footnote>
  <w:footnote w:type="continuationSeparator" w:id="0">
    <w:p w14:paraId="3200D9A4" w14:textId="77777777" w:rsidR="000E3AFD" w:rsidRDefault="000E3AFD" w:rsidP="00FB6DBE">
      <w:pPr>
        <w:spacing w:after="0" w:line="240" w:lineRule="auto"/>
      </w:pPr>
      <w:r>
        <w:continuationSeparator/>
      </w:r>
    </w:p>
  </w:footnote>
  <w:footnote w:id="1">
    <w:p w14:paraId="451626C8" w14:textId="77777777" w:rsidR="00FB6DBE" w:rsidRPr="004D70A9" w:rsidRDefault="00FB6DBE" w:rsidP="00FB6DBE">
      <w:pPr>
        <w:pStyle w:val="af"/>
        <w:bidi/>
        <w:rPr>
          <w:rtl/>
        </w:rPr>
      </w:pPr>
      <w:r w:rsidRPr="004D70A9">
        <w:rPr>
          <w:rStyle w:val="a4"/>
          <w:vertAlign w:val="superscript"/>
        </w:rPr>
        <w:footnoteRef/>
      </w:r>
      <w:r w:rsidRPr="004D70A9">
        <w:rPr>
          <w:rFonts w:ascii="David" w:eastAsia="Times New Roman" w:hAnsi="David" w:cs="David" w:hint="cs"/>
          <w:rtl/>
        </w:rPr>
        <w:t xml:space="preserve"> במונחים יחסיים, מדובר בגידול של כ-10%-13%.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912A8"/>
    <w:multiLevelType w:val="hybridMultilevel"/>
    <w:tmpl w:val="17C4314A"/>
    <w:lvl w:ilvl="0" w:tplc="39AAA3DA">
      <w:start w:val="1"/>
      <w:numFmt w:val="hebrew1"/>
      <w:pStyle w:val="a"/>
      <w:lvlText w:val="%1."/>
      <w:lvlJc w:val="left"/>
      <w:pPr>
        <w:ind w:left="1080" w:hanging="360"/>
      </w:pPr>
      <w:rPr>
        <w:rFonts w:hint="default"/>
        <w:b/>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5FFB5E33"/>
    <w:multiLevelType w:val="multilevel"/>
    <w:tmpl w:val="04EE9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32B"/>
    <w:rsid w:val="00020E95"/>
    <w:rsid w:val="000E3AFD"/>
    <w:rsid w:val="000F5A4B"/>
    <w:rsid w:val="00233981"/>
    <w:rsid w:val="00301A87"/>
    <w:rsid w:val="00313D90"/>
    <w:rsid w:val="003A7D51"/>
    <w:rsid w:val="003C54C7"/>
    <w:rsid w:val="00403FF0"/>
    <w:rsid w:val="00494F98"/>
    <w:rsid w:val="004B1EEB"/>
    <w:rsid w:val="004B6AA2"/>
    <w:rsid w:val="004D70A9"/>
    <w:rsid w:val="00520413"/>
    <w:rsid w:val="0059297A"/>
    <w:rsid w:val="005B2214"/>
    <w:rsid w:val="005B3F5E"/>
    <w:rsid w:val="0061332B"/>
    <w:rsid w:val="00613F6C"/>
    <w:rsid w:val="006D71C7"/>
    <w:rsid w:val="00713154"/>
    <w:rsid w:val="007321E5"/>
    <w:rsid w:val="00761BDC"/>
    <w:rsid w:val="00767143"/>
    <w:rsid w:val="007674FD"/>
    <w:rsid w:val="007822F7"/>
    <w:rsid w:val="0087512E"/>
    <w:rsid w:val="008B382D"/>
    <w:rsid w:val="00A30BEC"/>
    <w:rsid w:val="00A47D56"/>
    <w:rsid w:val="00A61F91"/>
    <w:rsid w:val="00A823CF"/>
    <w:rsid w:val="00AA6426"/>
    <w:rsid w:val="00B749D1"/>
    <w:rsid w:val="00B84C37"/>
    <w:rsid w:val="00B8780A"/>
    <w:rsid w:val="00BC30B2"/>
    <w:rsid w:val="00BF4291"/>
    <w:rsid w:val="00C30F05"/>
    <w:rsid w:val="00C81240"/>
    <w:rsid w:val="00C85DB2"/>
    <w:rsid w:val="00D55B12"/>
    <w:rsid w:val="00D57AE3"/>
    <w:rsid w:val="00DB066C"/>
    <w:rsid w:val="00DF61A7"/>
    <w:rsid w:val="00E05D53"/>
    <w:rsid w:val="00ED0EC4"/>
    <w:rsid w:val="00EF02D8"/>
    <w:rsid w:val="00F06F64"/>
    <w:rsid w:val="00F62576"/>
    <w:rsid w:val="00FB6D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31C6EC"/>
  <w15:chartTrackingRefBased/>
  <w15:docId w15:val="{92AACA4A-1AA4-4AC2-A767-D17CF817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301A87"/>
    <w:pPr>
      <w:tabs>
        <w:tab w:val="num" w:pos="720"/>
      </w:tabs>
      <w:bidi/>
      <w:spacing w:before="100" w:beforeAutospacing="1" w:after="0" w:line="360" w:lineRule="auto"/>
      <w:ind w:left="720" w:hanging="360"/>
      <w:jc w:val="center"/>
      <w:outlineLvl w:val="0"/>
    </w:pPr>
    <w:rPr>
      <w:rFonts w:ascii="David" w:hAnsi="David" w:cs="David"/>
      <w:b/>
      <w:bCs/>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basedOn w:val="a1"/>
    <w:uiPriority w:val="99"/>
    <w:semiHidden/>
    <w:unhideWhenUsed/>
    <w:rsid w:val="0061332B"/>
  </w:style>
  <w:style w:type="table" w:styleId="a5">
    <w:name w:val="Table Grid"/>
    <w:basedOn w:val="a2"/>
    <w:uiPriority w:val="59"/>
    <w:rsid w:val="003C5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0"/>
    <w:link w:val="a7"/>
    <w:uiPriority w:val="34"/>
    <w:qFormat/>
    <w:rsid w:val="003C54C7"/>
    <w:pPr>
      <w:ind w:left="720"/>
      <w:contextualSpacing/>
    </w:pPr>
  </w:style>
  <w:style w:type="paragraph" w:styleId="a8">
    <w:name w:val="Balloon Text"/>
    <w:basedOn w:val="a0"/>
    <w:link w:val="a9"/>
    <w:uiPriority w:val="99"/>
    <w:semiHidden/>
    <w:unhideWhenUsed/>
    <w:rsid w:val="00494F98"/>
    <w:pPr>
      <w:spacing w:after="0" w:line="240" w:lineRule="auto"/>
    </w:pPr>
    <w:rPr>
      <w:rFonts w:ascii="Segoe UI" w:hAnsi="Segoe UI" w:cs="Segoe UI"/>
      <w:sz w:val="18"/>
      <w:szCs w:val="18"/>
    </w:rPr>
  </w:style>
  <w:style w:type="character" w:customStyle="1" w:styleId="a9">
    <w:name w:val="טקסט בלונים תו"/>
    <w:basedOn w:val="a1"/>
    <w:link w:val="a8"/>
    <w:uiPriority w:val="99"/>
    <w:semiHidden/>
    <w:rsid w:val="00494F98"/>
    <w:rPr>
      <w:rFonts w:ascii="Segoe UI" w:hAnsi="Segoe UI" w:cs="Segoe UI"/>
      <w:sz w:val="18"/>
      <w:szCs w:val="18"/>
    </w:rPr>
  </w:style>
  <w:style w:type="character" w:styleId="aa">
    <w:name w:val="annotation reference"/>
    <w:basedOn w:val="a1"/>
    <w:uiPriority w:val="99"/>
    <w:semiHidden/>
    <w:unhideWhenUsed/>
    <w:rsid w:val="00494F98"/>
    <w:rPr>
      <w:sz w:val="16"/>
      <w:szCs w:val="16"/>
    </w:rPr>
  </w:style>
  <w:style w:type="paragraph" w:styleId="ab">
    <w:name w:val="annotation text"/>
    <w:basedOn w:val="a0"/>
    <w:link w:val="ac"/>
    <w:uiPriority w:val="99"/>
    <w:semiHidden/>
    <w:unhideWhenUsed/>
    <w:rsid w:val="00494F98"/>
    <w:pPr>
      <w:spacing w:line="240" w:lineRule="auto"/>
    </w:pPr>
    <w:rPr>
      <w:sz w:val="20"/>
      <w:szCs w:val="20"/>
    </w:rPr>
  </w:style>
  <w:style w:type="character" w:customStyle="1" w:styleId="ac">
    <w:name w:val="טקסט הערה תו"/>
    <w:basedOn w:val="a1"/>
    <w:link w:val="ab"/>
    <w:uiPriority w:val="99"/>
    <w:semiHidden/>
    <w:rsid w:val="00494F98"/>
    <w:rPr>
      <w:sz w:val="20"/>
      <w:szCs w:val="20"/>
    </w:rPr>
  </w:style>
  <w:style w:type="paragraph" w:styleId="ad">
    <w:name w:val="annotation subject"/>
    <w:basedOn w:val="ab"/>
    <w:next w:val="ab"/>
    <w:link w:val="ae"/>
    <w:uiPriority w:val="99"/>
    <w:semiHidden/>
    <w:unhideWhenUsed/>
    <w:rsid w:val="00494F98"/>
    <w:rPr>
      <w:b/>
      <w:bCs/>
    </w:rPr>
  </w:style>
  <w:style w:type="character" w:customStyle="1" w:styleId="ae">
    <w:name w:val="נושא הערה תו"/>
    <w:basedOn w:val="ac"/>
    <w:link w:val="ad"/>
    <w:uiPriority w:val="99"/>
    <w:semiHidden/>
    <w:rsid w:val="00494F98"/>
    <w:rPr>
      <w:b/>
      <w:bCs/>
      <w:sz w:val="20"/>
      <w:szCs w:val="20"/>
    </w:rPr>
  </w:style>
  <w:style w:type="paragraph" w:styleId="af">
    <w:name w:val="footnote text"/>
    <w:basedOn w:val="a0"/>
    <w:link w:val="af0"/>
    <w:uiPriority w:val="99"/>
    <w:semiHidden/>
    <w:unhideWhenUsed/>
    <w:rsid w:val="00FB6DBE"/>
    <w:pPr>
      <w:spacing w:after="0" w:line="240" w:lineRule="auto"/>
    </w:pPr>
    <w:rPr>
      <w:sz w:val="20"/>
      <w:szCs w:val="20"/>
    </w:rPr>
  </w:style>
  <w:style w:type="character" w:customStyle="1" w:styleId="af0">
    <w:name w:val="טקסט הערת שוליים תו"/>
    <w:basedOn w:val="a1"/>
    <w:link w:val="af"/>
    <w:uiPriority w:val="99"/>
    <w:semiHidden/>
    <w:rsid w:val="00FB6DBE"/>
    <w:rPr>
      <w:sz w:val="20"/>
      <w:szCs w:val="20"/>
    </w:rPr>
  </w:style>
  <w:style w:type="paragraph" w:styleId="af1">
    <w:name w:val="header"/>
    <w:basedOn w:val="a0"/>
    <w:link w:val="af2"/>
    <w:uiPriority w:val="99"/>
    <w:unhideWhenUsed/>
    <w:rsid w:val="00D57AE3"/>
    <w:pPr>
      <w:tabs>
        <w:tab w:val="center" w:pos="4153"/>
        <w:tab w:val="right" w:pos="8306"/>
      </w:tabs>
      <w:spacing w:after="0" w:line="240" w:lineRule="auto"/>
    </w:pPr>
  </w:style>
  <w:style w:type="character" w:customStyle="1" w:styleId="af2">
    <w:name w:val="כותרת עליונה תו"/>
    <w:basedOn w:val="a1"/>
    <w:link w:val="af1"/>
    <w:uiPriority w:val="99"/>
    <w:rsid w:val="00D57AE3"/>
  </w:style>
  <w:style w:type="paragraph" w:styleId="af3">
    <w:name w:val="footer"/>
    <w:basedOn w:val="a0"/>
    <w:link w:val="af4"/>
    <w:uiPriority w:val="99"/>
    <w:unhideWhenUsed/>
    <w:rsid w:val="00D57AE3"/>
    <w:pPr>
      <w:tabs>
        <w:tab w:val="center" w:pos="4153"/>
        <w:tab w:val="right" w:pos="8306"/>
      </w:tabs>
      <w:spacing w:after="0" w:line="240" w:lineRule="auto"/>
    </w:pPr>
  </w:style>
  <w:style w:type="character" w:customStyle="1" w:styleId="af4">
    <w:name w:val="כותרת תחתונה תו"/>
    <w:basedOn w:val="a1"/>
    <w:link w:val="af3"/>
    <w:uiPriority w:val="99"/>
    <w:rsid w:val="00D57AE3"/>
  </w:style>
  <w:style w:type="character" w:customStyle="1" w:styleId="10">
    <w:name w:val="כותרת 1 תו"/>
    <w:basedOn w:val="a1"/>
    <w:link w:val="1"/>
    <w:uiPriority w:val="9"/>
    <w:rsid w:val="00301A87"/>
    <w:rPr>
      <w:rFonts w:ascii="David" w:hAnsi="David" w:cs="David"/>
      <w:b/>
      <w:bCs/>
      <w:u w:val="single"/>
    </w:rPr>
  </w:style>
  <w:style w:type="paragraph" w:customStyle="1" w:styleId="af5">
    <w:name w:val="כותרת איור"/>
    <w:basedOn w:val="a0"/>
    <w:link w:val="af6"/>
    <w:qFormat/>
    <w:rsid w:val="00301A87"/>
    <w:pPr>
      <w:spacing w:after="0" w:line="240" w:lineRule="auto"/>
      <w:ind w:right="-23"/>
      <w:jc w:val="center"/>
    </w:pPr>
    <w:rPr>
      <w:rFonts w:ascii="David" w:eastAsia="Calibri" w:hAnsi="David" w:cs="David"/>
      <w:b/>
      <w:bCs/>
      <w:sz w:val="24"/>
      <w:szCs w:val="24"/>
    </w:rPr>
  </w:style>
  <w:style w:type="paragraph" w:customStyle="1" w:styleId="a">
    <w:name w:val="תת כותרת איור"/>
    <w:basedOn w:val="a6"/>
    <w:link w:val="af7"/>
    <w:qFormat/>
    <w:rsid w:val="00301A87"/>
    <w:pPr>
      <w:numPr>
        <w:numId w:val="2"/>
      </w:numPr>
      <w:bidi/>
      <w:spacing w:after="0" w:line="276" w:lineRule="auto"/>
      <w:ind w:right="592"/>
      <w:jc w:val="both"/>
    </w:pPr>
    <w:rPr>
      <w:rFonts w:ascii="David" w:eastAsia="Calibri" w:hAnsi="David" w:cs="David"/>
      <w:sz w:val="24"/>
      <w:szCs w:val="24"/>
    </w:rPr>
  </w:style>
  <w:style w:type="character" w:customStyle="1" w:styleId="af6">
    <w:name w:val="כותרת איור תו"/>
    <w:basedOn w:val="a1"/>
    <w:link w:val="af5"/>
    <w:rsid w:val="00301A87"/>
    <w:rPr>
      <w:rFonts w:ascii="David" w:eastAsia="Calibri" w:hAnsi="David" w:cs="David"/>
      <w:b/>
      <w:bCs/>
      <w:sz w:val="24"/>
      <w:szCs w:val="24"/>
    </w:rPr>
  </w:style>
  <w:style w:type="paragraph" w:customStyle="1" w:styleId="af8">
    <w:name w:val="הערות איור"/>
    <w:basedOn w:val="a0"/>
    <w:link w:val="af9"/>
    <w:qFormat/>
    <w:rsid w:val="00301A87"/>
    <w:pPr>
      <w:bidi/>
      <w:spacing w:after="0" w:line="240" w:lineRule="auto"/>
      <w:ind w:firstLine="380"/>
      <w:jc w:val="both"/>
    </w:pPr>
    <w:rPr>
      <w:rFonts w:ascii="David" w:eastAsia="Times New Roman" w:hAnsi="David" w:cs="David"/>
      <w:b/>
      <w:bCs/>
      <w:color w:val="2E3D50"/>
      <w:sz w:val="20"/>
      <w:szCs w:val="20"/>
    </w:rPr>
  </w:style>
  <w:style w:type="character" w:customStyle="1" w:styleId="a7">
    <w:name w:val="פיסקת רשימה תו"/>
    <w:basedOn w:val="a1"/>
    <w:link w:val="a6"/>
    <w:uiPriority w:val="34"/>
    <w:rsid w:val="00301A87"/>
  </w:style>
  <w:style w:type="character" w:customStyle="1" w:styleId="af7">
    <w:name w:val="תת כותרת איור תו"/>
    <w:basedOn w:val="a7"/>
    <w:link w:val="a"/>
    <w:rsid w:val="00301A87"/>
    <w:rPr>
      <w:rFonts w:ascii="David" w:eastAsia="Calibri" w:hAnsi="David" w:cs="David"/>
      <w:sz w:val="24"/>
      <w:szCs w:val="24"/>
    </w:rPr>
  </w:style>
  <w:style w:type="character" w:customStyle="1" w:styleId="af9">
    <w:name w:val="הערות איור תו"/>
    <w:basedOn w:val="a1"/>
    <w:link w:val="af8"/>
    <w:rsid w:val="00301A87"/>
    <w:rPr>
      <w:rFonts w:ascii="David" w:eastAsia="Times New Roman" w:hAnsi="David" w:cs="David"/>
      <w:b/>
      <w:bCs/>
      <w:color w:val="2E3D5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427421">
      <w:bodyDiv w:val="1"/>
      <w:marLeft w:val="0"/>
      <w:marRight w:val="0"/>
      <w:marTop w:val="0"/>
      <w:marBottom w:val="0"/>
      <w:divBdr>
        <w:top w:val="none" w:sz="0" w:space="0" w:color="auto"/>
        <w:left w:val="none" w:sz="0" w:space="0" w:color="auto"/>
        <w:bottom w:val="none" w:sz="0" w:space="0" w:color="auto"/>
        <w:right w:val="none" w:sz="0" w:space="0" w:color="auto"/>
      </w:divBdr>
    </w:div>
    <w:div w:id="149259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4BEAE-A421-4668-B7EE-5B2D3DA8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525</Words>
  <Characters>2626</Characters>
  <Application>Microsoft Office Word</Application>
  <DocSecurity>4</DocSecurity>
  <Lines>21</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 Demalach</dc:creator>
  <cp:keywords/>
  <dc:description/>
  <cp:lastModifiedBy>מיטל רולניצקי</cp:lastModifiedBy>
  <cp:revision>2</cp:revision>
  <cp:lastPrinted>2023-01-16T09:08:00Z</cp:lastPrinted>
  <dcterms:created xsi:type="dcterms:W3CDTF">2023-02-22T07:51:00Z</dcterms:created>
  <dcterms:modified xsi:type="dcterms:W3CDTF">2023-02-22T07:51:00Z</dcterms:modified>
</cp:coreProperties>
</file>