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09313A" w:rsidRPr="00447D44" w:rsidTr="00342916">
        <w:trPr>
          <w:cantSplit/>
        </w:trPr>
        <w:tc>
          <w:tcPr>
            <w:tcW w:w="3392" w:type="dxa"/>
            <w:tcBorders>
              <w:top w:val="nil"/>
              <w:left w:val="nil"/>
              <w:bottom w:val="nil"/>
              <w:right w:val="nil"/>
            </w:tcBorders>
            <w:vAlign w:val="center"/>
          </w:tcPr>
          <w:p w:rsidR="0009313A" w:rsidRPr="00447D44" w:rsidRDefault="0009313A" w:rsidP="00342916">
            <w:pPr>
              <w:jc w:val="center"/>
              <w:rPr>
                <w:rFonts w:cstheme="minorHAnsi"/>
                <w:b/>
                <w:bCs/>
                <w:sz w:val="24"/>
                <w:szCs w:val="24"/>
              </w:rPr>
            </w:pPr>
            <w:r w:rsidRPr="00447D44">
              <w:rPr>
                <w:rFonts w:cstheme="minorHAnsi"/>
                <w:b/>
                <w:bCs/>
                <w:sz w:val="24"/>
                <w:szCs w:val="24"/>
                <w:rtl/>
              </w:rPr>
              <w:t>בנק ישראל</w:t>
            </w:r>
          </w:p>
          <w:p w:rsidR="0009313A" w:rsidRPr="00447D44" w:rsidRDefault="0009313A" w:rsidP="00342916">
            <w:pPr>
              <w:ind w:right="-101"/>
              <w:jc w:val="center"/>
              <w:rPr>
                <w:rFonts w:cstheme="minorHAnsi"/>
                <w:sz w:val="24"/>
                <w:szCs w:val="24"/>
              </w:rPr>
            </w:pPr>
            <w:r w:rsidRPr="00447D44">
              <w:rPr>
                <w:rFonts w:cstheme="minorHAnsi"/>
                <w:sz w:val="24"/>
                <w:szCs w:val="24"/>
                <w:rtl/>
              </w:rPr>
              <w:t>דוברות והסברה כלכלית</w:t>
            </w:r>
          </w:p>
        </w:tc>
        <w:tc>
          <w:tcPr>
            <w:tcW w:w="2596" w:type="dxa"/>
            <w:tcBorders>
              <w:top w:val="nil"/>
              <w:left w:val="nil"/>
              <w:bottom w:val="nil"/>
              <w:right w:val="nil"/>
            </w:tcBorders>
          </w:tcPr>
          <w:p w:rsidR="0009313A" w:rsidRPr="00447D44" w:rsidRDefault="0009313A" w:rsidP="00342916">
            <w:pPr>
              <w:jc w:val="center"/>
              <w:rPr>
                <w:rFonts w:cstheme="minorHAnsi"/>
                <w:sz w:val="24"/>
                <w:szCs w:val="24"/>
              </w:rPr>
            </w:pPr>
            <w:r w:rsidRPr="00447D44">
              <w:rPr>
                <w:rFonts w:cstheme="minorHAnsi"/>
                <w:noProof/>
                <w:sz w:val="24"/>
                <w:szCs w:val="24"/>
                <w:rtl/>
              </w:rPr>
              <w:drawing>
                <wp:anchor distT="0" distB="0" distL="114300" distR="114300" simplePos="0" relativeHeight="251659264" behindDoc="0" locked="0" layoutInCell="1" allowOverlap="1" wp14:anchorId="45F8797C" wp14:editId="68596C33">
                  <wp:simplePos x="0" y="0"/>
                  <wp:positionH relativeFrom="column">
                    <wp:posOffset>338455</wp:posOffset>
                  </wp:positionH>
                  <wp:positionV relativeFrom="paragraph">
                    <wp:posOffset>166370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rsidR="0009313A" w:rsidRPr="00447D44" w:rsidRDefault="0009313A" w:rsidP="0009313A">
            <w:pPr>
              <w:jc w:val="right"/>
              <w:rPr>
                <w:rFonts w:cstheme="minorHAnsi"/>
                <w:sz w:val="24"/>
                <w:szCs w:val="24"/>
              </w:rPr>
            </w:pPr>
            <w:r w:rsidRPr="00447D44">
              <w:rPr>
                <w:rFonts w:cstheme="minorHAnsi"/>
                <w:sz w:val="24"/>
                <w:szCs w:val="24"/>
                <w:rtl/>
              </w:rPr>
              <w:t>‏ ירושלים, י"א בתמוז, תשפ"ד</w:t>
            </w:r>
          </w:p>
          <w:p w:rsidR="0009313A" w:rsidRPr="00447D44" w:rsidRDefault="0009313A" w:rsidP="0009313A">
            <w:pPr>
              <w:jc w:val="right"/>
              <w:rPr>
                <w:rFonts w:cstheme="minorHAnsi"/>
                <w:sz w:val="24"/>
                <w:szCs w:val="24"/>
                <w:highlight w:val="yellow"/>
              </w:rPr>
            </w:pPr>
            <w:r w:rsidRPr="00447D44">
              <w:rPr>
                <w:rFonts w:cstheme="minorHAnsi"/>
                <w:sz w:val="24"/>
                <w:szCs w:val="24"/>
                <w:rtl/>
              </w:rPr>
              <w:t>‏‏‏‏‏‏‏‏‏‏‏17 יולי, 2024</w:t>
            </w:r>
          </w:p>
        </w:tc>
      </w:tr>
    </w:tbl>
    <w:p w:rsidR="007739C3" w:rsidRPr="00447D44" w:rsidRDefault="00C476A7">
      <w:pPr>
        <w:rPr>
          <w:rFonts w:cstheme="minorHAnsi"/>
          <w:sz w:val="28"/>
          <w:szCs w:val="28"/>
          <w:rtl/>
        </w:rPr>
      </w:pPr>
      <w:bookmarkStart w:id="0" w:name="_GoBack"/>
      <w:bookmarkEnd w:id="0"/>
      <w:r w:rsidRPr="00447D44">
        <w:rPr>
          <w:rFonts w:cstheme="minorHAnsi"/>
          <w:sz w:val="24"/>
          <w:szCs w:val="24"/>
          <w:rtl/>
        </w:rPr>
        <w:t xml:space="preserve">הודעה לעיתונות: </w:t>
      </w:r>
    </w:p>
    <w:p w:rsidR="00447D44" w:rsidRPr="00447D44" w:rsidRDefault="00447D44" w:rsidP="00447D44">
      <w:pPr>
        <w:jc w:val="center"/>
        <w:rPr>
          <w:rFonts w:cstheme="minorHAnsi"/>
          <w:b/>
          <w:bCs/>
          <w:sz w:val="28"/>
          <w:szCs w:val="28"/>
          <w:rtl/>
        </w:rPr>
      </w:pPr>
      <w:r w:rsidRPr="00447D44">
        <w:rPr>
          <w:rFonts w:cstheme="minorHAnsi"/>
          <w:b/>
          <w:bCs/>
          <w:sz w:val="28"/>
          <w:szCs w:val="28"/>
          <w:rtl/>
        </w:rPr>
        <w:t>דרישת דיווח חדשה למערכת הבנקאית כשלב נוסף בקידום שוק האיגוח בישראל</w:t>
      </w:r>
    </w:p>
    <w:p w:rsidR="00447D44" w:rsidRPr="00447D44" w:rsidRDefault="00447D44" w:rsidP="00447D44">
      <w:pPr>
        <w:spacing w:line="360" w:lineRule="auto"/>
        <w:jc w:val="both"/>
        <w:rPr>
          <w:rFonts w:cstheme="minorHAnsi"/>
          <w:sz w:val="24"/>
          <w:szCs w:val="24"/>
        </w:rPr>
      </w:pPr>
      <w:r w:rsidRPr="00447D44">
        <w:rPr>
          <w:rFonts w:cstheme="minorHAnsi"/>
          <w:sz w:val="24"/>
          <w:szCs w:val="24"/>
          <w:rtl/>
        </w:rPr>
        <w:t>בנק ישראל פועל על מנת לקדם את שוק האיגוח בישראל. האיגוח מאפשר את זרימת האשראי במשק באופן יעיל בכך שהוא מקצר ומוזיל את תהליך התיווך הפיננסי. איגוח תיקי האשראי יאפשר לספקי האשראי לפנות הון להעמדת אשראי חדש וכך להרחיב את היצע האשראי. מכשיר האיגוח צפוי להוזיל את מקורות המימון עבור ספקי האשראי החוץ בנקאיים ובכך להגדיל את התחרות בשוק האשראי. האיגוח יאפשר גם לשלב בין ההתמחות של הבנקים וספקי אשראי חוץ בנקאיים בחיתום וניטור האשראי לבין זמינות מקורות המימון של הגופים המוסדיים, והצורך שלהם לגוון את ההשקעות שלהם.</w:t>
      </w:r>
    </w:p>
    <w:p w:rsidR="00447D44" w:rsidRPr="00447D44" w:rsidRDefault="00447D44" w:rsidP="00447D44">
      <w:pPr>
        <w:spacing w:line="360" w:lineRule="auto"/>
        <w:jc w:val="both"/>
        <w:rPr>
          <w:rFonts w:cstheme="minorHAnsi"/>
          <w:sz w:val="24"/>
          <w:szCs w:val="24"/>
          <w:rtl/>
        </w:rPr>
      </w:pPr>
      <w:r w:rsidRPr="00447D44">
        <w:rPr>
          <w:rFonts w:cstheme="minorHAnsi"/>
          <w:sz w:val="24"/>
          <w:szCs w:val="24"/>
          <w:rtl/>
        </w:rPr>
        <w:t xml:space="preserve">חקיקת האיגוח, שנועדה לספק ודאות לשחקנים במשק ולמזער סיכונים נלווים, מצויה בשלבים מתקדמים. תנאי מקדים והכרחי לביצוע עסקת איגוח הוא היכולת של חברות הדירוג השונות לבצע הערכה של הסיכונים בתיקים הרלוונטיים ולדרג אותם עם בסיס מידע מהימן ורלוונטי. כדי לאפשר יכולת זו, הפיקוח על הבנקים מוציא היום הוראת דיווח חדשה " דוח פרטני על הלוואות לדיור - </w:t>
      </w:r>
      <w:proofErr w:type="spellStart"/>
      <w:r w:rsidRPr="00447D44">
        <w:rPr>
          <w:rFonts w:cstheme="minorHAnsi"/>
          <w:sz w:val="24"/>
          <w:szCs w:val="24"/>
          <w:rtl/>
        </w:rPr>
        <w:t>מיחזורים</w:t>
      </w:r>
      <w:proofErr w:type="spellEnd"/>
      <w:r w:rsidRPr="00447D44">
        <w:rPr>
          <w:rFonts w:cstheme="minorHAnsi"/>
          <w:sz w:val="24"/>
          <w:szCs w:val="24"/>
          <w:rtl/>
        </w:rPr>
        <w:t>, פיגורים ופירעון מוקדם".</w:t>
      </w:r>
    </w:p>
    <w:p w:rsidR="00447D44" w:rsidRPr="00447D44" w:rsidRDefault="00447D44" w:rsidP="00447D44">
      <w:pPr>
        <w:spacing w:line="360" w:lineRule="auto"/>
        <w:jc w:val="both"/>
        <w:rPr>
          <w:rFonts w:cstheme="minorHAnsi"/>
          <w:sz w:val="24"/>
          <w:szCs w:val="24"/>
        </w:rPr>
      </w:pPr>
      <w:r w:rsidRPr="00447D44">
        <w:rPr>
          <w:rFonts w:cstheme="minorHAnsi"/>
          <w:sz w:val="24"/>
          <w:szCs w:val="24"/>
          <w:rtl/>
        </w:rPr>
        <w:t>הוראת הדיווח החדשה תאפשר פרסום מידע סטטי ודינמי על השוק על מנת לתת מענה למתודולוגיות הדירוג המקובלות. המידע שיתקבל בהוראה יספק לפיקוח על הבנקים הערכת סיכונים טובה ומתקדמת יותר של שוק המשכנתאות וכן הנגשה של מידע חשוב על האשראי לדיור למקבלי ההחלטות.</w:t>
      </w:r>
    </w:p>
    <w:p w:rsidR="00447D44" w:rsidRPr="00447D44" w:rsidRDefault="00447D44" w:rsidP="00447D44">
      <w:pPr>
        <w:spacing w:line="360" w:lineRule="auto"/>
        <w:jc w:val="both"/>
        <w:rPr>
          <w:rFonts w:cstheme="minorHAnsi"/>
          <w:sz w:val="24"/>
          <w:szCs w:val="24"/>
          <w:rtl/>
        </w:rPr>
      </w:pPr>
      <w:r w:rsidRPr="00447D44">
        <w:rPr>
          <w:rFonts w:cstheme="minorHAnsi"/>
          <w:sz w:val="24"/>
          <w:szCs w:val="24"/>
          <w:rtl/>
        </w:rPr>
        <w:t>מצורפת להודעה זו הוראת הדיווח.</w:t>
      </w:r>
    </w:p>
    <w:p w:rsidR="00C476A7" w:rsidRPr="00447D44" w:rsidRDefault="00C476A7">
      <w:pPr>
        <w:rPr>
          <w:rFonts w:cstheme="minorHAnsi"/>
          <w:rtl/>
        </w:rPr>
      </w:pPr>
    </w:p>
    <w:sectPr w:rsidR="00C476A7" w:rsidRPr="00447D44" w:rsidSect="0069557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49" w:rsidRDefault="00B14649" w:rsidP="006341BC">
      <w:pPr>
        <w:spacing w:after="0" w:line="240" w:lineRule="auto"/>
      </w:pPr>
      <w:r>
        <w:separator/>
      </w:r>
    </w:p>
  </w:endnote>
  <w:endnote w:type="continuationSeparator" w:id="0">
    <w:p w:rsidR="00B14649" w:rsidRDefault="00B14649" w:rsidP="0063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BC" w:rsidRDefault="006341BC" w:rsidP="006341BC">
    <w:pPr>
      <w:tabs>
        <w:tab w:val="center" w:pos="4153"/>
        <w:tab w:val="right" w:pos="8306"/>
      </w:tabs>
      <w:bidi w:val="0"/>
      <w:spacing w:after="0" w:line="240" w:lineRule="auto"/>
      <w:rPr>
        <w:rFonts w:cs="Calibri"/>
        <w:noProof/>
        <w:rtl/>
      </w:rPr>
    </w:pPr>
  </w:p>
  <w:p w:rsidR="006341BC" w:rsidRDefault="006341BC" w:rsidP="006341BC">
    <w:pPr>
      <w:tabs>
        <w:tab w:val="center" w:pos="4153"/>
        <w:tab w:val="right" w:pos="8306"/>
      </w:tabs>
      <w:bidi w:val="0"/>
      <w:spacing w:after="0" w:line="240" w:lineRule="auto"/>
      <w:rPr>
        <w:rFonts w:cs="Calibri"/>
        <w:noProof/>
        <w:rtl/>
      </w:rPr>
    </w:pPr>
  </w:p>
  <w:p w:rsidR="006341BC" w:rsidRDefault="006341BC" w:rsidP="006341BC">
    <w:pPr>
      <w:tabs>
        <w:tab w:val="center" w:pos="4153"/>
        <w:tab w:val="right" w:pos="8306"/>
      </w:tabs>
      <w:bidi w:val="0"/>
      <w:spacing w:after="0" w:line="240" w:lineRule="auto"/>
    </w:pPr>
    <w:r w:rsidRPr="00D06C46">
      <w:rPr>
        <w:rFonts w:cs="Calibri"/>
        <w:noProof/>
        <w:rtl/>
      </w:rPr>
      <w:drawing>
        <wp:anchor distT="0" distB="0" distL="114300" distR="114300" simplePos="0" relativeHeight="251664384" behindDoc="0" locked="0" layoutInCell="1" allowOverlap="1" wp14:anchorId="074F015F" wp14:editId="7CF4487D">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46">
      <w:rPr>
        <w:noProof/>
      </w:rPr>
      <w:drawing>
        <wp:anchor distT="0" distB="0" distL="114300" distR="114300" simplePos="0" relativeHeight="251661312" behindDoc="0" locked="0" layoutInCell="1" allowOverlap="1" wp14:anchorId="428DDF57" wp14:editId="57BDF73A">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5408" behindDoc="0" locked="0" layoutInCell="1" allowOverlap="1" wp14:anchorId="2DC2581E" wp14:editId="13BB4DE5">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Pr="00D06C46">
      <w:rPr>
        <w:rFonts w:cs="Calibri"/>
        <w:noProof/>
      </w:rPr>
      <w:drawing>
        <wp:anchor distT="0" distB="0" distL="114300" distR="114300" simplePos="0" relativeHeight="251666432" behindDoc="0" locked="0" layoutInCell="1" allowOverlap="1" wp14:anchorId="13A7F940" wp14:editId="2E11C26D">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D06C46">
      <w:rPr>
        <w:noProof/>
      </w:rPr>
      <mc:AlternateContent>
        <mc:Choice Requires="wps">
          <w:drawing>
            <wp:anchor distT="0" distB="0" distL="114300" distR="114300" simplePos="0" relativeHeight="251662336" behindDoc="0" locked="0" layoutInCell="1" allowOverlap="1" wp14:anchorId="7A5C8F95" wp14:editId="4BFD4BFA">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6341BC" w:rsidRPr="00B677DC" w:rsidRDefault="006341BC" w:rsidP="006341BC">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C8F95" id="_x0000_t202" coordsize="21600,21600" o:spt="202" path="m,l,21600r21600,l21600,xe">
              <v:stroke joinstyle="miter"/>
              <v:path gradientshapeok="t" o:connecttype="rect"/>
            </v:shapetype>
            <v:shape id="תיבת טקסט 13" o:spid="_x0000_s1026" type="#_x0000_t202" style="position:absolute;margin-left:118.4pt;margin-top:6.1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rsidR="006341BC" w:rsidRPr="00B677DC" w:rsidRDefault="006341BC" w:rsidP="006341BC">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D06C46">
      <w:rPr>
        <w:noProof/>
      </w:rPr>
      <mc:AlternateContent>
        <mc:Choice Requires="wps">
          <w:drawing>
            <wp:anchor distT="0" distB="0" distL="114300" distR="114300" simplePos="0" relativeHeight="251667456" behindDoc="0" locked="0" layoutInCell="1" allowOverlap="1" wp14:anchorId="4F58919B" wp14:editId="13D6D4B5">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6341BC" w:rsidRPr="00F20046" w:rsidRDefault="006341BC" w:rsidP="006341BC">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8919B" id="תיבת טקסט 22" o:spid="_x0000_s1027" type="#_x0000_t202" style="position:absolute;margin-left:-23.05pt;margin-top:6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rsidR="006341BC" w:rsidRPr="00F20046" w:rsidRDefault="006341BC" w:rsidP="006341BC">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D06C46">
      <w:rPr>
        <w:noProof/>
      </w:rPr>
      <mc:AlternateContent>
        <mc:Choice Requires="wps">
          <w:drawing>
            <wp:anchor distT="0" distB="0" distL="114300" distR="114300" simplePos="0" relativeHeight="251660288" behindDoc="0" locked="0" layoutInCell="1" allowOverlap="1" wp14:anchorId="33AADEB9" wp14:editId="3D2F372C">
              <wp:simplePos x="0" y="0"/>
              <wp:positionH relativeFrom="column">
                <wp:posOffset>3257861</wp:posOffset>
              </wp:positionH>
              <wp:positionV relativeFrom="paragraph">
                <wp:posOffset>89750</wp:posOffset>
              </wp:positionV>
              <wp:extent cx="2181860" cy="4572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6341BC" w:rsidRPr="00B677DC" w:rsidRDefault="006341BC" w:rsidP="006341BC">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ADEB9" id="תיבת טקסט 6" o:spid="_x0000_s1028" type="#_x0000_t202" style="position:absolute;margin-left:256.5pt;margin-top:7.0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yiPIkUC&#10;AABhBAAADgAAAAAAAAAAAAAAAAAuAgAAZHJzL2Uyb0RvYy54bWxQSwECLQAUAAYACAAAACEA87VM&#10;cuAAAAAJAQAADwAAAAAAAAAAAAAAAACfBAAAZHJzL2Rvd25yZXYueG1sUEsFBgAAAAAEAAQA8wAA&#10;AKwFAAAAAA==&#10;" filled="f" stroked="f" strokeweight=".5pt">
              <v:textbox>
                <w:txbxContent>
                  <w:p w:rsidR="006341BC" w:rsidRPr="00B677DC" w:rsidRDefault="006341BC" w:rsidP="006341BC">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Pr="00D06C46">
      <w:rPr>
        <w:noProof/>
      </w:rPr>
      <mc:AlternateContent>
        <mc:Choice Requires="wps">
          <w:drawing>
            <wp:anchor distT="0" distB="0" distL="114300" distR="114300" simplePos="0" relativeHeight="251659264" behindDoc="0" locked="0" layoutInCell="1" allowOverlap="1" wp14:anchorId="57647643" wp14:editId="4419DC07">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6341BC" w:rsidRPr="00B677DC" w:rsidRDefault="006341BC" w:rsidP="006341BC">
                          <w:pPr>
                            <w:jc w:val="center"/>
                            <w:rPr>
                              <w:rFonts w:cstheme="minorHAnsi"/>
                              <w:sz w:val="16"/>
                              <w:szCs w:val="16"/>
                              <w:rtl/>
                            </w:rPr>
                          </w:pPr>
                          <w:r w:rsidRPr="00B677DC">
                            <w:rPr>
                              <w:rFonts w:cs="Calibri" w:hint="cs"/>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647643" id="תיבת טקסט 7" o:spid="_x0000_s1029" type="#_x0000_t202" style="position:absolute;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rsidR="006341BC" w:rsidRPr="00B677DC" w:rsidRDefault="006341BC" w:rsidP="006341BC">
                    <w:pPr>
                      <w:jc w:val="center"/>
                      <w:rPr>
                        <w:rFonts w:cstheme="minorHAnsi"/>
                        <w:sz w:val="16"/>
                        <w:szCs w:val="16"/>
                        <w:rtl/>
                      </w:rPr>
                    </w:pPr>
                    <w:r w:rsidRPr="00B677DC">
                      <w:rPr>
                        <w:rFonts w:cs="Calibri" w:hint="cs"/>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D06C46">
      <w:rPr>
        <w:noProof/>
      </w:rPr>
      <mc:AlternateContent>
        <mc:Choice Requires="wps">
          <w:drawing>
            <wp:anchor distT="0" distB="0" distL="114300" distR="114300" simplePos="0" relativeHeight="251663360" behindDoc="0" locked="0" layoutInCell="1" allowOverlap="1" wp14:anchorId="2F1AE3C4" wp14:editId="35A0AD45">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DE0DC6"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"/>
          </w:pict>
        </mc:Fallback>
      </mc:AlternateContent>
    </w:r>
    <w:r w:rsidRPr="00D06C46">
      <w:rPr>
        <w:rFonts w:cs="Calibri"/>
        <w:noProof/>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49" w:rsidRDefault="00B14649" w:rsidP="006341BC">
      <w:pPr>
        <w:spacing w:after="0" w:line="240" w:lineRule="auto"/>
      </w:pPr>
      <w:r>
        <w:separator/>
      </w:r>
    </w:p>
  </w:footnote>
  <w:footnote w:type="continuationSeparator" w:id="0">
    <w:p w:rsidR="00B14649" w:rsidRDefault="00B14649" w:rsidP="00634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A7"/>
    <w:rsid w:val="00040A7F"/>
    <w:rsid w:val="00065B9B"/>
    <w:rsid w:val="000727FD"/>
    <w:rsid w:val="00084B5A"/>
    <w:rsid w:val="000857B7"/>
    <w:rsid w:val="0009313A"/>
    <w:rsid w:val="00095555"/>
    <w:rsid w:val="000A5329"/>
    <w:rsid w:val="000D2157"/>
    <w:rsid w:val="000D5445"/>
    <w:rsid w:val="000E7ED2"/>
    <w:rsid w:val="00100012"/>
    <w:rsid w:val="00113BC9"/>
    <w:rsid w:val="00115277"/>
    <w:rsid w:val="00115FEF"/>
    <w:rsid w:val="00151A07"/>
    <w:rsid w:val="00156135"/>
    <w:rsid w:val="00162DCC"/>
    <w:rsid w:val="00166DBC"/>
    <w:rsid w:val="00184E4C"/>
    <w:rsid w:val="0019079B"/>
    <w:rsid w:val="001A2670"/>
    <w:rsid w:val="001A53CE"/>
    <w:rsid w:val="001B05C6"/>
    <w:rsid w:val="001B28C8"/>
    <w:rsid w:val="001B5E43"/>
    <w:rsid w:val="001C194B"/>
    <w:rsid w:val="001C7D79"/>
    <w:rsid w:val="001D5E62"/>
    <w:rsid w:val="001E0275"/>
    <w:rsid w:val="001E2886"/>
    <w:rsid w:val="001F2BE7"/>
    <w:rsid w:val="00223D37"/>
    <w:rsid w:val="00225BDF"/>
    <w:rsid w:val="00245BA3"/>
    <w:rsid w:val="00265657"/>
    <w:rsid w:val="00275FE8"/>
    <w:rsid w:val="00297F94"/>
    <w:rsid w:val="002A2E4C"/>
    <w:rsid w:val="002A3CC4"/>
    <w:rsid w:val="002B7877"/>
    <w:rsid w:val="002C05A5"/>
    <w:rsid w:val="002C754F"/>
    <w:rsid w:val="002D7AA8"/>
    <w:rsid w:val="002E5F96"/>
    <w:rsid w:val="00301F96"/>
    <w:rsid w:val="0031701E"/>
    <w:rsid w:val="0032792A"/>
    <w:rsid w:val="003552BD"/>
    <w:rsid w:val="003641E2"/>
    <w:rsid w:val="00370E6F"/>
    <w:rsid w:val="0037101B"/>
    <w:rsid w:val="00375149"/>
    <w:rsid w:val="003C2931"/>
    <w:rsid w:val="003F01E4"/>
    <w:rsid w:val="003F57B2"/>
    <w:rsid w:val="00407D90"/>
    <w:rsid w:val="00447D44"/>
    <w:rsid w:val="004537A7"/>
    <w:rsid w:val="004561A3"/>
    <w:rsid w:val="00460DDF"/>
    <w:rsid w:val="004A120F"/>
    <w:rsid w:val="004A32D7"/>
    <w:rsid w:val="004C6182"/>
    <w:rsid w:val="004C7925"/>
    <w:rsid w:val="004F5E3C"/>
    <w:rsid w:val="00567B1A"/>
    <w:rsid w:val="0057422C"/>
    <w:rsid w:val="005A52A2"/>
    <w:rsid w:val="005D5F2B"/>
    <w:rsid w:val="005E5213"/>
    <w:rsid w:val="00632CD2"/>
    <w:rsid w:val="006341BC"/>
    <w:rsid w:val="006344CC"/>
    <w:rsid w:val="00640309"/>
    <w:rsid w:val="00660075"/>
    <w:rsid w:val="006811C3"/>
    <w:rsid w:val="006907D5"/>
    <w:rsid w:val="0069557C"/>
    <w:rsid w:val="00715D7F"/>
    <w:rsid w:val="007172E4"/>
    <w:rsid w:val="00737090"/>
    <w:rsid w:val="007739C3"/>
    <w:rsid w:val="00780795"/>
    <w:rsid w:val="00783F55"/>
    <w:rsid w:val="007916D5"/>
    <w:rsid w:val="0079406F"/>
    <w:rsid w:val="00797111"/>
    <w:rsid w:val="007A25C0"/>
    <w:rsid w:val="007A2A08"/>
    <w:rsid w:val="007B2299"/>
    <w:rsid w:val="007B2E35"/>
    <w:rsid w:val="00803D2A"/>
    <w:rsid w:val="008137A5"/>
    <w:rsid w:val="00832597"/>
    <w:rsid w:val="008371BA"/>
    <w:rsid w:val="008466F0"/>
    <w:rsid w:val="00850CC4"/>
    <w:rsid w:val="00886388"/>
    <w:rsid w:val="008B3199"/>
    <w:rsid w:val="008C4A46"/>
    <w:rsid w:val="008C706D"/>
    <w:rsid w:val="008E2484"/>
    <w:rsid w:val="008F0B52"/>
    <w:rsid w:val="008F617A"/>
    <w:rsid w:val="00914AC1"/>
    <w:rsid w:val="00965C79"/>
    <w:rsid w:val="00984B1A"/>
    <w:rsid w:val="009A089E"/>
    <w:rsid w:val="009B2E19"/>
    <w:rsid w:val="009C6D0D"/>
    <w:rsid w:val="009E23FA"/>
    <w:rsid w:val="009E2FD2"/>
    <w:rsid w:val="00A076E6"/>
    <w:rsid w:val="00A13844"/>
    <w:rsid w:val="00A6309F"/>
    <w:rsid w:val="00A678C6"/>
    <w:rsid w:val="00A730E0"/>
    <w:rsid w:val="00A8460D"/>
    <w:rsid w:val="00A92A3D"/>
    <w:rsid w:val="00AB37A4"/>
    <w:rsid w:val="00AC35CD"/>
    <w:rsid w:val="00AD4008"/>
    <w:rsid w:val="00AF1FA7"/>
    <w:rsid w:val="00B071B6"/>
    <w:rsid w:val="00B13490"/>
    <w:rsid w:val="00B14649"/>
    <w:rsid w:val="00B20947"/>
    <w:rsid w:val="00B70E6F"/>
    <w:rsid w:val="00B91BF0"/>
    <w:rsid w:val="00BB6985"/>
    <w:rsid w:val="00BD0783"/>
    <w:rsid w:val="00BD17EF"/>
    <w:rsid w:val="00BF4F97"/>
    <w:rsid w:val="00C02512"/>
    <w:rsid w:val="00C25C86"/>
    <w:rsid w:val="00C36D00"/>
    <w:rsid w:val="00C463C1"/>
    <w:rsid w:val="00C46931"/>
    <w:rsid w:val="00C476A7"/>
    <w:rsid w:val="00C47A89"/>
    <w:rsid w:val="00C73E6B"/>
    <w:rsid w:val="00C85D4E"/>
    <w:rsid w:val="00CA2ACF"/>
    <w:rsid w:val="00CB5C9F"/>
    <w:rsid w:val="00CB74C6"/>
    <w:rsid w:val="00CD11DB"/>
    <w:rsid w:val="00CD2037"/>
    <w:rsid w:val="00D004D1"/>
    <w:rsid w:val="00D06884"/>
    <w:rsid w:val="00D15579"/>
    <w:rsid w:val="00D45541"/>
    <w:rsid w:val="00D53BFE"/>
    <w:rsid w:val="00D747A1"/>
    <w:rsid w:val="00DB5425"/>
    <w:rsid w:val="00DC23E1"/>
    <w:rsid w:val="00DC727C"/>
    <w:rsid w:val="00DF4B57"/>
    <w:rsid w:val="00E22BAA"/>
    <w:rsid w:val="00E52D98"/>
    <w:rsid w:val="00E52DAA"/>
    <w:rsid w:val="00E566ED"/>
    <w:rsid w:val="00E731F0"/>
    <w:rsid w:val="00E84228"/>
    <w:rsid w:val="00ED67BE"/>
    <w:rsid w:val="00EF41BE"/>
    <w:rsid w:val="00F11065"/>
    <w:rsid w:val="00F40307"/>
    <w:rsid w:val="00F571F9"/>
    <w:rsid w:val="00F8294D"/>
    <w:rsid w:val="00F92C64"/>
    <w:rsid w:val="00FB3D7B"/>
    <w:rsid w:val="00FB6F6A"/>
    <w:rsid w:val="00FC67CB"/>
    <w:rsid w:val="00FD61EB"/>
    <w:rsid w:val="00FE33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C722"/>
  <w15:chartTrackingRefBased/>
  <w15:docId w15:val="{A43856B0-C055-47BD-9975-8D365695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1BC"/>
    <w:pPr>
      <w:tabs>
        <w:tab w:val="center" w:pos="4153"/>
        <w:tab w:val="right" w:pos="8306"/>
      </w:tabs>
      <w:spacing w:after="0" w:line="240" w:lineRule="auto"/>
    </w:pPr>
  </w:style>
  <w:style w:type="character" w:customStyle="1" w:styleId="a4">
    <w:name w:val="כותרת עליונה תו"/>
    <w:basedOn w:val="a0"/>
    <w:link w:val="a3"/>
    <w:uiPriority w:val="99"/>
    <w:rsid w:val="006341BC"/>
  </w:style>
  <w:style w:type="paragraph" w:styleId="a5">
    <w:name w:val="footer"/>
    <w:basedOn w:val="a"/>
    <w:link w:val="a6"/>
    <w:uiPriority w:val="99"/>
    <w:unhideWhenUsed/>
    <w:rsid w:val="006341BC"/>
    <w:pPr>
      <w:tabs>
        <w:tab w:val="center" w:pos="4153"/>
        <w:tab w:val="right" w:pos="8306"/>
      </w:tabs>
      <w:spacing w:after="0" w:line="240" w:lineRule="auto"/>
    </w:pPr>
  </w:style>
  <w:style w:type="character" w:customStyle="1" w:styleId="a6">
    <w:name w:val="כותרת תחתונה תו"/>
    <w:basedOn w:val="a0"/>
    <w:link w:val="a5"/>
    <w:uiPriority w:val="99"/>
    <w:rsid w:val="006341BC"/>
  </w:style>
  <w:style w:type="character" w:styleId="Hyperlink">
    <w:name w:val="Hyperlink"/>
    <w:basedOn w:val="a0"/>
    <w:uiPriority w:val="99"/>
    <w:unhideWhenUsed/>
    <w:rsid w:val="00634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79614">
      <w:bodyDiv w:val="1"/>
      <w:marLeft w:val="0"/>
      <w:marRight w:val="0"/>
      <w:marTop w:val="0"/>
      <w:marBottom w:val="0"/>
      <w:divBdr>
        <w:top w:val="none" w:sz="0" w:space="0" w:color="auto"/>
        <w:left w:val="none" w:sz="0" w:space="0" w:color="auto"/>
        <w:bottom w:val="none" w:sz="0" w:space="0" w:color="auto"/>
        <w:right w:val="none" w:sz="0" w:space="0" w:color="auto"/>
      </w:divBdr>
    </w:div>
    <w:div w:id="1140735018">
      <w:bodyDiv w:val="1"/>
      <w:marLeft w:val="0"/>
      <w:marRight w:val="0"/>
      <w:marTop w:val="0"/>
      <w:marBottom w:val="0"/>
      <w:divBdr>
        <w:top w:val="none" w:sz="0" w:space="0" w:color="auto"/>
        <w:left w:val="none" w:sz="0" w:space="0" w:color="auto"/>
        <w:bottom w:val="none" w:sz="0" w:space="0" w:color="auto"/>
        <w:right w:val="none" w:sz="0" w:space="0" w:color="auto"/>
      </w:divBdr>
    </w:div>
    <w:div w:id="16715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4.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3.png"/><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5.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1108</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 ברזני</dc:creator>
  <cp:keywords/>
  <dc:description/>
  <cp:lastModifiedBy>לירון בן עמוס</cp:lastModifiedBy>
  <cp:revision>8</cp:revision>
  <dcterms:created xsi:type="dcterms:W3CDTF">2024-07-17T07:35:00Z</dcterms:created>
  <dcterms:modified xsi:type="dcterms:W3CDTF">2024-07-17T07:40:00Z</dcterms:modified>
</cp:coreProperties>
</file>