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DF" w:rsidRPr="00C458C2" w:rsidRDefault="007055DF" w:rsidP="007055DF">
      <w:pPr>
        <w:bidi w:val="0"/>
        <w:rPr>
          <w:rFonts w:asciiTheme="majorBidi" w:hAnsiTheme="majorBidi" w:cstheme="majorBidi"/>
        </w:rPr>
      </w:pPr>
    </w:p>
    <w:p w:rsidR="00CB5D78" w:rsidRPr="00C458C2" w:rsidRDefault="0099613E" w:rsidP="0055084F">
      <w:pPr>
        <w:bidi w:val="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August 24, 2023</w:t>
      </w:r>
    </w:p>
    <w:p w:rsidR="00883627" w:rsidRPr="00C458C2" w:rsidRDefault="00883627" w:rsidP="00C8497E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:rsidR="00CB5D78" w:rsidRPr="0055084F" w:rsidRDefault="00CB5D78" w:rsidP="0055084F">
      <w:pPr>
        <w:pStyle w:val="PressReleaseTitle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55084F">
        <w:rPr>
          <w:rFonts w:asciiTheme="majorBidi" w:hAnsiTheme="majorBidi" w:cstheme="majorBidi"/>
          <w:b w:val="0"/>
          <w:bCs w:val="0"/>
          <w:sz w:val="24"/>
          <w:szCs w:val="24"/>
        </w:rPr>
        <w:t>Press Release</w:t>
      </w:r>
      <w:r w:rsidR="0055084F">
        <w:rPr>
          <w:rFonts w:asciiTheme="majorBidi" w:hAnsiTheme="majorBidi" w:cstheme="majorBidi"/>
          <w:b w:val="0"/>
          <w:bCs w:val="0"/>
          <w:sz w:val="24"/>
          <w:szCs w:val="24"/>
        </w:rPr>
        <w:t>:</w:t>
      </w:r>
      <w:bookmarkStart w:id="0" w:name="_GoBack"/>
      <w:bookmarkEnd w:id="0"/>
    </w:p>
    <w:p w:rsidR="0094738B" w:rsidRPr="00C458C2" w:rsidRDefault="0094738B" w:rsidP="00C8497E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:rsidR="0094738B" w:rsidRPr="00C458C2" w:rsidRDefault="0094738B" w:rsidP="0099613E">
      <w:pPr>
        <w:pStyle w:val="PressReleaseTitle"/>
        <w:rPr>
          <w:rFonts w:asciiTheme="majorBidi" w:hAnsiTheme="majorBidi" w:cstheme="majorBidi"/>
        </w:rPr>
      </w:pPr>
      <w:r w:rsidRPr="00C458C2">
        <w:rPr>
          <w:rFonts w:asciiTheme="majorBidi" w:hAnsiTheme="majorBidi" w:cstheme="majorBidi"/>
        </w:rPr>
        <w:t xml:space="preserve">The </w:t>
      </w:r>
      <w:r w:rsidR="00402056" w:rsidRPr="00C458C2">
        <w:rPr>
          <w:rFonts w:asciiTheme="majorBidi" w:hAnsiTheme="majorBidi" w:cstheme="majorBidi"/>
        </w:rPr>
        <w:t xml:space="preserve">Composite State of the Economy Index </w:t>
      </w:r>
      <w:r w:rsidR="00680845" w:rsidRPr="00C458C2">
        <w:rPr>
          <w:rFonts w:asciiTheme="majorBidi" w:hAnsiTheme="majorBidi" w:cstheme="majorBidi"/>
        </w:rPr>
        <w:t>increased</w:t>
      </w:r>
      <w:r w:rsidR="009B12A9" w:rsidRPr="00C458C2">
        <w:rPr>
          <w:rFonts w:asciiTheme="majorBidi" w:hAnsiTheme="majorBidi" w:cstheme="majorBidi"/>
        </w:rPr>
        <w:t xml:space="preserve"> by 0.</w:t>
      </w:r>
      <w:r w:rsidR="0099613E">
        <w:rPr>
          <w:rFonts w:asciiTheme="majorBidi" w:hAnsiTheme="majorBidi" w:cstheme="majorBidi"/>
        </w:rPr>
        <w:t xml:space="preserve">17 </w:t>
      </w:r>
      <w:r w:rsidR="009B12A9" w:rsidRPr="00C458C2">
        <w:rPr>
          <w:rFonts w:asciiTheme="majorBidi" w:hAnsiTheme="majorBidi" w:cstheme="majorBidi"/>
        </w:rPr>
        <w:t>percent</w:t>
      </w:r>
      <w:r w:rsidR="003C1E17" w:rsidRPr="00C458C2">
        <w:rPr>
          <w:rFonts w:asciiTheme="majorBidi" w:hAnsiTheme="majorBidi" w:cstheme="majorBidi"/>
        </w:rPr>
        <w:t xml:space="preserve"> in </w:t>
      </w:r>
      <w:r w:rsidR="0099613E">
        <w:rPr>
          <w:rFonts w:asciiTheme="majorBidi" w:hAnsiTheme="majorBidi" w:cstheme="majorBidi"/>
        </w:rPr>
        <w:t>July</w:t>
      </w:r>
    </w:p>
    <w:p w:rsidR="0094738B" w:rsidRPr="00C458C2" w:rsidRDefault="0094738B" w:rsidP="00C8497E">
      <w:pPr>
        <w:pStyle w:val="PressReleaseTitle"/>
        <w:rPr>
          <w:rFonts w:asciiTheme="majorBidi" w:hAnsiTheme="majorBidi" w:cstheme="majorBidi"/>
          <w:sz w:val="24"/>
          <w:szCs w:val="24"/>
        </w:rPr>
      </w:pPr>
    </w:p>
    <w:p w:rsidR="00A972B9" w:rsidRPr="00C458C2" w:rsidRDefault="00E966E6" w:rsidP="00BE5E61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 w:rsidRPr="00C458C2">
        <w:rPr>
          <w:rFonts w:asciiTheme="majorBidi" w:hAnsiTheme="majorBidi" w:cstheme="majorBidi"/>
        </w:rPr>
        <w:t>T</w:t>
      </w:r>
      <w:r w:rsidR="00344C9C" w:rsidRPr="00C458C2">
        <w:rPr>
          <w:rFonts w:asciiTheme="majorBidi" w:hAnsiTheme="majorBidi" w:cstheme="majorBidi"/>
        </w:rPr>
        <w:t xml:space="preserve">he Composite State of the Economy Index </w:t>
      </w:r>
      <w:r w:rsidR="00680845" w:rsidRPr="00C458C2">
        <w:rPr>
          <w:rFonts w:asciiTheme="majorBidi" w:hAnsiTheme="majorBidi" w:cstheme="majorBidi"/>
        </w:rPr>
        <w:t>increased</w:t>
      </w:r>
      <w:r w:rsidR="00F906A9" w:rsidRPr="00C458C2">
        <w:rPr>
          <w:rFonts w:asciiTheme="majorBidi" w:hAnsiTheme="majorBidi" w:cstheme="majorBidi"/>
        </w:rPr>
        <w:t xml:space="preserve"> </w:t>
      </w:r>
      <w:r w:rsidR="00344C9C" w:rsidRPr="00C458C2">
        <w:rPr>
          <w:rFonts w:asciiTheme="majorBidi" w:hAnsiTheme="majorBidi" w:cstheme="majorBidi"/>
        </w:rPr>
        <w:t>by</w:t>
      </w:r>
      <w:r w:rsidR="003A39F9" w:rsidRPr="00C458C2">
        <w:rPr>
          <w:rFonts w:asciiTheme="majorBidi" w:hAnsiTheme="majorBidi" w:cstheme="majorBidi"/>
        </w:rPr>
        <w:t xml:space="preserve"> </w:t>
      </w:r>
      <w:r w:rsidR="009268B5">
        <w:rPr>
          <w:rFonts w:asciiTheme="majorBidi" w:hAnsiTheme="majorBidi" w:cstheme="majorBidi"/>
        </w:rPr>
        <w:t xml:space="preserve">a moderate rate of </w:t>
      </w:r>
      <w:r w:rsidR="00344C9C" w:rsidRPr="00C458C2">
        <w:rPr>
          <w:rFonts w:asciiTheme="majorBidi" w:hAnsiTheme="majorBidi" w:cstheme="majorBidi"/>
        </w:rPr>
        <w:t>0</w:t>
      </w:r>
      <w:r w:rsidR="004A1904" w:rsidRPr="00C458C2">
        <w:rPr>
          <w:rFonts w:asciiTheme="majorBidi" w:hAnsiTheme="majorBidi" w:cstheme="majorBidi"/>
        </w:rPr>
        <w:t>.</w:t>
      </w:r>
      <w:r w:rsidR="0099613E">
        <w:rPr>
          <w:rFonts w:asciiTheme="majorBidi" w:hAnsiTheme="majorBidi" w:cstheme="majorBidi"/>
        </w:rPr>
        <w:t>17</w:t>
      </w:r>
      <w:r w:rsidR="00344C9C" w:rsidRPr="00C458C2">
        <w:rPr>
          <w:rFonts w:asciiTheme="majorBidi" w:hAnsiTheme="majorBidi" w:cstheme="majorBidi"/>
        </w:rPr>
        <w:t xml:space="preserve"> percent</w:t>
      </w:r>
      <w:r w:rsidR="004918AE" w:rsidRPr="00C458C2">
        <w:rPr>
          <w:rFonts w:asciiTheme="majorBidi" w:hAnsiTheme="majorBidi" w:cstheme="majorBidi"/>
        </w:rPr>
        <w:t xml:space="preserve"> </w:t>
      </w:r>
      <w:r w:rsidR="00B0501F" w:rsidRPr="00C458C2">
        <w:rPr>
          <w:rFonts w:asciiTheme="majorBidi" w:hAnsiTheme="majorBidi" w:cstheme="majorBidi"/>
        </w:rPr>
        <w:t xml:space="preserve">in </w:t>
      </w:r>
      <w:r w:rsidR="0099613E">
        <w:rPr>
          <w:rFonts w:asciiTheme="majorBidi" w:hAnsiTheme="majorBidi" w:cstheme="majorBidi"/>
        </w:rPr>
        <w:t>July</w:t>
      </w:r>
      <w:r w:rsidR="00BA4D11">
        <w:rPr>
          <w:rFonts w:asciiTheme="majorBidi" w:hAnsiTheme="majorBidi" w:cstheme="majorBidi"/>
        </w:rPr>
        <w:t>,</w:t>
      </w:r>
      <w:r w:rsidR="00B1186D">
        <w:rPr>
          <w:rFonts w:asciiTheme="majorBidi" w:hAnsiTheme="majorBidi" w:cstheme="majorBidi"/>
        </w:rPr>
        <w:t xml:space="preserve"> </w:t>
      </w:r>
      <w:r w:rsidR="005366E0">
        <w:rPr>
          <w:rFonts w:asciiTheme="majorBidi" w:hAnsiTheme="majorBidi" w:cstheme="majorBidi"/>
        </w:rPr>
        <w:t xml:space="preserve">similar to the average over the </w:t>
      </w:r>
      <w:r w:rsidR="001A36FD">
        <w:rPr>
          <w:rFonts w:asciiTheme="majorBidi" w:hAnsiTheme="majorBidi" w:cstheme="majorBidi"/>
        </w:rPr>
        <w:t xml:space="preserve">preceding </w:t>
      </w:r>
      <w:r w:rsidR="005366E0">
        <w:rPr>
          <w:rFonts w:asciiTheme="majorBidi" w:hAnsiTheme="majorBidi" w:cstheme="majorBidi"/>
        </w:rPr>
        <w:t>3 months. This pace is low</w:t>
      </w:r>
      <w:r w:rsidR="00BE5E61">
        <w:rPr>
          <w:rFonts w:asciiTheme="majorBidi" w:hAnsiTheme="majorBidi" w:cstheme="majorBidi"/>
        </w:rPr>
        <w:t xml:space="preserve"> </w:t>
      </w:r>
      <w:r w:rsidR="005366E0">
        <w:rPr>
          <w:rFonts w:asciiTheme="majorBidi" w:hAnsiTheme="majorBidi" w:cstheme="majorBidi"/>
        </w:rPr>
        <w:t>compared to the Index’s long-term average.</w:t>
      </w:r>
    </w:p>
    <w:p w:rsidR="00A972B9" w:rsidRPr="00C458C2" w:rsidRDefault="00A972B9" w:rsidP="00722B6A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</w:p>
    <w:p w:rsidR="00C96063" w:rsidRDefault="00C96063" w:rsidP="00DE1A5F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Index was positively influenced this month by increases in</w:t>
      </w:r>
      <w:r w:rsidR="00596B8F">
        <w:rPr>
          <w:rFonts w:asciiTheme="majorBidi" w:hAnsiTheme="majorBidi" w:cstheme="majorBidi"/>
        </w:rPr>
        <w:t xml:space="preserve"> </w:t>
      </w:r>
      <w:r w:rsidR="00CB5BAF">
        <w:rPr>
          <w:rFonts w:asciiTheme="majorBidi" w:hAnsiTheme="majorBidi" w:cstheme="majorBidi"/>
        </w:rPr>
        <w:t>consumer goods imports (July), imports of production inputs (</w:t>
      </w:r>
      <w:r w:rsidR="00DE1A5F">
        <w:rPr>
          <w:rFonts w:asciiTheme="majorBidi" w:hAnsiTheme="majorBidi" w:cstheme="majorBidi"/>
        </w:rPr>
        <w:t>July</w:t>
      </w:r>
      <w:r w:rsidR="00CB5BAF">
        <w:rPr>
          <w:rFonts w:asciiTheme="majorBidi" w:hAnsiTheme="majorBidi" w:cstheme="majorBidi"/>
        </w:rPr>
        <w:t>), goods exports (July), employee posts (</w:t>
      </w:r>
      <w:r w:rsidR="00DE1A5F">
        <w:rPr>
          <w:rFonts w:asciiTheme="majorBidi" w:hAnsiTheme="majorBidi" w:cstheme="majorBidi"/>
        </w:rPr>
        <w:t>May</w:t>
      </w:r>
      <w:r w:rsidR="00CB5BAF">
        <w:rPr>
          <w:rFonts w:asciiTheme="majorBidi" w:hAnsiTheme="majorBidi" w:cstheme="majorBidi"/>
        </w:rPr>
        <w:t>),</w:t>
      </w:r>
      <w:r w:rsidR="00DE1A5F">
        <w:rPr>
          <w:rFonts w:asciiTheme="majorBidi" w:hAnsiTheme="majorBidi" w:cstheme="majorBidi"/>
        </w:rPr>
        <w:t xml:space="preserve"> electricity production (July), </w:t>
      </w:r>
      <w:r w:rsidR="00CB5BAF" w:rsidRPr="00CA4387">
        <w:rPr>
          <w:rFonts w:asciiTheme="majorBidi" w:hAnsiTheme="majorBidi" w:cstheme="majorBidi"/>
        </w:rPr>
        <w:t>and credit card purchases (</w:t>
      </w:r>
      <w:r w:rsidR="00CB5BAF">
        <w:rPr>
          <w:rFonts w:asciiTheme="majorBidi" w:hAnsiTheme="majorBidi" w:cstheme="majorBidi"/>
        </w:rPr>
        <w:t>July</w:t>
      </w:r>
      <w:r w:rsidR="00CB5BAF" w:rsidRPr="00CA4387">
        <w:rPr>
          <w:rFonts w:asciiTheme="majorBidi" w:hAnsiTheme="majorBidi" w:cstheme="majorBidi"/>
        </w:rPr>
        <w:t>)</w:t>
      </w:r>
      <w:r w:rsidR="00837F9C">
        <w:rPr>
          <w:rFonts w:asciiTheme="majorBidi" w:hAnsiTheme="majorBidi" w:cstheme="majorBidi"/>
        </w:rPr>
        <w:t>.</w:t>
      </w:r>
      <w:r w:rsidR="00596B8F" w:rsidRPr="00CA4387">
        <w:rPr>
          <w:rFonts w:asciiTheme="majorBidi" w:hAnsiTheme="majorBidi" w:cstheme="majorBidi"/>
        </w:rPr>
        <w:t xml:space="preserve"> In contrast,</w:t>
      </w:r>
      <w:r w:rsidR="00BA4D11" w:rsidRPr="00CA4387">
        <w:rPr>
          <w:rFonts w:asciiTheme="majorBidi" w:hAnsiTheme="majorBidi" w:cstheme="majorBidi"/>
        </w:rPr>
        <w:t xml:space="preserve"> the</w:t>
      </w:r>
      <w:r w:rsidR="00CA4387" w:rsidRPr="00CA4387">
        <w:rPr>
          <w:rFonts w:asciiTheme="majorBidi" w:hAnsiTheme="majorBidi" w:cstheme="majorBidi"/>
        </w:rPr>
        <w:t xml:space="preserve"> Industrial Production</w:t>
      </w:r>
      <w:r w:rsidR="00CA4387">
        <w:rPr>
          <w:rFonts w:asciiTheme="majorBidi" w:hAnsiTheme="majorBidi" w:cstheme="majorBidi"/>
        </w:rPr>
        <w:t xml:space="preserve"> Index (</w:t>
      </w:r>
      <w:r w:rsidR="00DE1A5F">
        <w:rPr>
          <w:rFonts w:asciiTheme="majorBidi" w:hAnsiTheme="majorBidi" w:cstheme="majorBidi"/>
        </w:rPr>
        <w:t>June</w:t>
      </w:r>
      <w:r w:rsidR="00CA4387">
        <w:rPr>
          <w:rFonts w:asciiTheme="majorBidi" w:hAnsiTheme="majorBidi" w:cstheme="majorBidi"/>
        </w:rPr>
        <w:t>), the</w:t>
      </w:r>
      <w:r w:rsidR="00BA4D11">
        <w:rPr>
          <w:rFonts w:asciiTheme="majorBidi" w:hAnsiTheme="majorBidi" w:cstheme="majorBidi"/>
        </w:rPr>
        <w:t xml:space="preserve"> services revenue index (</w:t>
      </w:r>
      <w:r w:rsidR="00DE1A5F">
        <w:rPr>
          <w:rFonts w:asciiTheme="majorBidi" w:hAnsiTheme="majorBidi" w:cstheme="majorBidi"/>
        </w:rPr>
        <w:t>June</w:t>
      </w:r>
      <w:r w:rsidR="00BA4D11">
        <w:rPr>
          <w:rFonts w:asciiTheme="majorBidi" w:hAnsiTheme="majorBidi" w:cstheme="majorBidi"/>
        </w:rPr>
        <w:t xml:space="preserve">), </w:t>
      </w:r>
      <w:r w:rsidR="00837F9C">
        <w:rPr>
          <w:rFonts w:asciiTheme="majorBidi" w:hAnsiTheme="majorBidi" w:cstheme="majorBidi"/>
        </w:rPr>
        <w:t xml:space="preserve">services exports (May), and the job vacancy rate (July) declined and </w:t>
      </w:r>
      <w:r>
        <w:rPr>
          <w:rFonts w:asciiTheme="majorBidi" w:hAnsiTheme="majorBidi" w:cstheme="majorBidi"/>
        </w:rPr>
        <w:t>had a negative impact on the Index.</w:t>
      </w:r>
    </w:p>
    <w:p w:rsidR="00837F9C" w:rsidRDefault="00837F9C" w:rsidP="00837F9C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</w:p>
    <w:p w:rsidR="009D4A6F" w:rsidRDefault="00837F9C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Index data for February–June </w:t>
      </w:r>
      <w:r w:rsidR="00DF3AEE">
        <w:rPr>
          <w:rFonts w:asciiTheme="majorBidi" w:hAnsiTheme="majorBidi" w:cstheme="majorBidi"/>
        </w:rPr>
        <w:t xml:space="preserve">2023 </w:t>
      </w:r>
      <w:r>
        <w:rPr>
          <w:rFonts w:asciiTheme="majorBidi" w:hAnsiTheme="majorBidi" w:cstheme="majorBidi"/>
        </w:rPr>
        <w:t>were revised due to update</w:t>
      </w:r>
      <w:r w:rsidR="008626D4">
        <w:rPr>
          <w:rFonts w:asciiTheme="majorBidi" w:hAnsiTheme="majorBidi" w:cstheme="majorBidi"/>
        </w:rPr>
        <w:t>d data</w:t>
      </w:r>
      <w:r>
        <w:rPr>
          <w:rFonts w:asciiTheme="majorBidi" w:hAnsiTheme="majorBidi" w:cstheme="majorBidi"/>
        </w:rPr>
        <w:t xml:space="preserve"> and the receipt of National Accounts data for the second quarter of 2023. </w:t>
      </w:r>
      <w:r w:rsidR="005A4626" w:rsidRPr="00C458C2">
        <w:rPr>
          <w:rFonts w:asciiTheme="majorBidi" w:hAnsiTheme="majorBidi" w:cstheme="majorBidi"/>
        </w:rPr>
        <w:t xml:space="preserve">Table 1 presents the </w:t>
      </w:r>
      <w:r w:rsidR="00742B3C">
        <w:rPr>
          <w:rFonts w:asciiTheme="majorBidi" w:hAnsiTheme="majorBidi" w:cstheme="majorBidi"/>
        </w:rPr>
        <w:t xml:space="preserve">retroactive </w:t>
      </w:r>
      <w:r w:rsidR="005A4626" w:rsidRPr="00C458C2">
        <w:rPr>
          <w:rFonts w:asciiTheme="majorBidi" w:hAnsiTheme="majorBidi" w:cstheme="majorBidi"/>
        </w:rPr>
        <w:t>revisions to the Index for previous months.</w:t>
      </w:r>
      <w:r w:rsidR="00BE5E61">
        <w:rPr>
          <w:rFonts w:asciiTheme="majorBidi" w:hAnsiTheme="majorBidi" w:cstheme="majorBidi"/>
        </w:rPr>
        <w:t xml:space="preserve"> </w:t>
      </w:r>
      <w:r w:rsidR="009D4A6F" w:rsidRPr="00C458C2">
        <w:rPr>
          <w:rFonts w:asciiTheme="majorBidi" w:hAnsiTheme="majorBidi" w:cstheme="majorBidi"/>
        </w:rPr>
        <w:t>T</w:t>
      </w:r>
      <w:r w:rsidR="00402056" w:rsidRPr="00C458C2">
        <w:rPr>
          <w:rFonts w:asciiTheme="majorBidi" w:hAnsiTheme="majorBidi" w:cstheme="majorBidi"/>
        </w:rPr>
        <w:t>able 2 presents the development of components of the Index in the past few months.</w:t>
      </w:r>
      <w:r w:rsidR="0026469E" w:rsidRPr="00C458C2">
        <w:rPr>
          <w:rFonts w:asciiTheme="majorBidi" w:hAnsiTheme="majorBidi" w:cstheme="majorBidi"/>
        </w:rPr>
        <w:t xml:space="preserve"> </w:t>
      </w:r>
    </w:p>
    <w:p w:rsidR="00A11CE8" w:rsidRDefault="00A11CE8" w:rsidP="00C8497E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</w:p>
    <w:p w:rsidR="006B4106" w:rsidRPr="00C458C2" w:rsidRDefault="006B4106" w:rsidP="00C8497E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</w:p>
    <w:p w:rsidR="00402056" w:rsidRPr="00C458C2" w:rsidRDefault="00402056" w:rsidP="00C8497E">
      <w:pPr>
        <w:pStyle w:val="regpar"/>
        <w:spacing w:line="280" w:lineRule="exact"/>
        <w:ind w:firstLine="0"/>
        <w:rPr>
          <w:rFonts w:asciiTheme="majorBidi" w:hAnsiTheme="majorBidi" w:cstheme="majorBidi"/>
          <w:b/>
          <w:bCs/>
          <w:sz w:val="26"/>
          <w:szCs w:val="26"/>
        </w:rPr>
      </w:pPr>
      <w:r w:rsidRPr="00C458C2">
        <w:rPr>
          <w:rFonts w:asciiTheme="majorBidi" w:hAnsiTheme="majorBidi" w:cstheme="majorBidi"/>
          <w:b/>
          <w:bCs/>
          <w:sz w:val="26"/>
          <w:szCs w:val="26"/>
        </w:rPr>
        <w:t>Table 1: Revisions in the Composite Index</w:t>
      </w:r>
      <w:r w:rsidR="00AA3ADA" w:rsidRPr="00C458C2">
        <w:rPr>
          <w:rFonts w:asciiTheme="majorBidi" w:hAnsiTheme="majorBidi" w:cstheme="majorBidi"/>
          <w:b/>
          <w:bCs/>
          <w:sz w:val="26"/>
          <w:szCs w:val="26"/>
        </w:rPr>
        <w:t xml:space="preserve"> (percent)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39"/>
        <w:gridCol w:w="1840"/>
      </w:tblGrid>
      <w:tr w:rsidR="00402056" w:rsidRPr="00C458C2" w:rsidTr="00373AA2">
        <w:trPr>
          <w:trHeight w:val="261"/>
        </w:trPr>
        <w:tc>
          <w:tcPr>
            <w:tcW w:w="1839" w:type="dxa"/>
            <w:shd w:val="clear" w:color="auto" w:fill="auto"/>
          </w:tcPr>
          <w:p w:rsidR="00402056" w:rsidRPr="00C458C2" w:rsidRDefault="00402056" w:rsidP="00C8497E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C458C2">
              <w:rPr>
                <w:rFonts w:asciiTheme="majorBidi" w:hAnsiTheme="majorBidi" w:cstheme="majorBidi"/>
                <w:b/>
                <w:bCs/>
              </w:rPr>
              <w:t>Revision</w:t>
            </w:r>
          </w:p>
        </w:tc>
        <w:tc>
          <w:tcPr>
            <w:tcW w:w="1839" w:type="dxa"/>
            <w:shd w:val="clear" w:color="auto" w:fill="auto"/>
          </w:tcPr>
          <w:p w:rsidR="00402056" w:rsidRPr="00C458C2" w:rsidRDefault="00402056" w:rsidP="00C8497E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C458C2">
              <w:rPr>
                <w:rFonts w:asciiTheme="majorBidi" w:hAnsiTheme="majorBidi" w:cstheme="majorBidi"/>
                <w:b/>
                <w:bCs/>
              </w:rPr>
              <w:t xml:space="preserve">Previous </w:t>
            </w:r>
            <w:r w:rsidR="00CA6C76" w:rsidRPr="00C458C2">
              <w:rPr>
                <w:rFonts w:asciiTheme="majorBidi" w:hAnsiTheme="majorBidi" w:cstheme="majorBidi"/>
                <w:b/>
                <w:bCs/>
              </w:rPr>
              <w:t>figure</w:t>
            </w:r>
          </w:p>
        </w:tc>
        <w:tc>
          <w:tcPr>
            <w:tcW w:w="1840" w:type="dxa"/>
            <w:shd w:val="clear" w:color="auto" w:fill="auto"/>
          </w:tcPr>
          <w:p w:rsidR="00402056" w:rsidRPr="00C458C2" w:rsidRDefault="00402056" w:rsidP="00286AA0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58C2">
              <w:rPr>
                <w:rFonts w:asciiTheme="majorBidi" w:hAnsiTheme="majorBidi" w:cstheme="majorBidi"/>
                <w:b/>
                <w:bCs/>
              </w:rPr>
              <w:t xml:space="preserve">New </w:t>
            </w:r>
            <w:r w:rsidR="00CA6C76" w:rsidRPr="00C458C2">
              <w:rPr>
                <w:rFonts w:asciiTheme="majorBidi" w:hAnsiTheme="majorBidi" w:cstheme="majorBidi"/>
                <w:b/>
                <w:bCs/>
              </w:rPr>
              <w:t>figure</w:t>
            </w:r>
          </w:p>
        </w:tc>
      </w:tr>
      <w:tr w:rsidR="00EA2853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EA2853" w:rsidRDefault="00A15919" w:rsidP="004F6402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July</w:t>
            </w:r>
          </w:p>
        </w:tc>
        <w:tc>
          <w:tcPr>
            <w:tcW w:w="1839" w:type="dxa"/>
            <w:shd w:val="clear" w:color="auto" w:fill="auto"/>
          </w:tcPr>
          <w:p w:rsidR="00EA2853" w:rsidRPr="00C458C2" w:rsidRDefault="00EA2853" w:rsidP="004F6402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0" w:type="dxa"/>
            <w:shd w:val="clear" w:color="auto" w:fill="auto"/>
          </w:tcPr>
          <w:p w:rsidR="00EA2853" w:rsidRDefault="00BA4D11" w:rsidP="00596B8F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</w:t>
            </w:r>
            <w:r w:rsidR="00A15919">
              <w:rPr>
                <w:rFonts w:asciiTheme="majorBidi" w:hAnsiTheme="majorBidi" w:cstheme="majorBidi"/>
              </w:rPr>
              <w:t>17</w:t>
            </w:r>
          </w:p>
        </w:tc>
      </w:tr>
      <w:tr w:rsidR="00A15919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A15919" w:rsidRDefault="00A15919" w:rsidP="00A15919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June</w:t>
            </w:r>
          </w:p>
        </w:tc>
        <w:tc>
          <w:tcPr>
            <w:tcW w:w="1839" w:type="dxa"/>
            <w:shd w:val="clear" w:color="auto" w:fill="auto"/>
          </w:tcPr>
          <w:p w:rsidR="00A15919" w:rsidRDefault="00A15919" w:rsidP="00A15919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0.20</w:t>
            </w:r>
          </w:p>
        </w:tc>
        <w:tc>
          <w:tcPr>
            <w:tcW w:w="1840" w:type="dxa"/>
            <w:shd w:val="clear" w:color="auto" w:fill="auto"/>
          </w:tcPr>
          <w:p w:rsidR="00A15919" w:rsidRDefault="00A15919" w:rsidP="00A15919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0.07</w:t>
            </w:r>
          </w:p>
        </w:tc>
      </w:tr>
      <w:tr w:rsidR="00A15919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A15919" w:rsidRDefault="00A15919" w:rsidP="00A15919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May</w:t>
            </w:r>
          </w:p>
        </w:tc>
        <w:tc>
          <w:tcPr>
            <w:tcW w:w="1839" w:type="dxa"/>
            <w:shd w:val="clear" w:color="auto" w:fill="auto"/>
          </w:tcPr>
          <w:p w:rsidR="00A15919" w:rsidRDefault="00A15919" w:rsidP="00A15919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0.20</w:t>
            </w:r>
          </w:p>
        </w:tc>
        <w:tc>
          <w:tcPr>
            <w:tcW w:w="1840" w:type="dxa"/>
            <w:shd w:val="clear" w:color="auto" w:fill="auto"/>
          </w:tcPr>
          <w:p w:rsidR="00A15919" w:rsidRDefault="00A15919" w:rsidP="00A15919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0.22</w:t>
            </w:r>
          </w:p>
        </w:tc>
      </w:tr>
      <w:tr w:rsidR="00A15919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A15919" w:rsidRDefault="00A15919" w:rsidP="00A15919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April</w:t>
            </w:r>
          </w:p>
        </w:tc>
        <w:tc>
          <w:tcPr>
            <w:tcW w:w="1839" w:type="dxa"/>
            <w:shd w:val="clear" w:color="auto" w:fill="auto"/>
          </w:tcPr>
          <w:p w:rsidR="00A15919" w:rsidRPr="00C458C2" w:rsidRDefault="00A15919" w:rsidP="00A15919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0.03</w:t>
            </w:r>
          </w:p>
        </w:tc>
        <w:tc>
          <w:tcPr>
            <w:tcW w:w="1840" w:type="dxa"/>
            <w:shd w:val="clear" w:color="auto" w:fill="auto"/>
          </w:tcPr>
          <w:p w:rsidR="00A15919" w:rsidRPr="00C458C2" w:rsidRDefault="00A15919" w:rsidP="00A15919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0.04</w:t>
            </w:r>
          </w:p>
        </w:tc>
      </w:tr>
      <w:tr w:rsidR="00A15919" w:rsidRPr="00C458C2" w:rsidTr="006412B6">
        <w:trPr>
          <w:trHeight w:val="53"/>
        </w:trPr>
        <w:tc>
          <w:tcPr>
            <w:tcW w:w="1839" w:type="dxa"/>
            <w:shd w:val="clear" w:color="auto" w:fill="auto"/>
          </w:tcPr>
          <w:p w:rsidR="00A15919" w:rsidRPr="00C458C2" w:rsidRDefault="00A15919" w:rsidP="00A15919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</w:t>
            </w:r>
          </w:p>
        </w:tc>
        <w:tc>
          <w:tcPr>
            <w:tcW w:w="1839" w:type="dxa"/>
            <w:shd w:val="clear" w:color="auto" w:fill="auto"/>
          </w:tcPr>
          <w:p w:rsidR="00A15919" w:rsidRPr="00C458C2" w:rsidRDefault="00A15919" w:rsidP="00A15919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1840" w:type="dxa"/>
            <w:shd w:val="clear" w:color="auto" w:fill="auto"/>
          </w:tcPr>
          <w:p w:rsidR="00A15919" w:rsidRPr="00C458C2" w:rsidRDefault="00A15919" w:rsidP="00A15919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-0.01</w:t>
            </w:r>
          </w:p>
        </w:tc>
      </w:tr>
      <w:tr w:rsidR="00A15919" w:rsidRPr="00C458C2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A15919" w:rsidRPr="00C458C2" w:rsidRDefault="00A15919" w:rsidP="00A15919">
            <w:pPr>
              <w:pStyle w:val="regpar"/>
              <w:spacing w:line="280" w:lineRule="exact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February</w:t>
            </w:r>
          </w:p>
        </w:tc>
        <w:tc>
          <w:tcPr>
            <w:tcW w:w="1839" w:type="dxa"/>
            <w:shd w:val="clear" w:color="auto" w:fill="auto"/>
          </w:tcPr>
          <w:p w:rsidR="00A15919" w:rsidRPr="00C458C2" w:rsidRDefault="00A15919" w:rsidP="00A15919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0.10</w:t>
            </w:r>
          </w:p>
        </w:tc>
        <w:tc>
          <w:tcPr>
            <w:tcW w:w="1840" w:type="dxa"/>
            <w:shd w:val="clear" w:color="auto" w:fill="auto"/>
          </w:tcPr>
          <w:p w:rsidR="00A15919" w:rsidRPr="00C458C2" w:rsidRDefault="00A15919" w:rsidP="00A15919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0.07</w:t>
            </w:r>
          </w:p>
        </w:tc>
      </w:tr>
    </w:tbl>
    <w:p w:rsidR="003C422A" w:rsidRPr="00C458C2" w:rsidRDefault="00402056" w:rsidP="003C422A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 w:rsidRPr="00C458C2">
        <w:rPr>
          <w:rFonts w:asciiTheme="majorBidi" w:hAnsiTheme="majorBidi" w:cstheme="majorBidi"/>
        </w:rPr>
        <w:t xml:space="preserve"> </w:t>
      </w:r>
    </w:p>
    <w:p w:rsidR="003B3E93" w:rsidRPr="00C458C2" w:rsidRDefault="003B3E93">
      <w:pPr>
        <w:bidi w:val="0"/>
        <w:rPr>
          <w:rFonts w:asciiTheme="majorBidi" w:hAnsiTheme="majorBidi" w:cstheme="majorBidi"/>
        </w:rPr>
      </w:pPr>
    </w:p>
    <w:p w:rsidR="00C458C2" w:rsidRPr="00C458C2" w:rsidRDefault="00C458C2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458C2"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543FD5" w:rsidRPr="00C458C2" w:rsidRDefault="00543FD5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402056" w:rsidRPr="00C458C2" w:rsidRDefault="00402056" w:rsidP="003C422A">
      <w:pPr>
        <w:pStyle w:val="regpar"/>
        <w:spacing w:line="280" w:lineRule="exact"/>
        <w:ind w:firstLine="0"/>
        <w:rPr>
          <w:rFonts w:asciiTheme="majorBidi" w:hAnsiTheme="majorBidi" w:cstheme="majorBidi"/>
          <w:b/>
          <w:bCs/>
          <w:sz w:val="26"/>
          <w:szCs w:val="26"/>
          <w:vertAlign w:val="superscript"/>
        </w:rPr>
      </w:pPr>
      <w:r w:rsidRPr="00C458C2">
        <w:rPr>
          <w:rFonts w:asciiTheme="majorBidi" w:hAnsiTheme="majorBidi" w:cstheme="majorBidi"/>
          <w:b/>
          <w:bCs/>
          <w:sz w:val="26"/>
          <w:szCs w:val="26"/>
        </w:rPr>
        <w:t>Table 2: Changes in the Index components in recent months</w:t>
      </w:r>
    </w:p>
    <w:p w:rsidR="00402056" w:rsidRPr="00C458C2" w:rsidRDefault="00402056" w:rsidP="00C8497E">
      <w:pPr>
        <w:pStyle w:val="regpar"/>
        <w:spacing w:line="280" w:lineRule="exact"/>
        <w:ind w:firstLine="0"/>
        <w:rPr>
          <w:rFonts w:asciiTheme="majorBidi" w:hAnsiTheme="majorBidi" w:cstheme="majorBidi"/>
          <w:sz w:val="26"/>
          <w:szCs w:val="26"/>
        </w:rPr>
      </w:pPr>
      <w:r w:rsidRPr="00C458C2">
        <w:rPr>
          <w:rFonts w:asciiTheme="majorBidi" w:hAnsiTheme="majorBidi" w:cstheme="majorBidi"/>
          <w:sz w:val="26"/>
          <w:szCs w:val="26"/>
        </w:rPr>
        <w:t>(</w:t>
      </w:r>
      <w:proofErr w:type="gramStart"/>
      <w:r w:rsidRPr="00C458C2">
        <w:rPr>
          <w:rFonts w:asciiTheme="majorBidi" w:hAnsiTheme="majorBidi" w:cstheme="majorBidi"/>
          <w:sz w:val="26"/>
          <w:szCs w:val="26"/>
        </w:rPr>
        <w:t>monthly</w:t>
      </w:r>
      <w:proofErr w:type="gramEnd"/>
      <w:r w:rsidRPr="00C458C2">
        <w:rPr>
          <w:rFonts w:asciiTheme="majorBidi" w:hAnsiTheme="majorBidi" w:cstheme="majorBidi"/>
          <w:sz w:val="26"/>
          <w:szCs w:val="26"/>
        </w:rPr>
        <w:t xml:space="preserve"> percent change, unless otherwise noted)</w:t>
      </w:r>
    </w:p>
    <w:tbl>
      <w:tblPr>
        <w:tblW w:w="1013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1275"/>
        <w:gridCol w:w="1276"/>
        <w:gridCol w:w="1276"/>
        <w:gridCol w:w="1341"/>
      </w:tblGrid>
      <w:tr w:rsidR="00375C8F" w:rsidRPr="00C458C2" w:rsidTr="002512C3">
        <w:tc>
          <w:tcPr>
            <w:tcW w:w="4967" w:type="dxa"/>
            <w:shd w:val="clear" w:color="auto" w:fill="auto"/>
            <w:vAlign w:val="bottom"/>
          </w:tcPr>
          <w:p w:rsidR="00375C8F" w:rsidRPr="00A92256" w:rsidRDefault="00375C8F" w:rsidP="00375C8F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5" w:type="dxa"/>
          </w:tcPr>
          <w:p w:rsidR="00375C8F" w:rsidRPr="00A92256" w:rsidRDefault="00375C8F" w:rsidP="00375C8F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July</w:t>
            </w:r>
          </w:p>
        </w:tc>
        <w:tc>
          <w:tcPr>
            <w:tcW w:w="1276" w:type="dxa"/>
          </w:tcPr>
          <w:p w:rsidR="00375C8F" w:rsidRPr="00A92256" w:rsidRDefault="00375C8F" w:rsidP="00375C8F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June</w:t>
            </w:r>
          </w:p>
        </w:tc>
        <w:tc>
          <w:tcPr>
            <w:tcW w:w="1276" w:type="dxa"/>
          </w:tcPr>
          <w:p w:rsidR="00375C8F" w:rsidRPr="00A92256" w:rsidRDefault="00375C8F" w:rsidP="00375C8F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May</w:t>
            </w:r>
          </w:p>
        </w:tc>
        <w:tc>
          <w:tcPr>
            <w:tcW w:w="1341" w:type="dxa"/>
            <w:shd w:val="clear" w:color="auto" w:fill="auto"/>
          </w:tcPr>
          <w:p w:rsidR="00375C8F" w:rsidRPr="00A92256" w:rsidRDefault="00375C8F" w:rsidP="00375C8F">
            <w:pPr>
              <w:pStyle w:val="regpar"/>
              <w:spacing w:line="280" w:lineRule="exact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April</w:t>
            </w:r>
          </w:p>
        </w:tc>
      </w:tr>
      <w:tr w:rsidR="00A92256" w:rsidRPr="00C458C2" w:rsidTr="002512C3">
        <w:tc>
          <w:tcPr>
            <w:tcW w:w="4967" w:type="dxa"/>
            <w:shd w:val="clear" w:color="auto" w:fill="auto"/>
            <w:vAlign w:val="bottom"/>
          </w:tcPr>
          <w:p w:rsidR="00A92256" w:rsidRPr="00A92256" w:rsidRDefault="00A92256" w:rsidP="00A92256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 xml:space="preserve">Industrial Production Index </w:t>
            </w:r>
          </w:p>
          <w:p w:rsidR="00A92256" w:rsidRPr="00A92256" w:rsidRDefault="00A92256" w:rsidP="00A92256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(excluding mining and quarrying)</w:t>
            </w:r>
          </w:p>
        </w:tc>
        <w:tc>
          <w:tcPr>
            <w:tcW w:w="1275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-1.0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-1.7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0.6</w:t>
            </w:r>
          </w:p>
        </w:tc>
      </w:tr>
      <w:tr w:rsidR="00A92256" w:rsidRPr="00C458C2" w:rsidTr="002512C3">
        <w:tc>
          <w:tcPr>
            <w:tcW w:w="4967" w:type="dxa"/>
            <w:shd w:val="clear" w:color="auto" w:fill="auto"/>
            <w:vAlign w:val="bottom"/>
          </w:tcPr>
          <w:p w:rsidR="00A92256" w:rsidRPr="00A92256" w:rsidRDefault="00A92256" w:rsidP="00A92256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 xml:space="preserve">Services Revenue Index </w:t>
            </w:r>
          </w:p>
          <w:p w:rsidR="00A92256" w:rsidRPr="00A92256" w:rsidRDefault="00A92256" w:rsidP="00A92256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(excluding education and public administration)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-3.6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-0.2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-1.9</w:t>
            </w:r>
          </w:p>
        </w:tc>
      </w:tr>
      <w:tr w:rsidR="00A92256" w:rsidRPr="00C458C2" w:rsidTr="002512C3">
        <w:tc>
          <w:tcPr>
            <w:tcW w:w="4967" w:type="dxa"/>
            <w:shd w:val="clear" w:color="auto" w:fill="auto"/>
            <w:vAlign w:val="bottom"/>
          </w:tcPr>
          <w:p w:rsidR="00A92256" w:rsidRPr="00A92256" w:rsidRDefault="00A92256" w:rsidP="00A92256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Retail Trade Revenue Index</w:t>
            </w:r>
          </w:p>
        </w:tc>
        <w:tc>
          <w:tcPr>
            <w:tcW w:w="1275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0.0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1.8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0.4</w:t>
            </w:r>
          </w:p>
        </w:tc>
      </w:tr>
      <w:tr w:rsidR="00A92256" w:rsidRPr="00C458C2" w:rsidTr="002512C3">
        <w:tc>
          <w:tcPr>
            <w:tcW w:w="4967" w:type="dxa"/>
            <w:shd w:val="clear" w:color="auto" w:fill="auto"/>
            <w:vAlign w:val="bottom"/>
          </w:tcPr>
          <w:p w:rsidR="00A92256" w:rsidRPr="00A92256" w:rsidRDefault="00A92256" w:rsidP="00A92256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Imports of consumer goods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1.0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-2.4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-0.7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4.1</w:t>
            </w:r>
          </w:p>
        </w:tc>
      </w:tr>
      <w:tr w:rsidR="00A92256" w:rsidRPr="00C458C2" w:rsidTr="002512C3">
        <w:tc>
          <w:tcPr>
            <w:tcW w:w="4967" w:type="dxa"/>
            <w:shd w:val="clear" w:color="auto" w:fill="auto"/>
            <w:vAlign w:val="bottom"/>
          </w:tcPr>
          <w:p w:rsidR="00A92256" w:rsidRPr="00A92256" w:rsidRDefault="00A92256" w:rsidP="00A92256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 xml:space="preserve">Imports of production inputs </w:t>
            </w:r>
          </w:p>
          <w:p w:rsidR="00A92256" w:rsidRPr="00A92256" w:rsidRDefault="00A92256" w:rsidP="00A92256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(excluding fuels)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2.4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-4.3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1.3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-2.2</w:t>
            </w:r>
          </w:p>
        </w:tc>
      </w:tr>
      <w:tr w:rsidR="00A92256" w:rsidRPr="00C458C2" w:rsidTr="002512C3">
        <w:tc>
          <w:tcPr>
            <w:tcW w:w="4967" w:type="dxa"/>
            <w:shd w:val="clear" w:color="auto" w:fill="auto"/>
            <w:vAlign w:val="bottom"/>
          </w:tcPr>
          <w:p w:rsidR="00A92256" w:rsidRPr="00A92256" w:rsidRDefault="00A92256" w:rsidP="00A92256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Goods exports (excluding agriculture)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3.0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0.2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2.7</w:t>
            </w:r>
          </w:p>
        </w:tc>
      </w:tr>
      <w:tr w:rsidR="00A92256" w:rsidRPr="00C458C2" w:rsidTr="002512C3">
        <w:tc>
          <w:tcPr>
            <w:tcW w:w="4967" w:type="dxa"/>
            <w:shd w:val="clear" w:color="auto" w:fill="auto"/>
            <w:vAlign w:val="bottom"/>
          </w:tcPr>
          <w:p w:rsidR="00A92256" w:rsidRPr="00A92256" w:rsidRDefault="00A92256" w:rsidP="00A92256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Services exports (excluding transportation)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-0.4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0.5</w:t>
            </w:r>
          </w:p>
        </w:tc>
      </w:tr>
      <w:tr w:rsidR="00A92256" w:rsidRPr="00C458C2" w:rsidTr="002512C3">
        <w:tc>
          <w:tcPr>
            <w:tcW w:w="4967" w:type="dxa"/>
            <w:shd w:val="clear" w:color="auto" w:fill="auto"/>
            <w:vAlign w:val="bottom"/>
          </w:tcPr>
          <w:p w:rsidR="00A92256" w:rsidRPr="00A92256" w:rsidRDefault="00A92256" w:rsidP="00A92256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Number of employee posts in the private sector</w:t>
            </w:r>
          </w:p>
        </w:tc>
        <w:tc>
          <w:tcPr>
            <w:tcW w:w="1275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-0.1</w:t>
            </w:r>
          </w:p>
        </w:tc>
      </w:tr>
      <w:tr w:rsidR="00A92256" w:rsidRPr="00C458C2" w:rsidTr="002512C3">
        <w:tc>
          <w:tcPr>
            <w:tcW w:w="4967" w:type="dxa"/>
            <w:shd w:val="clear" w:color="auto" w:fill="auto"/>
            <w:vAlign w:val="bottom"/>
          </w:tcPr>
          <w:p w:rsidR="00A92256" w:rsidRPr="00A92256" w:rsidRDefault="00A92256" w:rsidP="00A92256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Job vacancy rate in the business sector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3.7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3.9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4.0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4.0</w:t>
            </w:r>
          </w:p>
        </w:tc>
      </w:tr>
      <w:tr w:rsidR="00A92256" w:rsidRPr="00C458C2" w:rsidTr="0016071C">
        <w:tc>
          <w:tcPr>
            <w:tcW w:w="4967" w:type="dxa"/>
            <w:shd w:val="clear" w:color="auto" w:fill="auto"/>
            <w:vAlign w:val="bottom"/>
          </w:tcPr>
          <w:p w:rsidR="00A92256" w:rsidRPr="00A92256" w:rsidRDefault="00A92256" w:rsidP="00A92256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Building starts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5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92256" w:rsidRPr="00A92256" w:rsidDel="00CD33E3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 </w:t>
            </w:r>
          </w:p>
        </w:tc>
      </w:tr>
      <w:tr w:rsidR="00A92256" w:rsidRPr="00C458C2" w:rsidTr="0016071C">
        <w:tc>
          <w:tcPr>
            <w:tcW w:w="4967" w:type="dxa"/>
            <w:shd w:val="clear" w:color="auto" w:fill="auto"/>
            <w:vAlign w:val="bottom"/>
          </w:tcPr>
          <w:p w:rsidR="00A92256" w:rsidRPr="00A92256" w:rsidRDefault="00A92256" w:rsidP="00A92256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Electricity production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5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3.0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0.1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1.6</w:t>
            </w:r>
          </w:p>
        </w:tc>
      </w:tr>
      <w:tr w:rsidR="00A92256" w:rsidRPr="00C458C2" w:rsidTr="0016071C">
        <w:tc>
          <w:tcPr>
            <w:tcW w:w="4967" w:type="dxa"/>
            <w:shd w:val="clear" w:color="auto" w:fill="auto"/>
            <w:vAlign w:val="bottom"/>
          </w:tcPr>
          <w:p w:rsidR="00A92256" w:rsidRPr="00A92256" w:rsidRDefault="00A92256" w:rsidP="00A92256">
            <w:pPr>
              <w:pStyle w:val="regpar"/>
              <w:spacing w:line="280" w:lineRule="exact"/>
              <w:ind w:firstLine="0"/>
              <w:jc w:val="left"/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Credit card purchases</w:t>
            </w:r>
            <w:r w:rsidRPr="00A9225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275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0.2</w:t>
            </w:r>
          </w:p>
        </w:tc>
        <w:tc>
          <w:tcPr>
            <w:tcW w:w="1276" w:type="dxa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0.3</w:t>
            </w:r>
          </w:p>
        </w:tc>
        <w:tc>
          <w:tcPr>
            <w:tcW w:w="1276" w:type="dxa"/>
            <w:vAlign w:val="center"/>
          </w:tcPr>
          <w:p w:rsidR="00A92256" w:rsidRPr="00A92256" w:rsidDel="00D279B8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1.2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92256" w:rsidRPr="00A92256" w:rsidRDefault="00A92256" w:rsidP="00A9225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92256">
              <w:rPr>
                <w:rFonts w:asciiTheme="majorBidi" w:hAnsiTheme="majorBidi" w:cstheme="majorBidi"/>
                <w:sz w:val="22"/>
                <w:szCs w:val="22"/>
              </w:rPr>
              <w:t>0.1</w:t>
            </w:r>
          </w:p>
        </w:tc>
      </w:tr>
    </w:tbl>
    <w:p w:rsidR="00127F75" w:rsidRPr="00C458C2" w:rsidRDefault="00127F75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  <w:vertAlign w:val="superscript"/>
        </w:rPr>
      </w:pPr>
    </w:p>
    <w:p w:rsidR="00203330" w:rsidRPr="00C458C2" w:rsidRDefault="00E85C30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1</w:t>
      </w:r>
      <w:r w:rsidR="004A6A04"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203330" w:rsidRPr="00C458C2">
        <w:rPr>
          <w:rFonts w:asciiTheme="majorBidi" w:hAnsiTheme="majorBidi" w:cstheme="majorBidi"/>
          <w:sz w:val="22"/>
          <w:szCs w:val="22"/>
        </w:rPr>
        <w:t>Goods imports and exports are calculated in fixed prices (</w:t>
      </w:r>
      <w:r w:rsidR="003E02A0" w:rsidRPr="00C458C2">
        <w:rPr>
          <w:rFonts w:asciiTheme="majorBidi" w:hAnsiTheme="majorBidi" w:cstheme="majorBidi"/>
          <w:sz w:val="22"/>
          <w:szCs w:val="22"/>
        </w:rPr>
        <w:t xml:space="preserve">adjusted for 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changes in foreign trade price indices). </w:t>
      </w:r>
    </w:p>
    <w:p w:rsidR="00203330" w:rsidRPr="00C458C2" w:rsidRDefault="00E85C30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2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 Services exports are calculated in </w:t>
      </w:r>
      <w:r w:rsidR="007F79B8" w:rsidRPr="00C458C2">
        <w:rPr>
          <w:rFonts w:asciiTheme="majorBidi" w:hAnsiTheme="majorBidi" w:cstheme="majorBidi"/>
          <w:sz w:val="22"/>
          <w:szCs w:val="22"/>
        </w:rPr>
        <w:t>real terms</w:t>
      </w:r>
      <w:r w:rsidR="00AC25BF"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7F79B8" w:rsidRPr="00C458C2">
        <w:rPr>
          <w:rFonts w:asciiTheme="majorBidi" w:hAnsiTheme="majorBidi" w:cstheme="majorBidi"/>
          <w:sz w:val="22"/>
          <w:szCs w:val="22"/>
        </w:rPr>
        <w:t>using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 the Consumer Price Index</w:t>
      </w:r>
      <w:r w:rsidR="00AC25BF" w:rsidRPr="00C458C2">
        <w:rPr>
          <w:rFonts w:asciiTheme="majorBidi" w:hAnsiTheme="majorBidi" w:cstheme="majorBidi"/>
          <w:sz w:val="22"/>
          <w:szCs w:val="22"/>
        </w:rPr>
        <w:t>, and are comprised of the export of other business services and the export of tourism services.</w:t>
      </w:r>
      <w:r w:rsidR="00822493" w:rsidRPr="00C458C2">
        <w:rPr>
          <w:rFonts w:asciiTheme="majorBidi" w:hAnsiTheme="majorBidi" w:cstheme="majorBidi"/>
          <w:sz w:val="22"/>
          <w:szCs w:val="22"/>
        </w:rPr>
        <w:t xml:space="preserve"> </w:t>
      </w:r>
    </w:p>
    <w:p w:rsidR="004A6A04" w:rsidRPr="00C458C2" w:rsidRDefault="00AF6E2D" w:rsidP="002C784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3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4A6A04" w:rsidRPr="00C458C2">
        <w:rPr>
          <w:rFonts w:asciiTheme="majorBidi" w:hAnsiTheme="majorBidi" w:cstheme="majorBidi"/>
          <w:sz w:val="22"/>
          <w:szCs w:val="22"/>
        </w:rPr>
        <w:t xml:space="preserve">The job vacancy rate is 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calculated out of </w:t>
      </w:r>
      <w:r w:rsidR="007F79B8" w:rsidRPr="00C458C2">
        <w:rPr>
          <w:rFonts w:asciiTheme="majorBidi" w:hAnsiTheme="majorBidi" w:cstheme="majorBidi"/>
          <w:sz w:val="22"/>
          <w:szCs w:val="22"/>
        </w:rPr>
        <w:t xml:space="preserve">the </w:t>
      </w:r>
      <w:r w:rsidR="00203330" w:rsidRPr="00C458C2">
        <w:rPr>
          <w:rFonts w:asciiTheme="majorBidi" w:hAnsiTheme="majorBidi" w:cstheme="majorBidi"/>
          <w:sz w:val="22"/>
          <w:szCs w:val="22"/>
        </w:rPr>
        <w:t>total number of employed people</w:t>
      </w:r>
      <w:r w:rsidRPr="00C458C2">
        <w:rPr>
          <w:rFonts w:asciiTheme="majorBidi" w:hAnsiTheme="majorBidi" w:cstheme="majorBidi"/>
          <w:sz w:val="22"/>
          <w:szCs w:val="22"/>
        </w:rPr>
        <w:t>,</w:t>
      </w:r>
      <w:r w:rsidR="00203330" w:rsidRPr="00C458C2">
        <w:rPr>
          <w:rFonts w:asciiTheme="majorBidi" w:hAnsiTheme="majorBidi" w:cstheme="majorBidi"/>
          <w:sz w:val="22"/>
          <w:szCs w:val="22"/>
        </w:rPr>
        <w:t xml:space="preserve"> and is included </w:t>
      </w:r>
      <w:r w:rsidR="00453BB1" w:rsidRPr="00C458C2">
        <w:rPr>
          <w:rFonts w:asciiTheme="majorBidi" w:hAnsiTheme="majorBidi" w:cstheme="majorBidi"/>
          <w:sz w:val="22"/>
          <w:szCs w:val="22"/>
        </w:rPr>
        <w:t xml:space="preserve">in the index </w:t>
      </w:r>
      <w:r w:rsidR="00203330" w:rsidRPr="00C458C2">
        <w:rPr>
          <w:rFonts w:asciiTheme="majorBidi" w:hAnsiTheme="majorBidi" w:cstheme="majorBidi"/>
          <w:sz w:val="22"/>
          <w:szCs w:val="22"/>
        </w:rPr>
        <w:t>at its</w:t>
      </w:r>
      <w:r w:rsidRPr="00C458C2">
        <w:rPr>
          <w:rFonts w:asciiTheme="majorBidi" w:hAnsiTheme="majorBidi" w:cstheme="majorBidi"/>
          <w:sz w:val="22"/>
          <w:szCs w:val="22"/>
        </w:rPr>
        <w:t xml:space="preserve"> seasonally adjusted</w:t>
      </w:r>
      <w:r w:rsidR="00110080"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225D4D" w:rsidRPr="00C458C2">
        <w:rPr>
          <w:rFonts w:asciiTheme="majorBidi" w:hAnsiTheme="majorBidi" w:cstheme="majorBidi"/>
          <w:sz w:val="22"/>
          <w:szCs w:val="22"/>
        </w:rPr>
        <w:t>level</w:t>
      </w:r>
      <w:r w:rsidR="004A6A04" w:rsidRPr="00C458C2">
        <w:rPr>
          <w:rFonts w:asciiTheme="majorBidi" w:hAnsiTheme="majorBidi" w:cstheme="majorBidi"/>
          <w:sz w:val="22"/>
          <w:szCs w:val="22"/>
        </w:rPr>
        <w:t>.</w:t>
      </w:r>
      <w:r w:rsidR="00AD09D8" w:rsidRPr="00C458C2">
        <w:rPr>
          <w:rFonts w:asciiTheme="majorBidi" w:hAnsiTheme="majorBidi" w:cstheme="majorBidi"/>
          <w:sz w:val="22"/>
          <w:szCs w:val="22"/>
        </w:rPr>
        <w:t xml:space="preserve"> </w:t>
      </w:r>
    </w:p>
    <w:p w:rsidR="002C7848" w:rsidRPr="00C458C2" w:rsidRDefault="002C7848" w:rsidP="002C784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4</w:t>
      </w:r>
      <w:r w:rsidRPr="00C458C2">
        <w:rPr>
          <w:rFonts w:asciiTheme="majorBidi" w:hAnsiTheme="majorBidi" w:cstheme="majorBidi"/>
          <w:sz w:val="22"/>
          <w:szCs w:val="22"/>
        </w:rPr>
        <w:t xml:space="preserve"> Since the Central Bureau of Statistics publishes data on building starts once per quarter, the data integrated into the model are at a monthly frequency based on additional sources, such that the distribution is consistent with the quarterly data published by the Central Bureau of Statistics (in percent, seasonally adjusted). </w:t>
      </w:r>
    </w:p>
    <w:p w:rsidR="00BC4098" w:rsidRPr="00C458C2" w:rsidRDefault="00BC4098" w:rsidP="00772590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5</w:t>
      </w:r>
      <w:r w:rsidRPr="00C458C2">
        <w:rPr>
          <w:rFonts w:asciiTheme="majorBidi" w:hAnsiTheme="majorBidi" w:cstheme="majorBidi"/>
          <w:sz w:val="22"/>
          <w:szCs w:val="22"/>
        </w:rPr>
        <w:t xml:space="preserve"> Electricity production is calculated as the rate of change relative to the </w:t>
      </w:r>
      <w:r w:rsidR="00BE11E3" w:rsidRPr="00C458C2">
        <w:rPr>
          <w:rFonts w:asciiTheme="majorBidi" w:hAnsiTheme="majorBidi" w:cstheme="majorBidi"/>
          <w:sz w:val="22"/>
          <w:szCs w:val="22"/>
        </w:rPr>
        <w:t xml:space="preserve">previous </w:t>
      </w:r>
      <w:r w:rsidR="00772590" w:rsidRPr="00C458C2">
        <w:rPr>
          <w:rFonts w:asciiTheme="majorBidi" w:hAnsiTheme="majorBidi" w:cstheme="majorBidi"/>
          <w:sz w:val="22"/>
          <w:szCs w:val="22"/>
        </w:rPr>
        <w:t>month</w:t>
      </w:r>
      <w:r w:rsidRPr="00C458C2">
        <w:rPr>
          <w:rFonts w:asciiTheme="majorBidi" w:hAnsiTheme="majorBidi" w:cstheme="majorBidi"/>
          <w:sz w:val="22"/>
          <w:szCs w:val="22"/>
        </w:rPr>
        <w:t xml:space="preserve">, </w:t>
      </w:r>
      <w:r w:rsidR="009D2E23" w:rsidRPr="00C458C2">
        <w:rPr>
          <w:rFonts w:asciiTheme="majorBidi" w:hAnsiTheme="majorBidi" w:cstheme="majorBidi"/>
          <w:sz w:val="22"/>
          <w:szCs w:val="22"/>
        </w:rPr>
        <w:t>adjusted for the effect of the weather and seasonality</w:t>
      </w:r>
      <w:r w:rsidR="00772590" w:rsidRPr="00C458C2">
        <w:rPr>
          <w:rFonts w:asciiTheme="majorBidi" w:hAnsiTheme="majorBidi" w:cstheme="majorBidi"/>
          <w:sz w:val="22"/>
          <w:szCs w:val="22"/>
        </w:rPr>
        <w:t xml:space="preserve"> on daily, weekly, and annual bases</w:t>
      </w:r>
      <w:r w:rsidR="009D2E23" w:rsidRPr="00C458C2">
        <w:rPr>
          <w:rFonts w:asciiTheme="majorBidi" w:hAnsiTheme="majorBidi" w:cstheme="majorBidi"/>
          <w:sz w:val="22"/>
          <w:szCs w:val="22"/>
        </w:rPr>
        <w:t>.</w:t>
      </w:r>
    </w:p>
    <w:p w:rsidR="009D2E23" w:rsidRPr="00C458C2" w:rsidRDefault="009D2E23" w:rsidP="00256FCC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  <w:r w:rsidRPr="00C458C2">
        <w:rPr>
          <w:rFonts w:asciiTheme="majorBidi" w:hAnsiTheme="majorBidi" w:cstheme="majorBidi"/>
          <w:sz w:val="22"/>
          <w:szCs w:val="22"/>
          <w:vertAlign w:val="superscript"/>
        </w:rPr>
        <w:t>6</w:t>
      </w:r>
      <w:r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772590" w:rsidRPr="00C458C2">
        <w:rPr>
          <w:rFonts w:asciiTheme="majorBidi" w:hAnsiTheme="majorBidi" w:cstheme="majorBidi"/>
          <w:sz w:val="22"/>
          <w:szCs w:val="22"/>
        </w:rPr>
        <w:t>The c</w:t>
      </w:r>
      <w:r w:rsidRPr="00C458C2">
        <w:rPr>
          <w:rFonts w:asciiTheme="majorBidi" w:hAnsiTheme="majorBidi" w:cstheme="majorBidi"/>
          <w:sz w:val="22"/>
          <w:szCs w:val="22"/>
        </w:rPr>
        <w:t xml:space="preserve">redit card purchases </w:t>
      </w:r>
      <w:r w:rsidR="00772590" w:rsidRPr="00C458C2">
        <w:rPr>
          <w:rFonts w:asciiTheme="majorBidi" w:hAnsiTheme="majorBidi" w:cstheme="majorBidi"/>
          <w:sz w:val="22"/>
          <w:szCs w:val="22"/>
        </w:rPr>
        <w:t>figure is the monthly</w:t>
      </w:r>
      <w:r w:rsidRPr="00C458C2">
        <w:rPr>
          <w:rFonts w:asciiTheme="majorBidi" w:hAnsiTheme="majorBidi" w:cstheme="majorBidi"/>
          <w:sz w:val="22"/>
          <w:szCs w:val="22"/>
        </w:rPr>
        <w:t xml:space="preserve"> </w:t>
      </w:r>
      <w:r w:rsidR="000E4A9E" w:rsidRPr="00C458C2">
        <w:rPr>
          <w:rFonts w:asciiTheme="majorBidi" w:hAnsiTheme="majorBidi" w:cstheme="majorBidi"/>
          <w:sz w:val="22"/>
          <w:szCs w:val="22"/>
        </w:rPr>
        <w:t>seasonally adjusted</w:t>
      </w:r>
      <w:r w:rsidR="00772590" w:rsidRPr="00C458C2">
        <w:rPr>
          <w:rFonts w:asciiTheme="majorBidi" w:hAnsiTheme="majorBidi" w:cstheme="majorBidi"/>
          <w:sz w:val="22"/>
          <w:szCs w:val="22"/>
        </w:rPr>
        <w:t xml:space="preserve"> change according to Central Bureau of Statistics publications.  When the CBS figure for a month is not available, the figure listed is the monthly rate of change according to daily data from SHVA, seasonally adjusted</w:t>
      </w:r>
      <w:r w:rsidR="000E4A9E" w:rsidRPr="00C458C2">
        <w:rPr>
          <w:rFonts w:asciiTheme="majorBidi" w:hAnsiTheme="majorBidi" w:cstheme="majorBidi"/>
          <w:sz w:val="22"/>
          <w:szCs w:val="22"/>
        </w:rPr>
        <w:t xml:space="preserve"> on weekly</w:t>
      </w:r>
      <w:r w:rsidR="00772590" w:rsidRPr="00C458C2">
        <w:rPr>
          <w:rFonts w:asciiTheme="majorBidi" w:hAnsiTheme="majorBidi" w:cstheme="majorBidi"/>
          <w:sz w:val="22"/>
          <w:szCs w:val="22"/>
        </w:rPr>
        <w:t xml:space="preserve"> and</w:t>
      </w:r>
      <w:r w:rsidR="000E4A9E" w:rsidRPr="00C458C2">
        <w:rPr>
          <w:rFonts w:asciiTheme="majorBidi" w:hAnsiTheme="majorBidi" w:cstheme="majorBidi"/>
          <w:sz w:val="22"/>
          <w:szCs w:val="22"/>
        </w:rPr>
        <w:t xml:space="preserve"> monthly bases.</w:t>
      </w:r>
    </w:p>
    <w:p w:rsidR="0000130C" w:rsidRPr="00C458C2" w:rsidRDefault="0000130C" w:rsidP="000F603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7F79B8" w:rsidRPr="00C458C2" w:rsidRDefault="007F79B8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F25C03" w:rsidRPr="00C458C2" w:rsidRDefault="00F25C03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F25C03" w:rsidRPr="00C458C2" w:rsidRDefault="00F25C03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F25C03" w:rsidRPr="00C458C2" w:rsidRDefault="00F25C03" w:rsidP="007F79B8">
      <w:pPr>
        <w:pStyle w:val="ab"/>
        <w:spacing w:line="240" w:lineRule="auto"/>
        <w:rPr>
          <w:rFonts w:asciiTheme="majorBidi" w:hAnsiTheme="majorBidi" w:cstheme="majorBidi"/>
          <w:sz w:val="22"/>
          <w:szCs w:val="22"/>
        </w:rPr>
      </w:pPr>
    </w:p>
    <w:p w:rsidR="005D0CFE" w:rsidRPr="00C458C2" w:rsidRDefault="005D0CFE" w:rsidP="005D0CFE">
      <w:pPr>
        <w:tabs>
          <w:tab w:val="center" w:pos="4156"/>
          <w:tab w:val="right" w:pos="8312"/>
        </w:tabs>
        <w:bidi w:val="0"/>
        <w:rPr>
          <w:rFonts w:asciiTheme="majorBidi" w:hAnsiTheme="majorBidi" w:cstheme="majorBidi"/>
        </w:rPr>
      </w:pPr>
    </w:p>
    <w:p w:rsidR="00F25C03" w:rsidRPr="00695349" w:rsidRDefault="00F25C03" w:rsidP="00F25C03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r w:rsidRPr="00C458C2">
        <w:rPr>
          <w:rFonts w:asciiTheme="majorBidi" w:hAnsiTheme="majorBidi" w:cstheme="majorBidi"/>
        </w:rPr>
        <w:t xml:space="preserve">Detailed explanations regarding how the Composite Index is calculated, as well as </w:t>
      </w:r>
      <w:r w:rsidRPr="00695349">
        <w:rPr>
          <w:rFonts w:asciiTheme="majorBidi" w:hAnsiTheme="majorBidi" w:cstheme="majorBidi"/>
        </w:rPr>
        <w:t>detailed long-term tables, can be found at</w:t>
      </w:r>
      <w:r w:rsidR="00C96063" w:rsidRPr="00695349">
        <w:rPr>
          <w:rFonts w:asciiTheme="majorBidi" w:hAnsiTheme="majorBidi" w:cstheme="majorBidi"/>
        </w:rPr>
        <w:t>:</w:t>
      </w:r>
    </w:p>
    <w:p w:rsidR="00C96063" w:rsidRPr="00C458C2" w:rsidRDefault="0025317F" w:rsidP="00F25C03">
      <w:pPr>
        <w:pStyle w:val="regpar"/>
        <w:spacing w:line="280" w:lineRule="exact"/>
        <w:ind w:firstLine="0"/>
        <w:rPr>
          <w:rFonts w:asciiTheme="majorBidi" w:hAnsiTheme="majorBidi" w:cstheme="majorBidi"/>
        </w:rPr>
      </w:pPr>
      <w:hyperlink r:id="rId8" w:history="1">
        <w:r w:rsidR="003F06C8" w:rsidRPr="00695349">
          <w:rPr>
            <w:rStyle w:val="Hyperlink"/>
          </w:rPr>
          <w:t>https://www.boi.org.il/en/economic-roles/statistics/the-bank-of-israels-composite-state-of-the-economy-index/</w:t>
        </w:r>
      </w:hyperlink>
    </w:p>
    <w:sectPr w:rsidR="00C96063" w:rsidRPr="00C458C2" w:rsidSect="00191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797" w:bottom="624" w:left="1797" w:header="397" w:footer="28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B65" w:rsidRDefault="00B27B65" w:rsidP="00E64B36">
      <w:r>
        <w:separator/>
      </w:r>
    </w:p>
  </w:endnote>
  <w:endnote w:type="continuationSeparator" w:id="0">
    <w:p w:rsidR="00B27B65" w:rsidRDefault="00B27B65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7F" w:rsidRDefault="002531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7F" w:rsidRDefault="002531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7F" w:rsidRDefault="002531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B65" w:rsidRDefault="00B27B65" w:rsidP="00E64B36">
      <w:r>
        <w:separator/>
      </w:r>
    </w:p>
  </w:footnote>
  <w:footnote w:type="continuationSeparator" w:id="0">
    <w:p w:rsidR="00B27B65" w:rsidRDefault="00B27B65" w:rsidP="00E6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7F" w:rsidRDefault="002531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7F" w:rsidRDefault="002531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35" w:rsidRDefault="006A497A" w:rsidP="00191835">
    <w:pPr>
      <w:pStyle w:val="LetterheadBOI"/>
    </w:pPr>
    <w:r>
      <w:rPr>
        <w:noProof/>
      </w:rPr>
      <w:drawing>
        <wp:inline distT="0" distB="0" distL="0" distR="0" wp14:anchorId="00997AB7" wp14:editId="27913748">
          <wp:extent cx="1390000" cy="1390000"/>
          <wp:effectExtent l="0" t="0" r="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731" cy="14037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1835" w:rsidRPr="007055DF" w:rsidRDefault="00191835" w:rsidP="00191835">
    <w:pPr>
      <w:pStyle w:val="LetterheadBOI"/>
    </w:pPr>
    <w:r w:rsidRPr="007055DF">
      <w:t>BANK OF ISRAEL</w:t>
    </w:r>
  </w:p>
  <w:p w:rsidR="00191835" w:rsidRPr="007055DF" w:rsidRDefault="00191835" w:rsidP="00191835">
    <w:pPr>
      <w:pStyle w:val="Letterhead2"/>
      <w:rPr>
        <w:b/>
      </w:rPr>
    </w:pPr>
    <w:r w:rsidRPr="007055DF">
      <w:t>Office of the Spokesperson and Economic Information</w:t>
    </w:r>
  </w:p>
  <w:p w:rsidR="00191835" w:rsidRPr="00191835" w:rsidRDefault="00191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130C"/>
    <w:rsid w:val="00002088"/>
    <w:rsid w:val="000050D1"/>
    <w:rsid w:val="0001385E"/>
    <w:rsid w:val="0001413F"/>
    <w:rsid w:val="00015323"/>
    <w:rsid w:val="0001545A"/>
    <w:rsid w:val="00022A56"/>
    <w:rsid w:val="00022DA8"/>
    <w:rsid w:val="00023948"/>
    <w:rsid w:val="00025D81"/>
    <w:rsid w:val="000320DB"/>
    <w:rsid w:val="000325AD"/>
    <w:rsid w:val="00033569"/>
    <w:rsid w:val="00035368"/>
    <w:rsid w:val="00036A87"/>
    <w:rsid w:val="000372DA"/>
    <w:rsid w:val="00043A34"/>
    <w:rsid w:val="00045938"/>
    <w:rsid w:val="00046783"/>
    <w:rsid w:val="00046940"/>
    <w:rsid w:val="0005086D"/>
    <w:rsid w:val="00051247"/>
    <w:rsid w:val="000526A0"/>
    <w:rsid w:val="00054A1E"/>
    <w:rsid w:val="0005686F"/>
    <w:rsid w:val="0005726E"/>
    <w:rsid w:val="00063FFD"/>
    <w:rsid w:val="0006699A"/>
    <w:rsid w:val="00071195"/>
    <w:rsid w:val="00074143"/>
    <w:rsid w:val="00074C35"/>
    <w:rsid w:val="00077F18"/>
    <w:rsid w:val="00081D32"/>
    <w:rsid w:val="00092413"/>
    <w:rsid w:val="00097D73"/>
    <w:rsid w:val="000A02A3"/>
    <w:rsid w:val="000A0343"/>
    <w:rsid w:val="000A520E"/>
    <w:rsid w:val="000A6B77"/>
    <w:rsid w:val="000B37B0"/>
    <w:rsid w:val="000B6E55"/>
    <w:rsid w:val="000C141F"/>
    <w:rsid w:val="000C4AC5"/>
    <w:rsid w:val="000C6FDA"/>
    <w:rsid w:val="000C710C"/>
    <w:rsid w:val="000E191E"/>
    <w:rsid w:val="000E26A0"/>
    <w:rsid w:val="000E2842"/>
    <w:rsid w:val="000E4A9E"/>
    <w:rsid w:val="000F48F6"/>
    <w:rsid w:val="000F4BF2"/>
    <w:rsid w:val="000F5E1E"/>
    <w:rsid w:val="000F6038"/>
    <w:rsid w:val="001001A2"/>
    <w:rsid w:val="00101B55"/>
    <w:rsid w:val="00103223"/>
    <w:rsid w:val="00105C15"/>
    <w:rsid w:val="00106D68"/>
    <w:rsid w:val="00107EFB"/>
    <w:rsid w:val="00110080"/>
    <w:rsid w:val="001157BA"/>
    <w:rsid w:val="001176FA"/>
    <w:rsid w:val="001216F6"/>
    <w:rsid w:val="0012722A"/>
    <w:rsid w:val="00127F75"/>
    <w:rsid w:val="00130245"/>
    <w:rsid w:val="00134603"/>
    <w:rsid w:val="00136864"/>
    <w:rsid w:val="00140452"/>
    <w:rsid w:val="001428C4"/>
    <w:rsid w:val="00143F3A"/>
    <w:rsid w:val="00146DAE"/>
    <w:rsid w:val="00150087"/>
    <w:rsid w:val="001522EF"/>
    <w:rsid w:val="00160B25"/>
    <w:rsid w:val="0016171B"/>
    <w:rsid w:val="001641A6"/>
    <w:rsid w:val="00164C35"/>
    <w:rsid w:val="001815E1"/>
    <w:rsid w:val="0018166B"/>
    <w:rsid w:val="00182CF0"/>
    <w:rsid w:val="001861FB"/>
    <w:rsid w:val="001915C2"/>
    <w:rsid w:val="00191835"/>
    <w:rsid w:val="00195A90"/>
    <w:rsid w:val="001A14BC"/>
    <w:rsid w:val="001A245B"/>
    <w:rsid w:val="001A36FD"/>
    <w:rsid w:val="001B0402"/>
    <w:rsid w:val="001B4E73"/>
    <w:rsid w:val="001B766D"/>
    <w:rsid w:val="001C1BC1"/>
    <w:rsid w:val="001C1F9A"/>
    <w:rsid w:val="001C36DA"/>
    <w:rsid w:val="001C388F"/>
    <w:rsid w:val="001C71E8"/>
    <w:rsid w:val="001D08D4"/>
    <w:rsid w:val="001D2188"/>
    <w:rsid w:val="001D262D"/>
    <w:rsid w:val="001D381C"/>
    <w:rsid w:val="001D7011"/>
    <w:rsid w:val="001E72A3"/>
    <w:rsid w:val="001F14A9"/>
    <w:rsid w:val="001F57DE"/>
    <w:rsid w:val="001F7F83"/>
    <w:rsid w:val="00200451"/>
    <w:rsid w:val="00200B44"/>
    <w:rsid w:val="00202E77"/>
    <w:rsid w:val="00203330"/>
    <w:rsid w:val="00210FBD"/>
    <w:rsid w:val="002117DC"/>
    <w:rsid w:val="0021327F"/>
    <w:rsid w:val="00217C33"/>
    <w:rsid w:val="00221580"/>
    <w:rsid w:val="002222F8"/>
    <w:rsid w:val="00222A4C"/>
    <w:rsid w:val="00225D4D"/>
    <w:rsid w:val="002334AE"/>
    <w:rsid w:val="0023594D"/>
    <w:rsid w:val="00237936"/>
    <w:rsid w:val="00237CE5"/>
    <w:rsid w:val="00244D7B"/>
    <w:rsid w:val="0024541F"/>
    <w:rsid w:val="00247387"/>
    <w:rsid w:val="002512C3"/>
    <w:rsid w:val="0025262F"/>
    <w:rsid w:val="00252C62"/>
    <w:rsid w:val="0025317F"/>
    <w:rsid w:val="00254F33"/>
    <w:rsid w:val="0025502B"/>
    <w:rsid w:val="0025561F"/>
    <w:rsid w:val="00256FCC"/>
    <w:rsid w:val="002604BF"/>
    <w:rsid w:val="002605D0"/>
    <w:rsid w:val="0026469E"/>
    <w:rsid w:val="002650F2"/>
    <w:rsid w:val="002652B3"/>
    <w:rsid w:val="00266101"/>
    <w:rsid w:val="0027335A"/>
    <w:rsid w:val="00273E59"/>
    <w:rsid w:val="0027706C"/>
    <w:rsid w:val="00281C70"/>
    <w:rsid w:val="00283FB7"/>
    <w:rsid w:val="002845DE"/>
    <w:rsid w:val="002869AC"/>
    <w:rsid w:val="00286AA0"/>
    <w:rsid w:val="002926D5"/>
    <w:rsid w:val="00297100"/>
    <w:rsid w:val="002A08EA"/>
    <w:rsid w:val="002A0D2A"/>
    <w:rsid w:val="002A47C3"/>
    <w:rsid w:val="002B27A6"/>
    <w:rsid w:val="002B27A7"/>
    <w:rsid w:val="002B3D54"/>
    <w:rsid w:val="002B48CC"/>
    <w:rsid w:val="002C6186"/>
    <w:rsid w:val="002C7848"/>
    <w:rsid w:val="002D119D"/>
    <w:rsid w:val="002D1F8C"/>
    <w:rsid w:val="002D4BF5"/>
    <w:rsid w:val="002E1057"/>
    <w:rsid w:val="002F0D1F"/>
    <w:rsid w:val="002F1B30"/>
    <w:rsid w:val="002F2DC3"/>
    <w:rsid w:val="002F5586"/>
    <w:rsid w:val="002F66BF"/>
    <w:rsid w:val="002F720F"/>
    <w:rsid w:val="002F7EEF"/>
    <w:rsid w:val="003024F6"/>
    <w:rsid w:val="0030279B"/>
    <w:rsid w:val="003129D6"/>
    <w:rsid w:val="003136EE"/>
    <w:rsid w:val="003216B9"/>
    <w:rsid w:val="00323475"/>
    <w:rsid w:val="0032409A"/>
    <w:rsid w:val="00332EAE"/>
    <w:rsid w:val="003354FE"/>
    <w:rsid w:val="003403D3"/>
    <w:rsid w:val="00344C9C"/>
    <w:rsid w:val="00344E60"/>
    <w:rsid w:val="00345B70"/>
    <w:rsid w:val="00345D42"/>
    <w:rsid w:val="00350D39"/>
    <w:rsid w:val="00350D80"/>
    <w:rsid w:val="00352103"/>
    <w:rsid w:val="00354ACF"/>
    <w:rsid w:val="003552BB"/>
    <w:rsid w:val="00356434"/>
    <w:rsid w:val="0036066E"/>
    <w:rsid w:val="00360B5C"/>
    <w:rsid w:val="003635FE"/>
    <w:rsid w:val="00364C08"/>
    <w:rsid w:val="00370AF2"/>
    <w:rsid w:val="0037177F"/>
    <w:rsid w:val="003725CC"/>
    <w:rsid w:val="003727EE"/>
    <w:rsid w:val="00375B7F"/>
    <w:rsid w:val="00375C8F"/>
    <w:rsid w:val="003772AF"/>
    <w:rsid w:val="00385CB3"/>
    <w:rsid w:val="00387840"/>
    <w:rsid w:val="0039059D"/>
    <w:rsid w:val="00390CA5"/>
    <w:rsid w:val="003A0016"/>
    <w:rsid w:val="003A014F"/>
    <w:rsid w:val="003A0E73"/>
    <w:rsid w:val="003A335C"/>
    <w:rsid w:val="003A3813"/>
    <w:rsid w:val="003A39F9"/>
    <w:rsid w:val="003A611B"/>
    <w:rsid w:val="003A6A07"/>
    <w:rsid w:val="003A6F41"/>
    <w:rsid w:val="003B04BC"/>
    <w:rsid w:val="003B10BC"/>
    <w:rsid w:val="003B17E3"/>
    <w:rsid w:val="003B1D7D"/>
    <w:rsid w:val="003B2033"/>
    <w:rsid w:val="003B3E93"/>
    <w:rsid w:val="003B4CFF"/>
    <w:rsid w:val="003B51E7"/>
    <w:rsid w:val="003B66D6"/>
    <w:rsid w:val="003B715F"/>
    <w:rsid w:val="003B7DC3"/>
    <w:rsid w:val="003C1D7F"/>
    <w:rsid w:val="003C1E17"/>
    <w:rsid w:val="003C422A"/>
    <w:rsid w:val="003C7815"/>
    <w:rsid w:val="003D2ED0"/>
    <w:rsid w:val="003D2F36"/>
    <w:rsid w:val="003D6F31"/>
    <w:rsid w:val="003D7860"/>
    <w:rsid w:val="003E02A0"/>
    <w:rsid w:val="003E3F4C"/>
    <w:rsid w:val="003E517C"/>
    <w:rsid w:val="003E5681"/>
    <w:rsid w:val="003F06C8"/>
    <w:rsid w:val="003F0820"/>
    <w:rsid w:val="003F0EDA"/>
    <w:rsid w:val="00402056"/>
    <w:rsid w:val="00402940"/>
    <w:rsid w:val="00402A8B"/>
    <w:rsid w:val="00403B9B"/>
    <w:rsid w:val="00403D99"/>
    <w:rsid w:val="00406986"/>
    <w:rsid w:val="004070F2"/>
    <w:rsid w:val="00411BA4"/>
    <w:rsid w:val="00412846"/>
    <w:rsid w:val="004147FC"/>
    <w:rsid w:val="00414A1A"/>
    <w:rsid w:val="004213D4"/>
    <w:rsid w:val="00430365"/>
    <w:rsid w:val="0043038D"/>
    <w:rsid w:val="004357FB"/>
    <w:rsid w:val="00445863"/>
    <w:rsid w:val="00445B15"/>
    <w:rsid w:val="00447E5A"/>
    <w:rsid w:val="0045167D"/>
    <w:rsid w:val="004529C3"/>
    <w:rsid w:val="00453BB1"/>
    <w:rsid w:val="00455018"/>
    <w:rsid w:val="004553A6"/>
    <w:rsid w:val="004577C0"/>
    <w:rsid w:val="004612AC"/>
    <w:rsid w:val="0046455D"/>
    <w:rsid w:val="00471927"/>
    <w:rsid w:val="00474107"/>
    <w:rsid w:val="0047783A"/>
    <w:rsid w:val="00482B79"/>
    <w:rsid w:val="00482CF7"/>
    <w:rsid w:val="00482E08"/>
    <w:rsid w:val="00485133"/>
    <w:rsid w:val="004918AE"/>
    <w:rsid w:val="00492391"/>
    <w:rsid w:val="00494D12"/>
    <w:rsid w:val="00495CD3"/>
    <w:rsid w:val="00497161"/>
    <w:rsid w:val="004A1904"/>
    <w:rsid w:val="004A20A5"/>
    <w:rsid w:val="004A294C"/>
    <w:rsid w:val="004A6A04"/>
    <w:rsid w:val="004A6B49"/>
    <w:rsid w:val="004A7D15"/>
    <w:rsid w:val="004B5B82"/>
    <w:rsid w:val="004C2962"/>
    <w:rsid w:val="004C5DA5"/>
    <w:rsid w:val="004C6080"/>
    <w:rsid w:val="004C6836"/>
    <w:rsid w:val="004D084B"/>
    <w:rsid w:val="004D0EA0"/>
    <w:rsid w:val="004D32A7"/>
    <w:rsid w:val="004D5D6F"/>
    <w:rsid w:val="004D6EC0"/>
    <w:rsid w:val="004D79F8"/>
    <w:rsid w:val="004E25DD"/>
    <w:rsid w:val="004E4AEC"/>
    <w:rsid w:val="004F2F4C"/>
    <w:rsid w:val="004F6039"/>
    <w:rsid w:val="004F6402"/>
    <w:rsid w:val="0050183E"/>
    <w:rsid w:val="0051227F"/>
    <w:rsid w:val="00515D78"/>
    <w:rsid w:val="00515F3A"/>
    <w:rsid w:val="005221FC"/>
    <w:rsid w:val="00523D1C"/>
    <w:rsid w:val="00525C72"/>
    <w:rsid w:val="00526B6C"/>
    <w:rsid w:val="0052712C"/>
    <w:rsid w:val="005272B3"/>
    <w:rsid w:val="005303F0"/>
    <w:rsid w:val="00531723"/>
    <w:rsid w:val="00532FBC"/>
    <w:rsid w:val="0053361C"/>
    <w:rsid w:val="00534B22"/>
    <w:rsid w:val="005366E0"/>
    <w:rsid w:val="005372F3"/>
    <w:rsid w:val="005406F8"/>
    <w:rsid w:val="00540B03"/>
    <w:rsid w:val="00543FD5"/>
    <w:rsid w:val="005462D0"/>
    <w:rsid w:val="0055084F"/>
    <w:rsid w:val="0055409E"/>
    <w:rsid w:val="00555C8A"/>
    <w:rsid w:val="005561B6"/>
    <w:rsid w:val="005576E1"/>
    <w:rsid w:val="00561A48"/>
    <w:rsid w:val="00564386"/>
    <w:rsid w:val="00564F6B"/>
    <w:rsid w:val="005713A8"/>
    <w:rsid w:val="00573978"/>
    <w:rsid w:val="00574E47"/>
    <w:rsid w:val="00575DCF"/>
    <w:rsid w:val="00582EE5"/>
    <w:rsid w:val="00583DAD"/>
    <w:rsid w:val="00585FCB"/>
    <w:rsid w:val="00586243"/>
    <w:rsid w:val="00591280"/>
    <w:rsid w:val="0059277F"/>
    <w:rsid w:val="005956B6"/>
    <w:rsid w:val="00596B8F"/>
    <w:rsid w:val="00596FB4"/>
    <w:rsid w:val="00597E6F"/>
    <w:rsid w:val="00597EED"/>
    <w:rsid w:val="005A4626"/>
    <w:rsid w:val="005A5047"/>
    <w:rsid w:val="005A69FC"/>
    <w:rsid w:val="005B2498"/>
    <w:rsid w:val="005C6B3B"/>
    <w:rsid w:val="005D0AF8"/>
    <w:rsid w:val="005D0CFE"/>
    <w:rsid w:val="005E292F"/>
    <w:rsid w:val="005E4894"/>
    <w:rsid w:val="005F0692"/>
    <w:rsid w:val="005F3E47"/>
    <w:rsid w:val="00600FE5"/>
    <w:rsid w:val="0060215A"/>
    <w:rsid w:val="00604ED3"/>
    <w:rsid w:val="00606755"/>
    <w:rsid w:val="00606C0A"/>
    <w:rsid w:val="00616381"/>
    <w:rsid w:val="0061692C"/>
    <w:rsid w:val="006216F9"/>
    <w:rsid w:val="00621BB5"/>
    <w:rsid w:val="00622DE2"/>
    <w:rsid w:val="0062658F"/>
    <w:rsid w:val="00626BE6"/>
    <w:rsid w:val="00631CCE"/>
    <w:rsid w:val="00635B08"/>
    <w:rsid w:val="006365B0"/>
    <w:rsid w:val="00640EEA"/>
    <w:rsid w:val="006412B6"/>
    <w:rsid w:val="00641D0D"/>
    <w:rsid w:val="0064267A"/>
    <w:rsid w:val="0064634B"/>
    <w:rsid w:val="006475B1"/>
    <w:rsid w:val="0064795F"/>
    <w:rsid w:val="00647EE3"/>
    <w:rsid w:val="006500F9"/>
    <w:rsid w:val="00652137"/>
    <w:rsid w:val="00652D53"/>
    <w:rsid w:val="006546EF"/>
    <w:rsid w:val="00662FB1"/>
    <w:rsid w:val="00663DD0"/>
    <w:rsid w:val="00666DD9"/>
    <w:rsid w:val="00667316"/>
    <w:rsid w:val="00670BC2"/>
    <w:rsid w:val="00671382"/>
    <w:rsid w:val="0067516F"/>
    <w:rsid w:val="00680845"/>
    <w:rsid w:val="00684961"/>
    <w:rsid w:val="00686238"/>
    <w:rsid w:val="00687754"/>
    <w:rsid w:val="00694132"/>
    <w:rsid w:val="00695349"/>
    <w:rsid w:val="00697272"/>
    <w:rsid w:val="006A20D8"/>
    <w:rsid w:val="006A26CF"/>
    <w:rsid w:val="006A497A"/>
    <w:rsid w:val="006A4E24"/>
    <w:rsid w:val="006A5810"/>
    <w:rsid w:val="006A66C5"/>
    <w:rsid w:val="006B4106"/>
    <w:rsid w:val="006B4683"/>
    <w:rsid w:val="006B679C"/>
    <w:rsid w:val="006B77FE"/>
    <w:rsid w:val="006C500A"/>
    <w:rsid w:val="006D0C99"/>
    <w:rsid w:val="006D3582"/>
    <w:rsid w:val="006D5A87"/>
    <w:rsid w:val="006E1A5B"/>
    <w:rsid w:val="006E1B6A"/>
    <w:rsid w:val="006E4BED"/>
    <w:rsid w:val="006E544F"/>
    <w:rsid w:val="006E61FB"/>
    <w:rsid w:val="006E66EF"/>
    <w:rsid w:val="006F63F5"/>
    <w:rsid w:val="006F6B50"/>
    <w:rsid w:val="0070010B"/>
    <w:rsid w:val="00701734"/>
    <w:rsid w:val="00702BCE"/>
    <w:rsid w:val="007055DF"/>
    <w:rsid w:val="00706CB5"/>
    <w:rsid w:val="007074F8"/>
    <w:rsid w:val="00712127"/>
    <w:rsid w:val="007121C3"/>
    <w:rsid w:val="00714014"/>
    <w:rsid w:val="0071558F"/>
    <w:rsid w:val="00715CA3"/>
    <w:rsid w:val="00720644"/>
    <w:rsid w:val="00721560"/>
    <w:rsid w:val="00722B6A"/>
    <w:rsid w:val="00722F82"/>
    <w:rsid w:val="00723F4C"/>
    <w:rsid w:val="00726036"/>
    <w:rsid w:val="00733832"/>
    <w:rsid w:val="0073393F"/>
    <w:rsid w:val="00742B3C"/>
    <w:rsid w:val="0074341E"/>
    <w:rsid w:val="00746B10"/>
    <w:rsid w:val="00751F08"/>
    <w:rsid w:val="0075321F"/>
    <w:rsid w:val="0075516F"/>
    <w:rsid w:val="00756B2B"/>
    <w:rsid w:val="007610C8"/>
    <w:rsid w:val="007666A8"/>
    <w:rsid w:val="00772590"/>
    <w:rsid w:val="00780083"/>
    <w:rsid w:val="007800C1"/>
    <w:rsid w:val="007814E0"/>
    <w:rsid w:val="007878A3"/>
    <w:rsid w:val="007915EB"/>
    <w:rsid w:val="00793399"/>
    <w:rsid w:val="007953D7"/>
    <w:rsid w:val="00796B7F"/>
    <w:rsid w:val="0079774A"/>
    <w:rsid w:val="007A2F41"/>
    <w:rsid w:val="007A735A"/>
    <w:rsid w:val="007B2769"/>
    <w:rsid w:val="007B64CB"/>
    <w:rsid w:val="007B7F12"/>
    <w:rsid w:val="007C177A"/>
    <w:rsid w:val="007C36F2"/>
    <w:rsid w:val="007C43DD"/>
    <w:rsid w:val="007C6400"/>
    <w:rsid w:val="007D5462"/>
    <w:rsid w:val="007D57EE"/>
    <w:rsid w:val="007E023E"/>
    <w:rsid w:val="007E1CB3"/>
    <w:rsid w:val="007E4F56"/>
    <w:rsid w:val="007E5061"/>
    <w:rsid w:val="007E5A0C"/>
    <w:rsid w:val="007F7993"/>
    <w:rsid w:val="007F79B8"/>
    <w:rsid w:val="008046B8"/>
    <w:rsid w:val="0081026B"/>
    <w:rsid w:val="0081387D"/>
    <w:rsid w:val="00816036"/>
    <w:rsid w:val="00822208"/>
    <w:rsid w:val="00822493"/>
    <w:rsid w:val="00832DC1"/>
    <w:rsid w:val="00837F9C"/>
    <w:rsid w:val="008403F1"/>
    <w:rsid w:val="00842057"/>
    <w:rsid w:val="00842503"/>
    <w:rsid w:val="00842BAF"/>
    <w:rsid w:val="00844E27"/>
    <w:rsid w:val="00853113"/>
    <w:rsid w:val="00853270"/>
    <w:rsid w:val="0086005B"/>
    <w:rsid w:val="008626D4"/>
    <w:rsid w:val="00864C55"/>
    <w:rsid w:val="00865CAF"/>
    <w:rsid w:val="00871267"/>
    <w:rsid w:val="00871CEA"/>
    <w:rsid w:val="00881B45"/>
    <w:rsid w:val="00883627"/>
    <w:rsid w:val="00884167"/>
    <w:rsid w:val="00885BF9"/>
    <w:rsid w:val="00890A08"/>
    <w:rsid w:val="008A5B85"/>
    <w:rsid w:val="008A7212"/>
    <w:rsid w:val="008B0847"/>
    <w:rsid w:val="008B218E"/>
    <w:rsid w:val="008B257A"/>
    <w:rsid w:val="008B4CFE"/>
    <w:rsid w:val="008C151F"/>
    <w:rsid w:val="008C2043"/>
    <w:rsid w:val="008C366C"/>
    <w:rsid w:val="008C6F8A"/>
    <w:rsid w:val="008D14C7"/>
    <w:rsid w:val="008D1629"/>
    <w:rsid w:val="008D36F0"/>
    <w:rsid w:val="008D390B"/>
    <w:rsid w:val="008D3D46"/>
    <w:rsid w:val="008D4AC5"/>
    <w:rsid w:val="008D5786"/>
    <w:rsid w:val="008D6100"/>
    <w:rsid w:val="008D6FB6"/>
    <w:rsid w:val="008E233E"/>
    <w:rsid w:val="008E4D8E"/>
    <w:rsid w:val="008E5BFE"/>
    <w:rsid w:val="008F1FCF"/>
    <w:rsid w:val="008F2E40"/>
    <w:rsid w:val="008F4675"/>
    <w:rsid w:val="008F59EC"/>
    <w:rsid w:val="00904EF2"/>
    <w:rsid w:val="00905463"/>
    <w:rsid w:val="00905F1F"/>
    <w:rsid w:val="00912138"/>
    <w:rsid w:val="0091307F"/>
    <w:rsid w:val="00915457"/>
    <w:rsid w:val="009173EC"/>
    <w:rsid w:val="0092614B"/>
    <w:rsid w:val="009268B5"/>
    <w:rsid w:val="00933EF4"/>
    <w:rsid w:val="00934BDF"/>
    <w:rsid w:val="0093574D"/>
    <w:rsid w:val="0093649C"/>
    <w:rsid w:val="009415AE"/>
    <w:rsid w:val="00944016"/>
    <w:rsid w:val="0094738B"/>
    <w:rsid w:val="00951A62"/>
    <w:rsid w:val="00952C1A"/>
    <w:rsid w:val="00960B73"/>
    <w:rsid w:val="00961BD6"/>
    <w:rsid w:val="00962B5F"/>
    <w:rsid w:val="009653DD"/>
    <w:rsid w:val="009675B7"/>
    <w:rsid w:val="00970BFB"/>
    <w:rsid w:val="00970EC1"/>
    <w:rsid w:val="0097278E"/>
    <w:rsid w:val="009744A0"/>
    <w:rsid w:val="00976781"/>
    <w:rsid w:val="00986270"/>
    <w:rsid w:val="0099396A"/>
    <w:rsid w:val="00993FE3"/>
    <w:rsid w:val="0099613E"/>
    <w:rsid w:val="009A0456"/>
    <w:rsid w:val="009A0B89"/>
    <w:rsid w:val="009A1063"/>
    <w:rsid w:val="009A290F"/>
    <w:rsid w:val="009A3C12"/>
    <w:rsid w:val="009A612D"/>
    <w:rsid w:val="009B1293"/>
    <w:rsid w:val="009B12A9"/>
    <w:rsid w:val="009B54A9"/>
    <w:rsid w:val="009B66C8"/>
    <w:rsid w:val="009C21B3"/>
    <w:rsid w:val="009C2C42"/>
    <w:rsid w:val="009C2DEA"/>
    <w:rsid w:val="009C5352"/>
    <w:rsid w:val="009C7296"/>
    <w:rsid w:val="009C737B"/>
    <w:rsid w:val="009D0017"/>
    <w:rsid w:val="009D0BA4"/>
    <w:rsid w:val="009D2E23"/>
    <w:rsid w:val="009D456D"/>
    <w:rsid w:val="009D4A6F"/>
    <w:rsid w:val="009E03E2"/>
    <w:rsid w:val="009E1F98"/>
    <w:rsid w:val="009E3233"/>
    <w:rsid w:val="009E3D4E"/>
    <w:rsid w:val="009E6A28"/>
    <w:rsid w:val="009F0308"/>
    <w:rsid w:val="00A0038F"/>
    <w:rsid w:val="00A010D6"/>
    <w:rsid w:val="00A02EC1"/>
    <w:rsid w:val="00A06DB2"/>
    <w:rsid w:val="00A117D2"/>
    <w:rsid w:val="00A11CE8"/>
    <w:rsid w:val="00A13902"/>
    <w:rsid w:val="00A14E46"/>
    <w:rsid w:val="00A1564E"/>
    <w:rsid w:val="00A15919"/>
    <w:rsid w:val="00A239A1"/>
    <w:rsid w:val="00A239A7"/>
    <w:rsid w:val="00A268BF"/>
    <w:rsid w:val="00A32B5A"/>
    <w:rsid w:val="00A37869"/>
    <w:rsid w:val="00A42FD3"/>
    <w:rsid w:val="00A43F43"/>
    <w:rsid w:val="00A44A88"/>
    <w:rsid w:val="00A470FD"/>
    <w:rsid w:val="00A57343"/>
    <w:rsid w:val="00A62DBE"/>
    <w:rsid w:val="00A63EAF"/>
    <w:rsid w:val="00A72122"/>
    <w:rsid w:val="00A74752"/>
    <w:rsid w:val="00A749E1"/>
    <w:rsid w:val="00A76EB7"/>
    <w:rsid w:val="00A77206"/>
    <w:rsid w:val="00A7745B"/>
    <w:rsid w:val="00A80881"/>
    <w:rsid w:val="00A81B6C"/>
    <w:rsid w:val="00A851B7"/>
    <w:rsid w:val="00A87934"/>
    <w:rsid w:val="00A92256"/>
    <w:rsid w:val="00A94775"/>
    <w:rsid w:val="00A96A72"/>
    <w:rsid w:val="00A972B9"/>
    <w:rsid w:val="00AA3ADA"/>
    <w:rsid w:val="00AA6604"/>
    <w:rsid w:val="00AA6642"/>
    <w:rsid w:val="00AB20D8"/>
    <w:rsid w:val="00AB75B4"/>
    <w:rsid w:val="00AC01D6"/>
    <w:rsid w:val="00AC11FE"/>
    <w:rsid w:val="00AC25BF"/>
    <w:rsid w:val="00AD09D8"/>
    <w:rsid w:val="00AD585C"/>
    <w:rsid w:val="00AD7CC8"/>
    <w:rsid w:val="00AE2394"/>
    <w:rsid w:val="00AE25A1"/>
    <w:rsid w:val="00AE4A79"/>
    <w:rsid w:val="00AE6E25"/>
    <w:rsid w:val="00AF1066"/>
    <w:rsid w:val="00AF6B3A"/>
    <w:rsid w:val="00AF6E2D"/>
    <w:rsid w:val="00AF6FC5"/>
    <w:rsid w:val="00B03F63"/>
    <w:rsid w:val="00B04A16"/>
    <w:rsid w:val="00B0501F"/>
    <w:rsid w:val="00B05384"/>
    <w:rsid w:val="00B10650"/>
    <w:rsid w:val="00B108AE"/>
    <w:rsid w:val="00B10BE6"/>
    <w:rsid w:val="00B1186D"/>
    <w:rsid w:val="00B125CE"/>
    <w:rsid w:val="00B13C9D"/>
    <w:rsid w:val="00B20D89"/>
    <w:rsid w:val="00B20DBA"/>
    <w:rsid w:val="00B2426C"/>
    <w:rsid w:val="00B25A8A"/>
    <w:rsid w:val="00B269B1"/>
    <w:rsid w:val="00B27065"/>
    <w:rsid w:val="00B27B65"/>
    <w:rsid w:val="00B30F41"/>
    <w:rsid w:val="00B318DD"/>
    <w:rsid w:val="00B3712B"/>
    <w:rsid w:val="00B40E49"/>
    <w:rsid w:val="00B44978"/>
    <w:rsid w:val="00B46B6A"/>
    <w:rsid w:val="00B46BD2"/>
    <w:rsid w:val="00B530C5"/>
    <w:rsid w:val="00B538E3"/>
    <w:rsid w:val="00B547B0"/>
    <w:rsid w:val="00B5582B"/>
    <w:rsid w:val="00B57D60"/>
    <w:rsid w:val="00B762F7"/>
    <w:rsid w:val="00B83814"/>
    <w:rsid w:val="00B84789"/>
    <w:rsid w:val="00B85769"/>
    <w:rsid w:val="00B85857"/>
    <w:rsid w:val="00B87F00"/>
    <w:rsid w:val="00B9129D"/>
    <w:rsid w:val="00B96022"/>
    <w:rsid w:val="00B9769C"/>
    <w:rsid w:val="00BA13D8"/>
    <w:rsid w:val="00BA4BB3"/>
    <w:rsid w:val="00BA4D11"/>
    <w:rsid w:val="00BA645C"/>
    <w:rsid w:val="00BA6AEE"/>
    <w:rsid w:val="00BA7A35"/>
    <w:rsid w:val="00BB704F"/>
    <w:rsid w:val="00BB766F"/>
    <w:rsid w:val="00BC4098"/>
    <w:rsid w:val="00BC4B97"/>
    <w:rsid w:val="00BC71FF"/>
    <w:rsid w:val="00BC77A1"/>
    <w:rsid w:val="00BD0FFD"/>
    <w:rsid w:val="00BD2425"/>
    <w:rsid w:val="00BE11E3"/>
    <w:rsid w:val="00BE27B4"/>
    <w:rsid w:val="00BE4CAF"/>
    <w:rsid w:val="00BE52BF"/>
    <w:rsid w:val="00BE5B82"/>
    <w:rsid w:val="00BE5E61"/>
    <w:rsid w:val="00BE781E"/>
    <w:rsid w:val="00BF6964"/>
    <w:rsid w:val="00C00BB8"/>
    <w:rsid w:val="00C02233"/>
    <w:rsid w:val="00C03E78"/>
    <w:rsid w:val="00C05BED"/>
    <w:rsid w:val="00C106C2"/>
    <w:rsid w:val="00C140D3"/>
    <w:rsid w:val="00C15121"/>
    <w:rsid w:val="00C171FF"/>
    <w:rsid w:val="00C21009"/>
    <w:rsid w:val="00C21363"/>
    <w:rsid w:val="00C232FE"/>
    <w:rsid w:val="00C3268D"/>
    <w:rsid w:val="00C3373E"/>
    <w:rsid w:val="00C37129"/>
    <w:rsid w:val="00C41135"/>
    <w:rsid w:val="00C41A6A"/>
    <w:rsid w:val="00C41FC3"/>
    <w:rsid w:val="00C4438F"/>
    <w:rsid w:val="00C458C2"/>
    <w:rsid w:val="00C47A56"/>
    <w:rsid w:val="00C47EA6"/>
    <w:rsid w:val="00C50954"/>
    <w:rsid w:val="00C511FA"/>
    <w:rsid w:val="00C52FC2"/>
    <w:rsid w:val="00C54932"/>
    <w:rsid w:val="00C562CE"/>
    <w:rsid w:val="00C57929"/>
    <w:rsid w:val="00C67CE0"/>
    <w:rsid w:val="00C72775"/>
    <w:rsid w:val="00C72B24"/>
    <w:rsid w:val="00C74F11"/>
    <w:rsid w:val="00C75210"/>
    <w:rsid w:val="00C76E10"/>
    <w:rsid w:val="00C8497E"/>
    <w:rsid w:val="00C96063"/>
    <w:rsid w:val="00CA4387"/>
    <w:rsid w:val="00CA6C76"/>
    <w:rsid w:val="00CA712C"/>
    <w:rsid w:val="00CB42AE"/>
    <w:rsid w:val="00CB5BAF"/>
    <w:rsid w:val="00CB5D78"/>
    <w:rsid w:val="00CB60A7"/>
    <w:rsid w:val="00CB7994"/>
    <w:rsid w:val="00CC19EC"/>
    <w:rsid w:val="00CC1B4C"/>
    <w:rsid w:val="00CC5025"/>
    <w:rsid w:val="00CC58F8"/>
    <w:rsid w:val="00CD0A35"/>
    <w:rsid w:val="00CD43BD"/>
    <w:rsid w:val="00CD50EC"/>
    <w:rsid w:val="00CD5140"/>
    <w:rsid w:val="00CD5326"/>
    <w:rsid w:val="00CD5B74"/>
    <w:rsid w:val="00CD5F91"/>
    <w:rsid w:val="00CD6B2F"/>
    <w:rsid w:val="00CD6D19"/>
    <w:rsid w:val="00CD7E1F"/>
    <w:rsid w:val="00CE0B40"/>
    <w:rsid w:val="00CE1553"/>
    <w:rsid w:val="00CE1F97"/>
    <w:rsid w:val="00CE20F4"/>
    <w:rsid w:val="00CE3BA8"/>
    <w:rsid w:val="00CE7BCD"/>
    <w:rsid w:val="00CF1E9F"/>
    <w:rsid w:val="00CF2045"/>
    <w:rsid w:val="00CF5D02"/>
    <w:rsid w:val="00CF754C"/>
    <w:rsid w:val="00D114C9"/>
    <w:rsid w:val="00D1257C"/>
    <w:rsid w:val="00D152BD"/>
    <w:rsid w:val="00D17E1B"/>
    <w:rsid w:val="00D21685"/>
    <w:rsid w:val="00D2412B"/>
    <w:rsid w:val="00D246E6"/>
    <w:rsid w:val="00D326DC"/>
    <w:rsid w:val="00D33045"/>
    <w:rsid w:val="00D354E8"/>
    <w:rsid w:val="00D42348"/>
    <w:rsid w:val="00D44122"/>
    <w:rsid w:val="00D527D5"/>
    <w:rsid w:val="00D54AD9"/>
    <w:rsid w:val="00D554DA"/>
    <w:rsid w:val="00D5725C"/>
    <w:rsid w:val="00D60538"/>
    <w:rsid w:val="00D60BFC"/>
    <w:rsid w:val="00D60FF3"/>
    <w:rsid w:val="00D62D4C"/>
    <w:rsid w:val="00D655F5"/>
    <w:rsid w:val="00D67C46"/>
    <w:rsid w:val="00D70591"/>
    <w:rsid w:val="00D85224"/>
    <w:rsid w:val="00D9070E"/>
    <w:rsid w:val="00D907A2"/>
    <w:rsid w:val="00D913E6"/>
    <w:rsid w:val="00D91650"/>
    <w:rsid w:val="00D95599"/>
    <w:rsid w:val="00DA47FD"/>
    <w:rsid w:val="00DA6116"/>
    <w:rsid w:val="00DB50B9"/>
    <w:rsid w:val="00DB66E3"/>
    <w:rsid w:val="00DC3B71"/>
    <w:rsid w:val="00DC5995"/>
    <w:rsid w:val="00DC78B1"/>
    <w:rsid w:val="00DD00EA"/>
    <w:rsid w:val="00DE01A0"/>
    <w:rsid w:val="00DE0699"/>
    <w:rsid w:val="00DE1A5F"/>
    <w:rsid w:val="00DE517C"/>
    <w:rsid w:val="00DE5E4F"/>
    <w:rsid w:val="00DF1369"/>
    <w:rsid w:val="00DF3AEE"/>
    <w:rsid w:val="00DF4CC2"/>
    <w:rsid w:val="00DF6966"/>
    <w:rsid w:val="00DF7718"/>
    <w:rsid w:val="00E00905"/>
    <w:rsid w:val="00E04222"/>
    <w:rsid w:val="00E05E1D"/>
    <w:rsid w:val="00E10062"/>
    <w:rsid w:val="00E1281F"/>
    <w:rsid w:val="00E15577"/>
    <w:rsid w:val="00E2493A"/>
    <w:rsid w:val="00E250CA"/>
    <w:rsid w:val="00E319DF"/>
    <w:rsid w:val="00E369B9"/>
    <w:rsid w:val="00E44D5C"/>
    <w:rsid w:val="00E566DD"/>
    <w:rsid w:val="00E600DD"/>
    <w:rsid w:val="00E61EDA"/>
    <w:rsid w:val="00E64B36"/>
    <w:rsid w:val="00E660F1"/>
    <w:rsid w:val="00E66456"/>
    <w:rsid w:val="00E7204F"/>
    <w:rsid w:val="00E75787"/>
    <w:rsid w:val="00E7617F"/>
    <w:rsid w:val="00E8008F"/>
    <w:rsid w:val="00E85C30"/>
    <w:rsid w:val="00E85DB1"/>
    <w:rsid w:val="00E9311F"/>
    <w:rsid w:val="00E96499"/>
    <w:rsid w:val="00E966E6"/>
    <w:rsid w:val="00E96EA6"/>
    <w:rsid w:val="00EA2853"/>
    <w:rsid w:val="00EB0782"/>
    <w:rsid w:val="00EB0DEC"/>
    <w:rsid w:val="00EB44F5"/>
    <w:rsid w:val="00EB52ED"/>
    <w:rsid w:val="00EB669A"/>
    <w:rsid w:val="00EB6C1F"/>
    <w:rsid w:val="00EC13FB"/>
    <w:rsid w:val="00EC30F4"/>
    <w:rsid w:val="00EC48D4"/>
    <w:rsid w:val="00EC54C1"/>
    <w:rsid w:val="00ED0F7F"/>
    <w:rsid w:val="00ED1262"/>
    <w:rsid w:val="00ED3A92"/>
    <w:rsid w:val="00ED5226"/>
    <w:rsid w:val="00ED628A"/>
    <w:rsid w:val="00EE244B"/>
    <w:rsid w:val="00EE2AA0"/>
    <w:rsid w:val="00EE3596"/>
    <w:rsid w:val="00EE4431"/>
    <w:rsid w:val="00EF1554"/>
    <w:rsid w:val="00EF1AC2"/>
    <w:rsid w:val="00EF5F53"/>
    <w:rsid w:val="00F05815"/>
    <w:rsid w:val="00F07DB4"/>
    <w:rsid w:val="00F07FC2"/>
    <w:rsid w:val="00F14DAE"/>
    <w:rsid w:val="00F15E93"/>
    <w:rsid w:val="00F205AD"/>
    <w:rsid w:val="00F24C46"/>
    <w:rsid w:val="00F25C03"/>
    <w:rsid w:val="00F30F09"/>
    <w:rsid w:val="00F33CD7"/>
    <w:rsid w:val="00F3542C"/>
    <w:rsid w:val="00F35B40"/>
    <w:rsid w:val="00F37102"/>
    <w:rsid w:val="00F40543"/>
    <w:rsid w:val="00F45972"/>
    <w:rsid w:val="00F46FE3"/>
    <w:rsid w:val="00F52F12"/>
    <w:rsid w:val="00F53236"/>
    <w:rsid w:val="00F56917"/>
    <w:rsid w:val="00F5755A"/>
    <w:rsid w:val="00F576F6"/>
    <w:rsid w:val="00F57F2B"/>
    <w:rsid w:val="00F7375B"/>
    <w:rsid w:val="00F742A3"/>
    <w:rsid w:val="00F76AFC"/>
    <w:rsid w:val="00F771B1"/>
    <w:rsid w:val="00F806F6"/>
    <w:rsid w:val="00F82834"/>
    <w:rsid w:val="00F82F93"/>
    <w:rsid w:val="00F84534"/>
    <w:rsid w:val="00F906A9"/>
    <w:rsid w:val="00F920F8"/>
    <w:rsid w:val="00F9495C"/>
    <w:rsid w:val="00F94AF2"/>
    <w:rsid w:val="00F970AC"/>
    <w:rsid w:val="00FA0F9D"/>
    <w:rsid w:val="00FA13BA"/>
    <w:rsid w:val="00FA4548"/>
    <w:rsid w:val="00FA7AF8"/>
    <w:rsid w:val="00FC092B"/>
    <w:rsid w:val="00FC2A67"/>
    <w:rsid w:val="00FC75FF"/>
    <w:rsid w:val="00FD15A1"/>
    <w:rsid w:val="00FD5D10"/>
    <w:rsid w:val="00FD78F8"/>
    <w:rsid w:val="00FE30E1"/>
    <w:rsid w:val="00FF15B0"/>
    <w:rsid w:val="00FF57AB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28A19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character" w:styleId="ae">
    <w:name w:val="annotation reference"/>
    <w:basedOn w:val="a0"/>
    <w:rsid w:val="00EE244B"/>
    <w:rPr>
      <w:sz w:val="16"/>
      <w:szCs w:val="16"/>
    </w:rPr>
  </w:style>
  <w:style w:type="paragraph" w:styleId="af">
    <w:name w:val="annotation text"/>
    <w:basedOn w:val="a"/>
    <w:link w:val="af0"/>
    <w:rsid w:val="00EE244B"/>
    <w:rPr>
      <w:sz w:val="20"/>
      <w:szCs w:val="20"/>
    </w:rPr>
  </w:style>
  <w:style w:type="character" w:customStyle="1" w:styleId="af0">
    <w:name w:val="טקסט הערה תו"/>
    <w:basedOn w:val="a0"/>
    <w:link w:val="af"/>
    <w:rsid w:val="00EE244B"/>
  </w:style>
  <w:style w:type="paragraph" w:styleId="af1">
    <w:name w:val="annotation subject"/>
    <w:basedOn w:val="af"/>
    <w:next w:val="af"/>
    <w:link w:val="af2"/>
    <w:rsid w:val="00EE244B"/>
    <w:rPr>
      <w:b/>
      <w:bCs/>
    </w:rPr>
  </w:style>
  <w:style w:type="character" w:customStyle="1" w:styleId="af2">
    <w:name w:val="נושא הערה תו"/>
    <w:basedOn w:val="af0"/>
    <w:link w:val="af1"/>
    <w:rsid w:val="00EE244B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3C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en/economic-roles/statistics/the-bank-of-israels-composite-state-of-the-economy-index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1FD7-1E03-4705-BFDA-79DE5B54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3678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2023-08-24T09:10:00Z</dcterms:created>
  <dcterms:modified xsi:type="dcterms:W3CDTF">2023-08-24T09:11:00Z</dcterms:modified>
</cp:coreProperties>
</file>