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E80E85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2AD8284" wp14:editId="4574D234">
                  <wp:extent cx="1243636" cy="704850"/>
                  <wp:effectExtent l="0" t="0" r="0" b="0"/>
                  <wp:docPr id="12" name="תמונה 12" descr="C:\Users\u20m\AppData\Local\Microsoft\Windows\Temporary Internet Files\Content.Word\60Y+bank_Color_RGB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0m\AppData\Local\Microsoft\Windows\Temporary Internet Files\Content.Word\60Y+bank_Color_RGB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6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E80E85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E80E85">
              <w:rPr>
                <w:rFonts w:cs="David" w:hint="cs"/>
                <w:sz w:val="24"/>
                <w:szCs w:val="24"/>
                <w:rtl/>
              </w:rPr>
              <w:t>ל' באב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E80E85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2B447B">
              <w:rPr>
                <w:rFonts w:cs="David" w:hint="cs"/>
                <w:sz w:val="24"/>
                <w:szCs w:val="24"/>
                <w:rtl/>
              </w:rPr>
              <w:t>2</w:t>
            </w:r>
            <w:r w:rsidR="00E80E85">
              <w:rPr>
                <w:rFonts w:cs="David" w:hint="cs"/>
                <w:sz w:val="24"/>
                <w:szCs w:val="24"/>
                <w:rtl/>
              </w:rPr>
              <w:t>6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02DD5">
              <w:rPr>
                <w:rFonts w:cs="David" w:hint="cs"/>
                <w:sz w:val="24"/>
                <w:szCs w:val="24"/>
                <w:rtl/>
              </w:rPr>
              <w:t>ב</w:t>
            </w:r>
            <w:r w:rsidR="00E80E85">
              <w:rPr>
                <w:rFonts w:cs="David" w:hint="cs"/>
                <w:sz w:val="24"/>
                <w:szCs w:val="24"/>
                <w:rtl/>
              </w:rPr>
              <w:t>אוגוסט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2C7213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Pr="002C7213">
        <w:rPr>
          <w:rFonts w:cs="David"/>
          <w:b/>
          <w:bCs/>
          <w:sz w:val="28"/>
          <w:szCs w:val="28"/>
          <w:u w:val="single"/>
          <w:rtl/>
        </w:rPr>
        <w:t>–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E80E85">
        <w:rPr>
          <w:rFonts w:cs="David" w:hint="cs"/>
          <w:b/>
          <w:bCs/>
          <w:sz w:val="28"/>
          <w:szCs w:val="28"/>
          <w:u w:val="single"/>
          <w:rtl/>
        </w:rPr>
        <w:t>יוני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>/</w:t>
      </w:r>
      <w:r w:rsidR="00E80E85">
        <w:rPr>
          <w:rFonts w:cs="David" w:hint="cs"/>
          <w:b/>
          <w:bCs/>
          <w:sz w:val="28"/>
          <w:szCs w:val="28"/>
          <w:u w:val="single"/>
          <w:rtl/>
        </w:rPr>
        <w:t>יולי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2014</w:t>
      </w:r>
    </w:p>
    <w:p w:rsidR="009F574F" w:rsidRDefault="009F574F" w:rsidP="009F574F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F574F" w:rsidRDefault="0010106E" w:rsidP="0059638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</w:t>
      </w:r>
      <w:r w:rsidR="00596389">
        <w:rPr>
          <w:rFonts w:cs="David" w:hint="cs"/>
          <w:sz w:val="24"/>
          <w:szCs w:val="24"/>
          <w:rtl/>
        </w:rPr>
        <w:t>ירדה</w:t>
      </w:r>
      <w:r>
        <w:rPr>
          <w:rFonts w:cs="David" w:hint="cs"/>
          <w:sz w:val="24"/>
          <w:szCs w:val="24"/>
          <w:rtl/>
        </w:rPr>
        <w:t xml:space="preserve"> בחודש </w:t>
      </w:r>
      <w:r w:rsidR="00E80E85">
        <w:rPr>
          <w:rFonts w:cs="David" w:hint="cs"/>
          <w:sz w:val="24"/>
          <w:szCs w:val="24"/>
          <w:rtl/>
        </w:rPr>
        <w:t>יוני</w:t>
      </w:r>
      <w:r>
        <w:rPr>
          <w:rFonts w:cs="David" w:hint="cs"/>
          <w:sz w:val="24"/>
          <w:szCs w:val="24"/>
          <w:rtl/>
        </w:rPr>
        <w:t xml:space="preserve"> ב-</w:t>
      </w:r>
      <w:r w:rsidR="00596389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% לרמה של כ-</w:t>
      </w:r>
      <w:r w:rsidR="00596389">
        <w:rPr>
          <w:rFonts w:cs="David" w:hint="cs"/>
          <w:sz w:val="24"/>
          <w:szCs w:val="24"/>
          <w:rtl/>
        </w:rPr>
        <w:t>777</w:t>
      </w:r>
      <w:r>
        <w:rPr>
          <w:rFonts w:cs="David" w:hint="cs"/>
          <w:sz w:val="24"/>
          <w:szCs w:val="24"/>
          <w:rtl/>
        </w:rPr>
        <w:t xml:space="preserve"> מיליארדי ש"ח.</w:t>
      </w:r>
      <w:r>
        <w:rPr>
          <w:rFonts w:cs="David"/>
          <w:sz w:val="24"/>
          <w:szCs w:val="24"/>
          <w:rtl/>
        </w:rPr>
        <w:br/>
      </w:r>
      <w:r w:rsidR="009F574F">
        <w:rPr>
          <w:rFonts w:cs="David" w:hint="cs"/>
          <w:sz w:val="24"/>
          <w:szCs w:val="24"/>
          <w:rtl/>
        </w:rPr>
        <w:t xml:space="preserve">יתרת החוב של </w:t>
      </w:r>
      <w:r w:rsidR="009F574F" w:rsidRPr="009F574F">
        <w:rPr>
          <w:rFonts w:cs="David" w:hint="cs"/>
          <w:b/>
          <w:bCs/>
          <w:sz w:val="24"/>
          <w:szCs w:val="24"/>
          <w:rtl/>
        </w:rPr>
        <w:t>משקי הבית</w:t>
      </w:r>
      <w:r w:rsidR="009F574F">
        <w:rPr>
          <w:rFonts w:cs="David" w:hint="cs"/>
          <w:sz w:val="24"/>
          <w:szCs w:val="24"/>
          <w:rtl/>
        </w:rPr>
        <w:t xml:space="preserve"> </w:t>
      </w:r>
      <w:r w:rsidR="00AA70E3">
        <w:rPr>
          <w:rFonts w:cs="David" w:hint="cs"/>
          <w:sz w:val="24"/>
          <w:szCs w:val="24"/>
          <w:rtl/>
        </w:rPr>
        <w:t>גדלה</w:t>
      </w:r>
      <w:r w:rsidR="009F574F">
        <w:rPr>
          <w:rFonts w:cs="David" w:hint="cs"/>
          <w:sz w:val="24"/>
          <w:szCs w:val="24"/>
          <w:rtl/>
        </w:rPr>
        <w:t xml:space="preserve"> בכ-</w:t>
      </w:r>
      <w:r w:rsidR="00596389">
        <w:rPr>
          <w:rFonts w:cs="David" w:hint="cs"/>
          <w:sz w:val="24"/>
          <w:szCs w:val="24"/>
          <w:rtl/>
        </w:rPr>
        <w:t>2.3</w:t>
      </w:r>
      <w:r w:rsidR="009F574F">
        <w:rPr>
          <w:rFonts w:cs="David" w:hint="cs"/>
          <w:sz w:val="24"/>
          <w:szCs w:val="24"/>
          <w:rtl/>
        </w:rPr>
        <w:t xml:space="preserve"> מיליארדי ש"ח (0.</w:t>
      </w:r>
      <w:r w:rsidR="00596389">
        <w:rPr>
          <w:rFonts w:cs="David" w:hint="cs"/>
          <w:sz w:val="24"/>
          <w:szCs w:val="24"/>
          <w:rtl/>
        </w:rPr>
        <w:t>6</w:t>
      </w:r>
      <w:r w:rsidR="009F574F">
        <w:rPr>
          <w:rFonts w:cs="David" w:hint="cs"/>
          <w:sz w:val="24"/>
          <w:szCs w:val="24"/>
          <w:rtl/>
        </w:rPr>
        <w:t>%) ועמדה בסוף החודש על כ-</w:t>
      </w:r>
      <w:r w:rsidR="00596389">
        <w:rPr>
          <w:rFonts w:cs="David" w:hint="cs"/>
          <w:sz w:val="24"/>
          <w:szCs w:val="24"/>
          <w:rtl/>
        </w:rPr>
        <w:t>419</w:t>
      </w:r>
      <w:r w:rsidR="009F574F">
        <w:rPr>
          <w:rFonts w:cs="David" w:hint="cs"/>
          <w:sz w:val="24"/>
          <w:szCs w:val="24"/>
          <w:rtl/>
        </w:rPr>
        <w:t xml:space="preserve"> מיליארדים.</w:t>
      </w: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AD1348" w:rsidRDefault="00AA70E3" w:rsidP="00880DF0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AD1348">
        <w:rPr>
          <w:rFonts w:cs="David" w:hint="cs"/>
          <w:sz w:val="24"/>
          <w:szCs w:val="24"/>
          <w:rtl/>
        </w:rPr>
        <w:t xml:space="preserve">מהחטיבה למידע ולסטטיסטיקה נמסר, כי בחודש </w:t>
      </w:r>
      <w:r w:rsidR="00E80E85">
        <w:rPr>
          <w:rFonts w:cs="David" w:hint="cs"/>
          <w:sz w:val="24"/>
          <w:szCs w:val="24"/>
          <w:rtl/>
        </w:rPr>
        <w:t>יוני</w:t>
      </w:r>
      <w:r w:rsidRPr="00AD1348">
        <w:rPr>
          <w:rFonts w:cs="David" w:hint="cs"/>
          <w:sz w:val="24"/>
          <w:szCs w:val="24"/>
          <w:rtl/>
        </w:rPr>
        <w:t xml:space="preserve"> </w:t>
      </w:r>
      <w:r w:rsidR="000812AB">
        <w:rPr>
          <w:rFonts w:cs="David" w:hint="cs"/>
          <w:sz w:val="24"/>
          <w:szCs w:val="24"/>
          <w:rtl/>
        </w:rPr>
        <w:t>ירדה</w:t>
      </w:r>
      <w:r w:rsidRPr="00AD1348">
        <w:rPr>
          <w:rFonts w:cs="David" w:hint="cs"/>
          <w:sz w:val="24"/>
          <w:szCs w:val="24"/>
          <w:rtl/>
        </w:rPr>
        <w:t xml:space="preserve"> יתרת החוב של המגזר העסקי בכ-</w:t>
      </w:r>
      <w:r w:rsidR="000812AB">
        <w:rPr>
          <w:rFonts w:cs="David" w:hint="cs"/>
          <w:sz w:val="24"/>
          <w:szCs w:val="24"/>
          <w:rtl/>
        </w:rPr>
        <w:t xml:space="preserve">8 </w:t>
      </w:r>
      <w:r w:rsidRPr="00AD1348">
        <w:rPr>
          <w:rFonts w:cs="David" w:hint="cs"/>
          <w:sz w:val="24"/>
          <w:szCs w:val="24"/>
          <w:rtl/>
        </w:rPr>
        <w:t>מיליארדי ש"ח לרמה של כ-</w:t>
      </w:r>
      <w:r w:rsidR="00AD1348" w:rsidRPr="00AD1348">
        <w:rPr>
          <w:rFonts w:cs="David" w:hint="cs"/>
          <w:sz w:val="24"/>
          <w:szCs w:val="24"/>
          <w:rtl/>
        </w:rPr>
        <w:t>7</w:t>
      </w:r>
      <w:r w:rsidR="000812AB">
        <w:rPr>
          <w:rFonts w:cs="David" w:hint="cs"/>
          <w:sz w:val="24"/>
          <w:szCs w:val="24"/>
          <w:rtl/>
        </w:rPr>
        <w:t xml:space="preserve">77 </w:t>
      </w:r>
      <w:r w:rsidR="000812AB" w:rsidRPr="00877900">
        <w:rPr>
          <w:rFonts w:cs="David" w:hint="cs"/>
          <w:sz w:val="24"/>
          <w:szCs w:val="24"/>
          <w:rtl/>
        </w:rPr>
        <w:t>מיליארדים</w:t>
      </w:r>
      <w:r w:rsidR="00877900">
        <w:rPr>
          <w:rFonts w:cs="David" w:hint="cs"/>
          <w:sz w:val="24"/>
          <w:szCs w:val="24"/>
          <w:rtl/>
        </w:rPr>
        <w:t xml:space="preserve"> (1%-).</w:t>
      </w:r>
      <w:r w:rsidR="000812AB" w:rsidRPr="00877900">
        <w:rPr>
          <w:rFonts w:cs="David" w:hint="cs"/>
          <w:sz w:val="24"/>
          <w:szCs w:val="24"/>
          <w:rtl/>
        </w:rPr>
        <w:t xml:space="preserve"> </w:t>
      </w:r>
      <w:r w:rsidR="009311DE" w:rsidRPr="00877900">
        <w:rPr>
          <w:rFonts w:cs="David" w:hint="cs"/>
          <w:sz w:val="24"/>
          <w:szCs w:val="24"/>
          <w:rtl/>
        </w:rPr>
        <w:t>ה</w:t>
      </w:r>
      <w:r w:rsidR="004D285B" w:rsidRPr="00877900">
        <w:rPr>
          <w:rFonts w:cs="David" w:hint="cs"/>
          <w:sz w:val="24"/>
          <w:szCs w:val="24"/>
          <w:rtl/>
        </w:rPr>
        <w:t>ירידה</w:t>
      </w:r>
      <w:r w:rsidR="009311DE">
        <w:rPr>
          <w:rFonts w:cs="David" w:hint="cs"/>
          <w:sz w:val="24"/>
          <w:szCs w:val="24"/>
          <w:rtl/>
        </w:rPr>
        <w:t xml:space="preserve"> ביתרה נבעה </w:t>
      </w:r>
      <w:r w:rsidR="00065320">
        <w:rPr>
          <w:rFonts w:cs="David" w:hint="cs"/>
          <w:sz w:val="24"/>
          <w:szCs w:val="24"/>
          <w:rtl/>
        </w:rPr>
        <w:t xml:space="preserve">ברובה </w:t>
      </w:r>
      <w:r w:rsidR="00B63DC4">
        <w:rPr>
          <w:rFonts w:cs="David" w:hint="cs"/>
          <w:sz w:val="24"/>
          <w:szCs w:val="24"/>
          <w:rtl/>
        </w:rPr>
        <w:t>מ</w:t>
      </w:r>
      <w:r w:rsidR="004D285B">
        <w:rPr>
          <w:rFonts w:cs="David" w:hint="cs"/>
          <w:sz w:val="24"/>
          <w:szCs w:val="24"/>
          <w:rtl/>
        </w:rPr>
        <w:t>פירעון חוב נטו</w:t>
      </w:r>
      <w:r w:rsidR="00D80B77" w:rsidRPr="00D80B77">
        <w:rPr>
          <w:rFonts w:cs="David" w:hint="cs"/>
          <w:sz w:val="24"/>
          <w:szCs w:val="24"/>
          <w:rtl/>
        </w:rPr>
        <w:t xml:space="preserve"> </w:t>
      </w:r>
      <w:r w:rsidR="00D80B77">
        <w:rPr>
          <w:rFonts w:cs="David" w:hint="cs"/>
          <w:sz w:val="24"/>
          <w:szCs w:val="24"/>
          <w:rtl/>
        </w:rPr>
        <w:t>בהיקף של כ-5.5 מיליארדים:</w:t>
      </w:r>
      <w:r w:rsidR="00B63DC4">
        <w:rPr>
          <w:rFonts w:cs="David" w:hint="cs"/>
          <w:sz w:val="24"/>
          <w:szCs w:val="24"/>
          <w:rtl/>
        </w:rPr>
        <w:t xml:space="preserve"> </w:t>
      </w:r>
      <w:r w:rsidR="004D285B">
        <w:rPr>
          <w:rFonts w:cs="David" w:hint="cs"/>
          <w:sz w:val="24"/>
          <w:szCs w:val="24"/>
          <w:rtl/>
        </w:rPr>
        <w:t xml:space="preserve">פירעון הלוואות מהבנקים, </w:t>
      </w:r>
      <w:r w:rsidR="009311DE">
        <w:rPr>
          <w:rFonts w:cs="David" w:hint="cs"/>
          <w:sz w:val="24"/>
          <w:szCs w:val="24"/>
          <w:rtl/>
        </w:rPr>
        <w:t>אג"ח סחיר ולא סחיר והלוואות לא בנקאיות</w:t>
      </w:r>
      <w:r w:rsidR="00D80B77">
        <w:rPr>
          <w:rFonts w:cs="David" w:hint="cs"/>
          <w:sz w:val="24"/>
          <w:szCs w:val="24"/>
          <w:rtl/>
        </w:rPr>
        <w:t>;</w:t>
      </w:r>
      <w:r w:rsidR="004D285B">
        <w:rPr>
          <w:rFonts w:cs="David" w:hint="cs"/>
          <w:sz w:val="24"/>
          <w:szCs w:val="24"/>
          <w:rtl/>
        </w:rPr>
        <w:t xml:space="preserve"> ומהתחזקות השקל מול הדולר בכ-1.1%, שהקטין את השווי השקלי של החוב הצמוד והנקוב במט"ח</w:t>
      </w:r>
      <w:r w:rsidR="009311DE">
        <w:rPr>
          <w:rFonts w:cs="David" w:hint="cs"/>
          <w:sz w:val="24"/>
          <w:szCs w:val="24"/>
          <w:rtl/>
        </w:rPr>
        <w:t>.</w:t>
      </w:r>
      <w:r w:rsidR="00065320">
        <w:rPr>
          <w:rFonts w:cs="David" w:hint="cs"/>
          <w:sz w:val="24"/>
          <w:szCs w:val="24"/>
          <w:rtl/>
        </w:rPr>
        <w:t xml:space="preserve"> </w:t>
      </w:r>
      <w:r w:rsidR="004D285B">
        <w:rPr>
          <w:rFonts w:cs="David" w:hint="cs"/>
          <w:sz w:val="24"/>
          <w:szCs w:val="24"/>
          <w:rtl/>
        </w:rPr>
        <w:t xml:space="preserve">הירידה קוזזה בחלקה ע"י גיוסי אשראי נטו מחו"ל בהיקף של כ-0.5 מיליארדים.  </w:t>
      </w:r>
    </w:p>
    <w:p w:rsidR="00AA70E3" w:rsidRPr="00E7456B" w:rsidRDefault="00AA70E3" w:rsidP="00C6135C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577146">
        <w:rPr>
          <w:rFonts w:cs="David" w:hint="eastAsia"/>
          <w:sz w:val="24"/>
          <w:szCs w:val="24"/>
          <w:rtl/>
        </w:rPr>
        <w:t>בחודש</w:t>
      </w:r>
      <w:r w:rsidRPr="00577146">
        <w:rPr>
          <w:rFonts w:cs="David"/>
          <w:sz w:val="24"/>
          <w:szCs w:val="24"/>
          <w:rtl/>
        </w:rPr>
        <w:t xml:space="preserve"> </w:t>
      </w:r>
      <w:r w:rsidR="00E80E85">
        <w:rPr>
          <w:rFonts w:cs="David" w:hint="eastAsia"/>
          <w:sz w:val="24"/>
          <w:szCs w:val="24"/>
          <w:rtl/>
        </w:rPr>
        <w:t>יולי</w:t>
      </w:r>
      <w:r w:rsidRPr="00577146">
        <w:rPr>
          <w:rFonts w:cs="David"/>
          <w:sz w:val="24"/>
          <w:szCs w:val="24"/>
          <w:rtl/>
        </w:rPr>
        <w:t xml:space="preserve"> הנפיק המגזר</w:t>
      </w:r>
      <w:r w:rsidRPr="007F5009">
        <w:rPr>
          <w:rFonts w:cs="David"/>
          <w:sz w:val="24"/>
          <w:szCs w:val="24"/>
          <w:rtl/>
        </w:rPr>
        <w:t xml:space="preserve"> העסקי (ללא בנקים וביטוח) אג"ח בשווי של כ-</w:t>
      </w:r>
      <w:r w:rsidR="004D285B">
        <w:rPr>
          <w:rFonts w:cs="David" w:hint="cs"/>
          <w:sz w:val="24"/>
          <w:szCs w:val="24"/>
          <w:rtl/>
        </w:rPr>
        <w:t>2.7</w:t>
      </w:r>
      <w:r w:rsidRPr="007F5009">
        <w:rPr>
          <w:rFonts w:cs="David"/>
          <w:sz w:val="24"/>
          <w:szCs w:val="24"/>
          <w:rtl/>
        </w:rPr>
        <w:t xml:space="preserve"> מיליארדי ש"ח, </w:t>
      </w:r>
      <w:r w:rsidR="004D285B">
        <w:rPr>
          <w:rFonts w:cs="David" w:hint="cs"/>
          <w:sz w:val="24"/>
          <w:szCs w:val="24"/>
          <w:rtl/>
        </w:rPr>
        <w:t>רובן</w:t>
      </w:r>
      <w:r w:rsidR="00F632C4">
        <w:rPr>
          <w:rFonts w:cs="David" w:hint="cs"/>
          <w:sz w:val="24"/>
          <w:szCs w:val="24"/>
          <w:rtl/>
        </w:rPr>
        <w:t xml:space="preserve"> באמצעות אג"ח סחיר</w:t>
      </w:r>
      <w:r w:rsidR="004D285B">
        <w:rPr>
          <w:rFonts w:cs="David"/>
          <w:sz w:val="24"/>
          <w:szCs w:val="24"/>
        </w:rPr>
        <w:t>;</w:t>
      </w:r>
      <w:r w:rsidR="004D285B">
        <w:rPr>
          <w:rFonts w:cs="David" w:hint="cs"/>
          <w:sz w:val="24"/>
          <w:szCs w:val="24"/>
          <w:rtl/>
        </w:rPr>
        <w:t xml:space="preserve"> נמוך מממוצע ההנפקות מתחילת השנה שעומד על כ-3.</w:t>
      </w:r>
      <w:r w:rsidR="00C6135C">
        <w:rPr>
          <w:rFonts w:cs="David" w:hint="cs"/>
          <w:sz w:val="24"/>
          <w:szCs w:val="24"/>
          <w:rtl/>
        </w:rPr>
        <w:t>9</w:t>
      </w:r>
      <w:r w:rsidR="004D285B">
        <w:rPr>
          <w:rFonts w:cs="David" w:hint="cs"/>
          <w:sz w:val="24"/>
          <w:szCs w:val="24"/>
          <w:rtl/>
        </w:rPr>
        <w:t xml:space="preserve"> </w:t>
      </w:r>
      <w:r w:rsidR="004D285B" w:rsidRPr="00E7456B">
        <w:rPr>
          <w:rFonts w:cs="David" w:hint="cs"/>
          <w:sz w:val="24"/>
          <w:szCs w:val="24"/>
          <w:rtl/>
        </w:rPr>
        <w:t xml:space="preserve">מיליארדים. </w:t>
      </w:r>
    </w:p>
    <w:p w:rsidR="00F57D67" w:rsidRDefault="00F57D67" w:rsidP="00632F81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632F81">
        <w:rPr>
          <w:rFonts w:cs="David" w:hint="cs"/>
          <w:b/>
          <w:bCs/>
          <w:sz w:val="24"/>
          <w:szCs w:val="24"/>
          <w:rtl/>
        </w:rPr>
        <w:t>במחצית הראשונה של</w:t>
      </w:r>
      <w:r w:rsidRPr="00E7456B">
        <w:rPr>
          <w:rFonts w:cs="David" w:hint="cs"/>
          <w:sz w:val="24"/>
          <w:szCs w:val="24"/>
          <w:rtl/>
        </w:rPr>
        <w:t xml:space="preserve"> </w:t>
      </w:r>
      <w:r w:rsidRPr="00632F81">
        <w:rPr>
          <w:rFonts w:cs="David" w:hint="cs"/>
          <w:b/>
          <w:bCs/>
          <w:sz w:val="24"/>
          <w:szCs w:val="24"/>
          <w:rtl/>
        </w:rPr>
        <w:t>2014</w:t>
      </w:r>
      <w:r w:rsidRPr="00E7456B">
        <w:rPr>
          <w:rFonts w:cs="David" w:hint="cs"/>
          <w:sz w:val="24"/>
          <w:szCs w:val="24"/>
          <w:rtl/>
        </w:rPr>
        <w:t xml:space="preserve"> נותרה יתרת החוב של המגזר העסקי כמעט ללא שינוי. השפעתו של גיוס חוב נטו שמקורו בהלוואות פרטיות מהמוסדיים קוזז ע"י פירעונות הלוואות בנקאיות ואג"ח סחיר וכן  </w:t>
      </w:r>
      <w:r w:rsidR="00632F81">
        <w:rPr>
          <w:rFonts w:cs="David" w:hint="cs"/>
          <w:sz w:val="24"/>
          <w:szCs w:val="24"/>
          <w:rtl/>
        </w:rPr>
        <w:t>ע"י</w:t>
      </w:r>
      <w:r w:rsidRPr="00E7456B">
        <w:rPr>
          <w:rFonts w:cs="David" w:hint="cs"/>
          <w:sz w:val="24"/>
          <w:szCs w:val="24"/>
          <w:rtl/>
        </w:rPr>
        <w:t xml:space="preserve"> ייסוף השקל שהקטין את שווי החוב במט"ח.</w:t>
      </w: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B6578A" w:rsidRDefault="00B6578A" w:rsidP="00B6578A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Pr="00E7456B" w:rsidRDefault="003018A7" w:rsidP="003018A7">
      <w:pPr>
        <w:pStyle w:val="a9"/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Pr="003B4CCA" w:rsidRDefault="00880DF0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880DF0">
        <w:rPr>
          <w:noProof/>
          <w:lang w:eastAsia="en-US"/>
        </w:rPr>
        <w:drawing>
          <wp:inline distT="0" distB="0" distL="0" distR="0" wp14:anchorId="06E0330B" wp14:editId="6212DDC6">
            <wp:extent cx="5274310" cy="2675614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69" w:rsidRDefault="007C3769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F5509B" w:rsidRPr="00F5509B" w:rsidRDefault="00F5509B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u w:val="single"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 w:rsidR="00BF0E66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="00BF0E66" w:rsidRPr="00F5509B">
        <w:rPr>
          <w:rFonts w:cs="David"/>
          <w:b/>
          <w:bCs/>
          <w:sz w:val="24"/>
          <w:szCs w:val="24"/>
          <w:u w:val="single"/>
          <w:rtl/>
        </w:rPr>
        <w:t xml:space="preserve">חוב </w:t>
      </w:r>
      <w:r w:rsidR="00BF0E66" w:rsidRPr="00A73792">
        <w:rPr>
          <w:rFonts w:cs="David"/>
          <w:b/>
          <w:bCs/>
          <w:sz w:val="24"/>
          <w:szCs w:val="24"/>
          <w:u w:val="single"/>
          <w:rtl/>
        </w:rPr>
        <w:t>הבנקאי והחוץ</w:t>
      </w:r>
      <w:r w:rsidR="00BF0E66" w:rsidRPr="00F5509B">
        <w:rPr>
          <w:rFonts w:cs="David"/>
          <w:b/>
          <w:bCs/>
          <w:sz w:val="24"/>
          <w:szCs w:val="24"/>
          <w:u w:val="single"/>
          <w:rtl/>
        </w:rPr>
        <w:t>-בנקאי של הסקטור</w:t>
      </w:r>
      <w:r w:rsidR="00BF0E66" w:rsidRPr="00F5509B">
        <w:rPr>
          <w:rFonts w:cs="David" w:hint="cs"/>
          <w:b/>
          <w:bCs/>
          <w:sz w:val="24"/>
          <w:szCs w:val="24"/>
          <w:u w:val="single"/>
          <w:rtl/>
        </w:rPr>
        <w:t xml:space="preserve"> העסקי</w:t>
      </w:r>
      <w:r w:rsidR="00BF0E66">
        <w:rPr>
          <w:rFonts w:cs="David" w:hint="cs"/>
          <w:b/>
          <w:bCs/>
          <w:sz w:val="24"/>
          <w:szCs w:val="24"/>
          <w:u w:val="single"/>
          <w:rtl/>
        </w:rPr>
        <w:t xml:space="preserve"> - </w:t>
      </w:r>
      <w:r w:rsidRPr="00F5509B">
        <w:rPr>
          <w:rFonts w:cs="David"/>
          <w:b/>
          <w:bCs/>
          <w:sz w:val="24"/>
          <w:szCs w:val="24"/>
          <w:u w:val="single"/>
          <w:rtl/>
        </w:rPr>
        <w:t xml:space="preserve">שיעורי השינוי </w:t>
      </w:r>
      <w:r w:rsidR="00BF0E66">
        <w:rPr>
          <w:rFonts w:cs="David"/>
          <w:b/>
          <w:bCs/>
          <w:sz w:val="24"/>
          <w:szCs w:val="24"/>
          <w:u w:val="single"/>
          <w:rtl/>
        </w:rPr>
        <w:t>לעומת החודש המקביל בשנה הקודמת</w:t>
      </w:r>
    </w:p>
    <w:p w:rsidR="00F5509B" w:rsidRDefault="00A73792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A73792">
        <w:rPr>
          <w:noProof/>
          <w:lang w:eastAsia="en-US"/>
        </w:rPr>
        <w:drawing>
          <wp:inline distT="0" distB="0" distL="0" distR="0" wp14:anchorId="4DFA45D1" wp14:editId="15553460">
            <wp:extent cx="5274310" cy="3375803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624C40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  <w:r w:rsidRPr="00624C40">
        <w:rPr>
          <w:noProof/>
          <w:lang w:eastAsia="en-US"/>
        </w:rPr>
        <w:drawing>
          <wp:inline distT="0" distB="0" distL="0" distR="0" wp14:anchorId="1150A239" wp14:editId="5D6C23B8">
            <wp:extent cx="5274310" cy="1342385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69" w:rsidRPr="003018A7" w:rsidRDefault="007C3769" w:rsidP="003018A7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7C3769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81240" w:rsidRDefault="00781240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2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Default="00624C40" w:rsidP="00FA6355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24C40">
        <w:rPr>
          <w:noProof/>
          <w:lang w:eastAsia="en-US"/>
        </w:rPr>
        <w:drawing>
          <wp:inline distT="0" distB="0" distL="0" distR="0" wp14:anchorId="72CE4421" wp14:editId="6E18AC8F">
            <wp:extent cx="5274310" cy="4234709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69" w:rsidRPr="00FA6355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F57D67" w:rsidRPr="0027192B" w:rsidRDefault="004F16EA" w:rsidP="00210E2D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27192B">
        <w:rPr>
          <w:rFonts w:cs="David" w:hint="cs"/>
          <w:sz w:val="24"/>
          <w:szCs w:val="24"/>
          <w:rtl/>
        </w:rPr>
        <w:t xml:space="preserve">יתרת החוב של משקי הבית גדלה בחודש </w:t>
      </w:r>
      <w:r w:rsidR="00E80E85" w:rsidRPr="0027192B">
        <w:rPr>
          <w:rFonts w:cs="David" w:hint="cs"/>
          <w:sz w:val="24"/>
          <w:szCs w:val="24"/>
          <w:rtl/>
        </w:rPr>
        <w:t>יוני</w:t>
      </w:r>
      <w:r w:rsidR="000F5653" w:rsidRPr="0027192B">
        <w:rPr>
          <w:rFonts w:cs="David" w:hint="cs"/>
          <w:sz w:val="24"/>
          <w:szCs w:val="24"/>
          <w:rtl/>
        </w:rPr>
        <w:t xml:space="preserve"> בכ-2.3</w:t>
      </w:r>
      <w:r w:rsidRPr="0027192B">
        <w:rPr>
          <w:rFonts w:cs="David" w:hint="cs"/>
          <w:sz w:val="24"/>
          <w:szCs w:val="24"/>
          <w:rtl/>
        </w:rPr>
        <w:t xml:space="preserve"> מיליארדי ש"ח לרמה של כ-41</w:t>
      </w:r>
      <w:r w:rsidR="000F5653" w:rsidRPr="0027192B">
        <w:rPr>
          <w:rFonts w:cs="David" w:hint="cs"/>
          <w:sz w:val="24"/>
          <w:szCs w:val="24"/>
          <w:rtl/>
        </w:rPr>
        <w:t>9</w:t>
      </w:r>
      <w:r w:rsidRPr="0027192B">
        <w:rPr>
          <w:rFonts w:cs="David" w:hint="cs"/>
          <w:sz w:val="24"/>
          <w:szCs w:val="24"/>
          <w:rtl/>
        </w:rPr>
        <w:t xml:space="preserve"> מיליארדים (0.</w:t>
      </w:r>
      <w:r w:rsidR="000F5653" w:rsidRPr="0027192B">
        <w:rPr>
          <w:rFonts w:cs="David" w:hint="cs"/>
          <w:sz w:val="24"/>
          <w:szCs w:val="24"/>
          <w:rtl/>
        </w:rPr>
        <w:t>6</w:t>
      </w:r>
      <w:r w:rsidRPr="0027192B">
        <w:rPr>
          <w:rFonts w:cs="David" w:hint="cs"/>
          <w:sz w:val="24"/>
          <w:szCs w:val="24"/>
          <w:rtl/>
        </w:rPr>
        <w:t xml:space="preserve">%). </w:t>
      </w:r>
      <w:r w:rsidR="0025408D" w:rsidRPr="0027192B">
        <w:rPr>
          <w:rFonts w:cs="David" w:hint="cs"/>
          <w:sz w:val="24"/>
          <w:szCs w:val="24"/>
          <w:rtl/>
        </w:rPr>
        <w:t>יתרת החוב לדיור מסך החוב של משקי הבית עלתה בכ-1.6 מיליארדי ש"ח ועמד</w:t>
      </w:r>
      <w:r w:rsidR="005921D5" w:rsidRPr="0027192B">
        <w:rPr>
          <w:rFonts w:cs="David" w:hint="cs"/>
          <w:sz w:val="24"/>
          <w:szCs w:val="24"/>
          <w:rtl/>
        </w:rPr>
        <w:t xml:space="preserve">ה בסוף </w:t>
      </w:r>
      <w:r w:rsidR="00E80E85" w:rsidRPr="0027192B">
        <w:rPr>
          <w:rFonts w:cs="David" w:hint="cs"/>
          <w:sz w:val="24"/>
          <w:szCs w:val="24"/>
          <w:rtl/>
        </w:rPr>
        <w:t>יוני</w:t>
      </w:r>
      <w:r w:rsidR="005921D5" w:rsidRPr="0027192B">
        <w:rPr>
          <w:rFonts w:cs="David" w:hint="cs"/>
          <w:sz w:val="24"/>
          <w:szCs w:val="24"/>
          <w:rtl/>
        </w:rPr>
        <w:t xml:space="preserve"> </w:t>
      </w:r>
      <w:r w:rsidR="0025408D" w:rsidRPr="0027192B">
        <w:rPr>
          <w:rFonts w:cs="David" w:hint="cs"/>
          <w:sz w:val="24"/>
          <w:szCs w:val="24"/>
          <w:rtl/>
        </w:rPr>
        <w:t>על כ-</w:t>
      </w:r>
      <w:r w:rsidR="000F5653" w:rsidRPr="0027192B">
        <w:rPr>
          <w:rFonts w:cs="David" w:hint="cs"/>
          <w:sz w:val="24"/>
          <w:szCs w:val="24"/>
          <w:rtl/>
        </w:rPr>
        <w:t>294.5</w:t>
      </w:r>
      <w:r w:rsidR="0025408D" w:rsidRPr="0027192B">
        <w:rPr>
          <w:rFonts w:cs="David" w:hint="cs"/>
          <w:sz w:val="24"/>
          <w:szCs w:val="24"/>
          <w:rtl/>
        </w:rPr>
        <w:t xml:space="preserve"> מיליארדים.</w:t>
      </w:r>
      <w:r w:rsidR="00210E2D" w:rsidRPr="0027192B">
        <w:rPr>
          <w:rFonts w:cs="David" w:hint="cs"/>
          <w:sz w:val="24"/>
          <w:szCs w:val="24"/>
          <w:rtl/>
        </w:rPr>
        <w:t xml:space="preserve"> </w:t>
      </w:r>
    </w:p>
    <w:p w:rsidR="00C94676" w:rsidRPr="00AA70E3" w:rsidRDefault="00C94676" w:rsidP="009B5DCF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bookmarkStart w:id="0" w:name="_GoBack"/>
      <w:bookmarkEnd w:id="0"/>
      <w:r w:rsidRPr="009B5DCF">
        <w:rPr>
          <w:rFonts w:cs="David" w:hint="cs"/>
          <w:sz w:val="24"/>
          <w:szCs w:val="24"/>
          <w:rtl/>
        </w:rPr>
        <w:t xml:space="preserve">בחודש </w:t>
      </w:r>
      <w:r w:rsidR="00E80E85" w:rsidRPr="009B5DCF">
        <w:rPr>
          <w:rFonts w:cs="David"/>
          <w:sz w:val="24"/>
          <w:szCs w:val="24"/>
          <w:rtl/>
        </w:rPr>
        <w:t>יולי</w:t>
      </w:r>
      <w:r w:rsidR="00B63DC4" w:rsidRPr="009B5DCF">
        <w:rPr>
          <w:rFonts w:cs="David" w:hint="cs"/>
          <w:sz w:val="24"/>
          <w:szCs w:val="24"/>
          <w:rtl/>
        </w:rPr>
        <w:t xml:space="preserve"> </w:t>
      </w:r>
      <w:r w:rsidR="000F5653" w:rsidRPr="009B5DCF">
        <w:rPr>
          <w:rFonts w:cs="David" w:hint="cs"/>
          <w:sz w:val="24"/>
          <w:szCs w:val="24"/>
          <w:rtl/>
        </w:rPr>
        <w:t>חלה עלייה עונתית</w:t>
      </w:r>
      <w:r w:rsidR="0097338C" w:rsidRPr="009B5DCF">
        <w:rPr>
          <w:rFonts w:cs="David"/>
          <w:sz w:val="24"/>
          <w:szCs w:val="24"/>
          <w:rtl/>
        </w:rPr>
        <w:t xml:space="preserve"> </w:t>
      </w:r>
      <w:r w:rsidR="000F5653" w:rsidRPr="009B5DCF">
        <w:rPr>
          <w:rFonts w:cs="David" w:hint="cs"/>
          <w:sz w:val="24"/>
          <w:szCs w:val="24"/>
          <w:rtl/>
        </w:rPr>
        <w:t>ב</w:t>
      </w:r>
      <w:r w:rsidR="0097338C" w:rsidRPr="009B5DCF">
        <w:rPr>
          <w:rFonts w:cs="David"/>
          <w:sz w:val="24"/>
          <w:szCs w:val="24"/>
          <w:rtl/>
        </w:rPr>
        <w:t>ביצועי המשכנ</w:t>
      </w:r>
      <w:r w:rsidR="007E14D9" w:rsidRPr="009B5DCF">
        <w:rPr>
          <w:rFonts w:cs="David"/>
          <w:sz w:val="24"/>
          <w:szCs w:val="24"/>
          <w:rtl/>
        </w:rPr>
        <w:t>תאות (נטילות של משכנתאות חדשות)</w:t>
      </w:r>
      <w:r w:rsidR="00B63DC4" w:rsidRPr="009B5DCF">
        <w:rPr>
          <w:rFonts w:cs="David" w:hint="cs"/>
          <w:sz w:val="24"/>
          <w:szCs w:val="24"/>
          <w:rtl/>
        </w:rPr>
        <w:t xml:space="preserve"> </w:t>
      </w:r>
      <w:r w:rsidR="009B5DCF" w:rsidRPr="009B5DCF">
        <w:rPr>
          <w:rFonts w:cs="David" w:hint="cs"/>
          <w:sz w:val="24"/>
          <w:szCs w:val="24"/>
          <w:rtl/>
        </w:rPr>
        <w:t>של כ-</w:t>
      </w:r>
      <w:r w:rsidR="000F5653" w:rsidRPr="009B5DCF">
        <w:rPr>
          <w:rFonts w:cs="David" w:hint="cs"/>
          <w:sz w:val="24"/>
          <w:szCs w:val="24"/>
          <w:rtl/>
        </w:rPr>
        <w:t>5</w:t>
      </w:r>
      <w:r w:rsidR="0097338C" w:rsidRPr="009B5DCF">
        <w:rPr>
          <w:rFonts w:cs="David"/>
          <w:sz w:val="24"/>
          <w:szCs w:val="24"/>
          <w:rtl/>
        </w:rPr>
        <w:t xml:space="preserve"> מיליארדי ש"ח</w:t>
      </w:r>
      <w:r w:rsidR="005C5F1D">
        <w:rPr>
          <w:rFonts w:cs="David" w:hint="cs"/>
          <w:sz w:val="24"/>
          <w:szCs w:val="24"/>
          <w:rtl/>
        </w:rPr>
        <w:t>. ממוצע הביצועים מתחילת השנה עומד על כ-4.</w:t>
      </w:r>
      <w:r w:rsidR="000F5653">
        <w:rPr>
          <w:rFonts w:cs="David" w:hint="cs"/>
          <w:sz w:val="24"/>
          <w:szCs w:val="24"/>
          <w:rtl/>
        </w:rPr>
        <w:t>4</w:t>
      </w:r>
      <w:r w:rsidR="005C5F1D">
        <w:rPr>
          <w:rFonts w:cs="David" w:hint="cs"/>
          <w:sz w:val="24"/>
          <w:szCs w:val="24"/>
          <w:rtl/>
        </w:rPr>
        <w:t xml:space="preserve"> מיליארדים.</w:t>
      </w:r>
    </w:p>
    <w:p w:rsidR="003018A7" w:rsidRDefault="003018A7" w:rsidP="003018A7">
      <w:pPr>
        <w:spacing w:after="200" w:line="276" w:lineRule="auto"/>
        <w:rPr>
          <w:rFonts w:cs="David"/>
          <w:sz w:val="24"/>
          <w:szCs w:val="24"/>
          <w:u w:val="single"/>
        </w:rPr>
      </w:pP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624C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624C40">
        <w:rPr>
          <w:noProof/>
          <w:lang w:eastAsia="en-US"/>
        </w:rPr>
        <w:drawing>
          <wp:inline distT="0" distB="0" distL="0" distR="0" wp14:anchorId="19DA80D3" wp14:editId="6E8CD918">
            <wp:extent cx="5274310" cy="4141310"/>
            <wp:effectExtent l="0" t="0" r="254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3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624C40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24C40">
        <w:rPr>
          <w:noProof/>
          <w:lang w:eastAsia="en-US"/>
        </w:rPr>
        <w:lastRenderedPageBreak/>
        <w:drawing>
          <wp:inline distT="0" distB="0" distL="0" distR="0" wp14:anchorId="6AF9D459" wp14:editId="0D54524C">
            <wp:extent cx="5274310" cy="3687133"/>
            <wp:effectExtent l="0" t="0" r="2540" b="889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F6" w:rsidRDefault="002430F6" w:rsidP="002430F6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עלויות החוב במשק</w:t>
      </w:r>
    </w:p>
    <w:p w:rsidR="0010106E" w:rsidRPr="005A4B9C" w:rsidRDefault="0010106E" w:rsidP="0087192D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5A4B9C">
        <w:rPr>
          <w:rFonts w:cs="David" w:hint="cs"/>
          <w:sz w:val="24"/>
          <w:szCs w:val="24"/>
          <w:rtl/>
        </w:rPr>
        <w:t xml:space="preserve">בחודש </w:t>
      </w:r>
      <w:r w:rsidR="00E80E85" w:rsidRPr="005A4B9C">
        <w:rPr>
          <w:rFonts w:cs="David" w:hint="cs"/>
          <w:sz w:val="24"/>
          <w:szCs w:val="24"/>
          <w:rtl/>
        </w:rPr>
        <w:t>יוני</w:t>
      </w:r>
      <w:r w:rsidRPr="005A4B9C">
        <w:rPr>
          <w:rFonts w:cs="David" w:hint="cs"/>
          <w:sz w:val="24"/>
          <w:szCs w:val="24"/>
          <w:rtl/>
        </w:rPr>
        <w:t xml:space="preserve"> פער הריביות במגזר הלא צמוד </w:t>
      </w:r>
      <w:r w:rsidR="0087192D">
        <w:rPr>
          <w:rFonts w:cs="David" w:hint="cs"/>
          <w:sz w:val="24"/>
          <w:szCs w:val="24"/>
          <w:rtl/>
        </w:rPr>
        <w:t>גדל</w:t>
      </w:r>
      <w:r w:rsidR="00943887" w:rsidRPr="005A4B9C">
        <w:rPr>
          <w:rFonts w:cs="David" w:hint="cs"/>
          <w:sz w:val="24"/>
          <w:szCs w:val="24"/>
          <w:rtl/>
        </w:rPr>
        <w:t xml:space="preserve"> בכ-0.04 נק' האחוז, בעיקר כתוצאה </w:t>
      </w:r>
      <w:r w:rsidR="00A322B9" w:rsidRPr="005A4B9C">
        <w:rPr>
          <w:rFonts w:cs="David" w:hint="cs"/>
          <w:sz w:val="24"/>
          <w:szCs w:val="24"/>
          <w:rtl/>
        </w:rPr>
        <w:t>מעלייה</w:t>
      </w:r>
      <w:r w:rsidR="00943887" w:rsidRPr="005A4B9C">
        <w:rPr>
          <w:rFonts w:cs="David" w:hint="cs"/>
          <w:sz w:val="24"/>
          <w:szCs w:val="24"/>
          <w:rtl/>
        </w:rPr>
        <w:t xml:space="preserve"> בריבית על יתרת האשראי</w:t>
      </w:r>
      <w:r w:rsidRPr="005A4B9C">
        <w:rPr>
          <w:rFonts w:cs="David" w:hint="cs"/>
          <w:sz w:val="24"/>
          <w:szCs w:val="24"/>
          <w:rtl/>
        </w:rPr>
        <w:t>.</w:t>
      </w:r>
    </w:p>
    <w:p w:rsidR="001316A1" w:rsidRPr="005A4B9C" w:rsidRDefault="00B80AE5" w:rsidP="00A322B9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5A4B9C"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A322B9" w:rsidRPr="005A4B9C">
        <w:rPr>
          <w:rFonts w:cs="David" w:hint="cs"/>
          <w:sz w:val="24"/>
          <w:szCs w:val="24"/>
          <w:rtl/>
        </w:rPr>
        <w:t>התרחב</w:t>
      </w:r>
      <w:r w:rsidRPr="005A4B9C">
        <w:rPr>
          <w:rFonts w:cs="David" w:hint="cs"/>
          <w:sz w:val="24"/>
          <w:szCs w:val="24"/>
          <w:rtl/>
        </w:rPr>
        <w:t xml:space="preserve"> בחודש </w:t>
      </w:r>
      <w:r w:rsidR="00E80E85" w:rsidRPr="005A4B9C">
        <w:rPr>
          <w:rFonts w:cs="David" w:hint="cs"/>
          <w:sz w:val="24"/>
          <w:szCs w:val="24"/>
          <w:rtl/>
        </w:rPr>
        <w:t>יוני</w:t>
      </w:r>
      <w:r w:rsidRPr="005A4B9C">
        <w:rPr>
          <w:rFonts w:cs="David" w:hint="cs"/>
          <w:sz w:val="24"/>
          <w:szCs w:val="24"/>
          <w:rtl/>
        </w:rPr>
        <w:t xml:space="preserve"> בכ-</w:t>
      </w:r>
      <w:r w:rsidR="00943887" w:rsidRPr="005A4B9C">
        <w:rPr>
          <w:rFonts w:cs="David" w:hint="cs"/>
          <w:sz w:val="24"/>
          <w:szCs w:val="24"/>
          <w:rtl/>
        </w:rPr>
        <w:t>0.11</w:t>
      </w:r>
      <w:r w:rsidR="0033214F" w:rsidRPr="005A4B9C">
        <w:rPr>
          <w:rFonts w:cs="David" w:hint="cs"/>
          <w:sz w:val="24"/>
          <w:szCs w:val="24"/>
          <w:rtl/>
        </w:rPr>
        <w:t xml:space="preserve"> </w:t>
      </w:r>
      <w:r w:rsidRPr="005A4B9C">
        <w:rPr>
          <w:rFonts w:cs="David" w:hint="cs"/>
          <w:sz w:val="24"/>
          <w:szCs w:val="24"/>
          <w:rtl/>
        </w:rPr>
        <w:t xml:space="preserve">נק' אחוז, </w:t>
      </w:r>
      <w:r w:rsidR="0097338C" w:rsidRPr="005A4B9C">
        <w:rPr>
          <w:rFonts w:cs="David" w:hint="cs"/>
          <w:sz w:val="24"/>
          <w:szCs w:val="24"/>
          <w:rtl/>
        </w:rPr>
        <w:t xml:space="preserve">זאת </w:t>
      </w:r>
      <w:r w:rsidR="001503F7" w:rsidRPr="005A4B9C">
        <w:rPr>
          <w:rFonts w:cs="David" w:hint="cs"/>
          <w:sz w:val="24"/>
          <w:szCs w:val="24"/>
          <w:rtl/>
        </w:rPr>
        <w:t xml:space="preserve">בעיקר </w:t>
      </w:r>
      <w:r w:rsidRPr="005A4B9C">
        <w:rPr>
          <w:rFonts w:cs="David" w:hint="cs"/>
          <w:sz w:val="24"/>
          <w:szCs w:val="24"/>
          <w:rtl/>
        </w:rPr>
        <w:t xml:space="preserve">עקב </w:t>
      </w:r>
      <w:r w:rsidR="00A322B9" w:rsidRPr="005A4B9C">
        <w:rPr>
          <w:rFonts w:cs="David" w:hint="cs"/>
          <w:sz w:val="24"/>
          <w:szCs w:val="24"/>
          <w:rtl/>
        </w:rPr>
        <w:t>ירידה</w:t>
      </w:r>
      <w:r w:rsidR="00BB4550" w:rsidRPr="005A4B9C">
        <w:rPr>
          <w:rFonts w:cs="David" w:hint="cs"/>
          <w:sz w:val="24"/>
          <w:szCs w:val="24"/>
          <w:rtl/>
        </w:rPr>
        <w:t xml:space="preserve"> </w:t>
      </w:r>
      <w:r w:rsidRPr="005A4B9C">
        <w:rPr>
          <w:rFonts w:cs="David" w:hint="cs"/>
          <w:sz w:val="24"/>
          <w:szCs w:val="24"/>
          <w:rtl/>
        </w:rPr>
        <w:t xml:space="preserve">בריבית על </w:t>
      </w:r>
      <w:r w:rsidR="001503F7" w:rsidRPr="005A4B9C">
        <w:rPr>
          <w:rFonts w:cs="David" w:hint="cs"/>
          <w:sz w:val="24"/>
          <w:szCs w:val="24"/>
          <w:rtl/>
        </w:rPr>
        <w:t>הפיקדונות</w:t>
      </w:r>
      <w:r w:rsidR="00040066" w:rsidRPr="005A4B9C">
        <w:rPr>
          <w:rFonts w:cs="David" w:hint="cs"/>
          <w:sz w:val="24"/>
          <w:szCs w:val="24"/>
          <w:rtl/>
        </w:rPr>
        <w:t>.</w:t>
      </w:r>
    </w:p>
    <w:p w:rsidR="00624A20" w:rsidRPr="0027192B" w:rsidRDefault="002D1779" w:rsidP="0027192B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27192B">
        <w:rPr>
          <w:rFonts w:cs="David" w:hint="cs"/>
          <w:sz w:val="24"/>
          <w:szCs w:val="24"/>
          <w:rtl/>
        </w:rPr>
        <w:t xml:space="preserve">בחודש </w:t>
      </w:r>
      <w:r w:rsidR="00E80E85" w:rsidRPr="0027192B">
        <w:rPr>
          <w:rFonts w:cs="David" w:hint="cs"/>
          <w:sz w:val="24"/>
          <w:szCs w:val="24"/>
          <w:rtl/>
        </w:rPr>
        <w:t>יוני</w:t>
      </w:r>
      <w:r w:rsidRPr="0027192B">
        <w:rPr>
          <w:rFonts w:cs="David" w:hint="cs"/>
          <w:sz w:val="24"/>
          <w:szCs w:val="24"/>
          <w:rtl/>
        </w:rPr>
        <w:t xml:space="preserve"> ממוצע</w:t>
      </w:r>
      <w:r w:rsidR="00D25967" w:rsidRPr="0027192B">
        <w:rPr>
          <w:rFonts w:cs="David" w:hint="cs"/>
          <w:sz w:val="24"/>
          <w:szCs w:val="24"/>
          <w:rtl/>
        </w:rPr>
        <w:t xml:space="preserve"> </w:t>
      </w:r>
      <w:r w:rsidR="00F1596F" w:rsidRPr="0027192B">
        <w:rPr>
          <w:rFonts w:cs="David" w:hint="cs"/>
          <w:sz w:val="24"/>
          <w:szCs w:val="24"/>
          <w:rtl/>
        </w:rPr>
        <w:t xml:space="preserve">המרווח בין תשואת מדד האג"ח </w:t>
      </w:r>
      <w:r w:rsidR="0027192B" w:rsidRPr="0027192B">
        <w:rPr>
          <w:rFonts w:cs="David" w:hint="cs"/>
          <w:sz w:val="24"/>
          <w:szCs w:val="24"/>
          <w:rtl/>
        </w:rPr>
        <w:t>החברות</w:t>
      </w:r>
      <w:r w:rsidR="00F1596F" w:rsidRPr="0027192B">
        <w:rPr>
          <w:rFonts w:cs="David" w:hint="cs"/>
          <w:sz w:val="24"/>
          <w:szCs w:val="24"/>
          <w:rtl/>
        </w:rPr>
        <w:t xml:space="preserve"> הצמוד, תל בונד 60, לבין ממוצע תשואות האג"ח הממשלתיות הצמודות</w:t>
      </w:r>
      <w:r w:rsidRPr="0027192B">
        <w:rPr>
          <w:rFonts w:cs="David" w:hint="cs"/>
          <w:sz w:val="24"/>
          <w:szCs w:val="24"/>
          <w:rtl/>
        </w:rPr>
        <w:t xml:space="preserve"> </w:t>
      </w:r>
      <w:r w:rsidR="005A4B9C" w:rsidRPr="0027192B">
        <w:rPr>
          <w:rFonts w:cs="David" w:hint="cs"/>
          <w:sz w:val="24"/>
          <w:szCs w:val="24"/>
          <w:rtl/>
        </w:rPr>
        <w:t>התרחב בכ-0.2 נק' אחוז</w:t>
      </w:r>
      <w:r w:rsidRPr="0027192B">
        <w:rPr>
          <w:rFonts w:cs="David" w:hint="cs"/>
          <w:sz w:val="24"/>
          <w:szCs w:val="24"/>
          <w:rtl/>
        </w:rPr>
        <w:t xml:space="preserve"> ועומד על </w:t>
      </w:r>
      <w:r w:rsidR="00F1596F" w:rsidRPr="0027192B">
        <w:rPr>
          <w:rFonts w:cs="David" w:hint="cs"/>
          <w:sz w:val="24"/>
          <w:szCs w:val="24"/>
          <w:rtl/>
        </w:rPr>
        <w:t>רמה של</w:t>
      </w:r>
      <w:r w:rsidR="005A4B9C" w:rsidRPr="0027192B">
        <w:rPr>
          <w:rFonts w:cs="David" w:hint="cs"/>
          <w:sz w:val="24"/>
          <w:szCs w:val="24"/>
          <w:rtl/>
        </w:rPr>
        <w:t xml:space="preserve"> כ-</w:t>
      </w:r>
      <w:r w:rsidR="00F1596F" w:rsidRPr="0027192B">
        <w:rPr>
          <w:rFonts w:cs="David" w:hint="cs"/>
          <w:sz w:val="24"/>
          <w:szCs w:val="24"/>
          <w:rtl/>
        </w:rPr>
        <w:t>1.</w:t>
      </w:r>
      <w:r w:rsidR="005A4B9C" w:rsidRPr="0027192B">
        <w:rPr>
          <w:rFonts w:cs="David" w:hint="cs"/>
          <w:sz w:val="24"/>
          <w:szCs w:val="24"/>
          <w:rtl/>
        </w:rPr>
        <w:t>4</w:t>
      </w:r>
      <w:r w:rsidR="00F1596F" w:rsidRPr="0027192B">
        <w:rPr>
          <w:rFonts w:cs="David" w:hint="cs"/>
          <w:sz w:val="24"/>
          <w:szCs w:val="24"/>
          <w:rtl/>
        </w:rPr>
        <w:t xml:space="preserve"> נק'</w:t>
      </w:r>
      <w:r w:rsidR="008B10B8" w:rsidRPr="0027192B">
        <w:rPr>
          <w:rFonts w:cs="David" w:hint="cs"/>
          <w:sz w:val="24"/>
          <w:szCs w:val="24"/>
          <w:rtl/>
        </w:rPr>
        <w:t xml:space="preserve"> אחוז</w:t>
      </w:r>
      <w:r w:rsidR="00624A20" w:rsidRPr="0027192B">
        <w:rPr>
          <w:rFonts w:cs="David" w:hint="cs"/>
          <w:sz w:val="24"/>
          <w:szCs w:val="24"/>
          <w:rtl/>
        </w:rPr>
        <w:t xml:space="preserve">. </w:t>
      </w:r>
      <w:r w:rsidR="00624A20" w:rsidRPr="00E7456B">
        <w:rPr>
          <w:rFonts w:cs="David" w:hint="cs"/>
          <w:sz w:val="24"/>
          <w:szCs w:val="24"/>
          <w:rtl/>
        </w:rPr>
        <w:t xml:space="preserve">במחצית הראשונה של השנה </w:t>
      </w:r>
      <w:r w:rsidR="0027192B" w:rsidRPr="00E7456B">
        <w:rPr>
          <w:rFonts w:cs="David" w:hint="cs"/>
          <w:sz w:val="24"/>
          <w:szCs w:val="24"/>
          <w:rtl/>
        </w:rPr>
        <w:t xml:space="preserve">חזר </w:t>
      </w:r>
      <w:r w:rsidR="00624A20" w:rsidRPr="00E7456B">
        <w:rPr>
          <w:rFonts w:cs="David" w:hint="cs"/>
          <w:sz w:val="24"/>
          <w:szCs w:val="24"/>
          <w:rtl/>
        </w:rPr>
        <w:t xml:space="preserve">ממוצע </w:t>
      </w:r>
      <w:r w:rsidR="00295751" w:rsidRPr="00E7456B">
        <w:rPr>
          <w:rFonts w:cs="David"/>
          <w:sz w:val="24"/>
          <w:szCs w:val="24"/>
          <w:rtl/>
        </w:rPr>
        <w:t xml:space="preserve">המרווח </w:t>
      </w:r>
      <w:r w:rsidR="00624A20" w:rsidRPr="00E7456B">
        <w:rPr>
          <w:rFonts w:cs="David" w:hint="cs"/>
          <w:sz w:val="24"/>
          <w:szCs w:val="24"/>
          <w:rtl/>
        </w:rPr>
        <w:t>לרמתו בשנה הקודמת</w:t>
      </w:r>
      <w:r w:rsidR="0027192B" w:rsidRPr="00E7456B">
        <w:rPr>
          <w:rFonts w:cs="David" w:hint="cs"/>
          <w:sz w:val="24"/>
          <w:szCs w:val="24"/>
          <w:rtl/>
        </w:rPr>
        <w:t>, זאת</w:t>
      </w:r>
      <w:r w:rsidR="00624A20" w:rsidRPr="00E7456B">
        <w:rPr>
          <w:rFonts w:cs="David" w:hint="cs"/>
          <w:sz w:val="24"/>
          <w:szCs w:val="24"/>
          <w:rtl/>
        </w:rPr>
        <w:t xml:space="preserve"> לאחר שהיה בנקודת שפל ב</w:t>
      </w:r>
      <w:r w:rsidR="0027192B" w:rsidRPr="00E7456B">
        <w:rPr>
          <w:rFonts w:cs="David" w:hint="cs"/>
          <w:sz w:val="24"/>
          <w:szCs w:val="24"/>
          <w:rtl/>
        </w:rPr>
        <w:t>סוף ה</w:t>
      </w:r>
      <w:r w:rsidR="00624A20" w:rsidRPr="00E7456B">
        <w:rPr>
          <w:rFonts w:cs="David" w:hint="cs"/>
          <w:sz w:val="24"/>
          <w:szCs w:val="24"/>
          <w:rtl/>
        </w:rPr>
        <w:t xml:space="preserve">רבעון הראשון של </w:t>
      </w:r>
      <w:r w:rsidR="0027192B" w:rsidRPr="00E7456B">
        <w:rPr>
          <w:rFonts w:cs="David" w:hint="cs"/>
          <w:sz w:val="24"/>
          <w:szCs w:val="24"/>
          <w:rtl/>
        </w:rPr>
        <w:t>2014</w:t>
      </w:r>
      <w:r w:rsidR="00691556" w:rsidRPr="00E7456B">
        <w:rPr>
          <w:rFonts w:cs="David" w:hint="cs"/>
          <w:sz w:val="24"/>
          <w:szCs w:val="24"/>
          <w:rtl/>
        </w:rPr>
        <w:t xml:space="preserve"> </w:t>
      </w:r>
      <w:r w:rsidR="00624A20" w:rsidRPr="00E7456B">
        <w:rPr>
          <w:rFonts w:cs="David" w:hint="cs"/>
          <w:sz w:val="24"/>
          <w:szCs w:val="24"/>
          <w:rtl/>
        </w:rPr>
        <w:t>(1.1 נק' האחוז).</w:t>
      </w:r>
      <w:r w:rsidR="00624A20" w:rsidRPr="0027192B">
        <w:rPr>
          <w:rFonts w:cs="David" w:hint="cs"/>
          <w:sz w:val="24"/>
          <w:szCs w:val="24"/>
          <w:rtl/>
        </w:rPr>
        <w:t xml:space="preserve">  </w:t>
      </w:r>
    </w:p>
    <w:p w:rsidR="004C705A" w:rsidRDefault="004C705A" w:rsidP="00624A20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624A20">
        <w:rPr>
          <w:rFonts w:cs="David" w:hint="cs"/>
          <w:sz w:val="24"/>
          <w:szCs w:val="24"/>
          <w:rtl/>
        </w:rPr>
        <w:t xml:space="preserve">בחודש </w:t>
      </w:r>
      <w:r w:rsidR="00E80E85" w:rsidRPr="00624A20">
        <w:rPr>
          <w:rFonts w:cs="David" w:hint="cs"/>
          <w:sz w:val="24"/>
          <w:szCs w:val="24"/>
          <w:rtl/>
        </w:rPr>
        <w:t>יולי</w:t>
      </w:r>
      <w:r w:rsidRPr="00624A20">
        <w:rPr>
          <w:rFonts w:cs="David" w:hint="cs"/>
          <w:sz w:val="24"/>
          <w:szCs w:val="24"/>
          <w:rtl/>
        </w:rPr>
        <w:t xml:space="preserve"> הריבית על משכנתאות חדשות לא צמודות</w:t>
      </w:r>
      <w:r w:rsidR="005A4B9C" w:rsidRPr="00624A20">
        <w:rPr>
          <w:rFonts w:cs="David" w:hint="cs"/>
          <w:sz w:val="24"/>
          <w:szCs w:val="24"/>
          <w:rtl/>
        </w:rPr>
        <w:t xml:space="preserve"> (ריבית משתנה)</w:t>
      </w:r>
      <w:r w:rsidRPr="00624A20">
        <w:rPr>
          <w:rFonts w:cs="David" w:hint="cs"/>
          <w:sz w:val="24"/>
          <w:szCs w:val="24"/>
          <w:rtl/>
        </w:rPr>
        <w:t xml:space="preserve"> ירדה בכ-0.0</w:t>
      </w:r>
      <w:r w:rsidR="005A4B9C" w:rsidRPr="00624A20">
        <w:rPr>
          <w:rFonts w:cs="David" w:hint="cs"/>
          <w:sz w:val="24"/>
          <w:szCs w:val="24"/>
          <w:rtl/>
        </w:rPr>
        <w:t>5</w:t>
      </w:r>
      <w:r w:rsidRPr="00624A20">
        <w:rPr>
          <w:rFonts w:cs="David" w:hint="cs"/>
          <w:sz w:val="24"/>
          <w:szCs w:val="24"/>
          <w:rtl/>
        </w:rPr>
        <w:t xml:space="preserve"> נק' אחוז. </w:t>
      </w:r>
      <w:r w:rsidR="005A4B9C" w:rsidRPr="00624A20">
        <w:rPr>
          <w:rFonts w:cs="David" w:hint="cs"/>
          <w:sz w:val="24"/>
          <w:szCs w:val="24"/>
          <w:rtl/>
        </w:rPr>
        <w:t>הריבית הממוצעת על משכנתאות חדשות צמודות למדד (ריבית קבועה) עלתה בכ-0.04 נק' אחוז.</w:t>
      </w:r>
    </w:p>
    <w:p w:rsidR="003018A7" w:rsidRDefault="003018A7" w:rsidP="003018A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Default="003018A7" w:rsidP="003018A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3018A7" w:rsidRPr="003018A7" w:rsidRDefault="003018A7" w:rsidP="003018A7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</w:p>
    <w:p w:rsidR="00470630" w:rsidRPr="004C705A" w:rsidRDefault="00470630" w:rsidP="00470630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624C40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624C40">
        <w:rPr>
          <w:noProof/>
          <w:lang w:eastAsia="en-US"/>
        </w:rPr>
        <w:lastRenderedPageBreak/>
        <w:drawing>
          <wp:inline distT="0" distB="0" distL="0" distR="0" wp14:anchorId="40ADCF45" wp14:editId="66F5588E">
            <wp:extent cx="5274310" cy="2526663"/>
            <wp:effectExtent l="0" t="0" r="2540" b="762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4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  <w:r w:rsidR="007C3769">
        <w:rPr>
          <w:rFonts w:cs="David" w:hint="cs"/>
          <w:b/>
          <w:bCs/>
          <w:sz w:val="24"/>
          <w:szCs w:val="24"/>
          <w:u w:val="single"/>
          <w:rtl/>
        </w:rPr>
        <w:t xml:space="preserve"> (ממוצע חודשי)</w:t>
      </w:r>
    </w:p>
    <w:p w:rsidR="002F2629" w:rsidRDefault="00AF5FCE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AF5FCE">
        <w:rPr>
          <w:noProof/>
          <w:lang w:eastAsia="en-US"/>
        </w:rPr>
        <w:drawing>
          <wp:inline distT="0" distB="0" distL="0" distR="0" wp14:anchorId="0016D837" wp14:editId="07715E85">
            <wp:extent cx="5274310" cy="3446005"/>
            <wp:effectExtent l="0" t="0" r="2540" b="254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A7" w:rsidRDefault="003018A7" w:rsidP="00F5509B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3018A7" w:rsidRDefault="003018A7" w:rsidP="003018A7">
      <w:pPr>
        <w:pStyle w:val="a9"/>
        <w:bidi/>
        <w:spacing w:line="360" w:lineRule="auto"/>
        <w:ind w:left="360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5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AF5FCE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AF5FCE">
        <w:rPr>
          <w:noProof/>
          <w:lang w:eastAsia="en-US"/>
        </w:rPr>
        <w:lastRenderedPageBreak/>
        <w:drawing>
          <wp:inline distT="0" distB="0" distL="0" distR="0" wp14:anchorId="5160EACE" wp14:editId="0E1CC997">
            <wp:extent cx="5274310" cy="3508881"/>
            <wp:effectExtent l="0" t="0" r="254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A7" w:rsidRDefault="003018A7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DE4BB3" w:rsidRDefault="00DE4BB3" w:rsidP="003018A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6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AF5FCE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AF5FCE">
        <w:rPr>
          <w:noProof/>
          <w:lang w:eastAsia="en-US"/>
        </w:rPr>
        <w:drawing>
          <wp:inline distT="0" distB="0" distL="0" distR="0" wp14:anchorId="59CACB71" wp14:editId="53EB9154">
            <wp:extent cx="5274310" cy="3239672"/>
            <wp:effectExtent l="0" t="0" r="254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8B10B8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1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</w:p>
    <w:sectPr w:rsidR="002F2629" w:rsidRPr="009F574F" w:rsidSect="00AE59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40" w:rsidRDefault="00B90D40" w:rsidP="00C04A6B">
      <w:r>
        <w:separator/>
      </w:r>
    </w:p>
  </w:endnote>
  <w:endnote w:type="continuationSeparator" w:id="0">
    <w:p w:rsidR="00B90D40" w:rsidRDefault="00B90D4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2438E2" w:rsidP="009B0128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/>
                <w:rtl/>
                <w:lang w:val="he-IL"/>
              </w:rPr>
              <w:t>–</w:t>
            </w:r>
            <w:r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E80E85">
              <w:rPr>
                <w:rFonts w:cs="David" w:hint="cs"/>
                <w:rtl/>
                <w:lang w:val="he-IL"/>
              </w:rPr>
              <w:t>יוני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>/</w:t>
            </w:r>
            <w:r w:rsidR="00E80E85">
              <w:rPr>
                <w:rFonts w:cs="David" w:hint="cs"/>
                <w:rtl/>
                <w:lang w:val="he-IL"/>
              </w:rPr>
              <w:t>יולי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 xml:space="preserve"> 201</w:t>
            </w:r>
            <w:r w:rsidR="00C47A82">
              <w:rPr>
                <w:rFonts w:cs="David" w:hint="cs"/>
                <w:rtl/>
                <w:cs/>
                <w:lang w:val="he-IL"/>
              </w:rPr>
              <w:t>4</w:t>
            </w:r>
            <w:r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272DD9">
              <w:rPr>
                <w:rFonts w:cs="David"/>
                <w:b/>
                <w:bCs/>
                <w:noProof/>
                <w:rtl/>
              </w:rPr>
              <w:t>7</w:t>
            </w:r>
            <w:r w:rsidRPr="002438E2">
              <w:rPr>
                <w:rFonts w:cs="David"/>
                <w:b/>
                <w:bCs/>
              </w:rPr>
              <w:fldChar w:fldCharType="end"/>
            </w:r>
            <w:r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272DD9">
              <w:rPr>
                <w:rFonts w:cs="David"/>
                <w:b/>
                <w:bCs/>
                <w:noProof/>
                <w:rtl/>
              </w:rPr>
              <w:t>7</w:t>
            </w:r>
            <w:r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40" w:rsidRDefault="00B90D40" w:rsidP="00C04A6B">
      <w:r>
        <w:separator/>
      </w:r>
    </w:p>
  </w:footnote>
  <w:footnote w:type="continuationSeparator" w:id="0">
    <w:p w:rsidR="00B90D40" w:rsidRDefault="00B90D40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1160D632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20DFD"/>
    <w:rsid w:val="00040066"/>
    <w:rsid w:val="0005169A"/>
    <w:rsid w:val="00063601"/>
    <w:rsid w:val="00065320"/>
    <w:rsid w:val="000812AB"/>
    <w:rsid w:val="000911D7"/>
    <w:rsid w:val="000B190F"/>
    <w:rsid w:val="000C62F4"/>
    <w:rsid w:val="000F0D97"/>
    <w:rsid w:val="000F5653"/>
    <w:rsid w:val="000F5E2D"/>
    <w:rsid w:val="000F7FFC"/>
    <w:rsid w:val="0010106E"/>
    <w:rsid w:val="00107D10"/>
    <w:rsid w:val="00115A82"/>
    <w:rsid w:val="00127335"/>
    <w:rsid w:val="00127CE7"/>
    <w:rsid w:val="001316A1"/>
    <w:rsid w:val="00137006"/>
    <w:rsid w:val="001503F7"/>
    <w:rsid w:val="001543AD"/>
    <w:rsid w:val="00177686"/>
    <w:rsid w:val="00180E8A"/>
    <w:rsid w:val="001D0E31"/>
    <w:rsid w:val="001D7646"/>
    <w:rsid w:val="001E5A00"/>
    <w:rsid w:val="00207EF6"/>
    <w:rsid w:val="00210333"/>
    <w:rsid w:val="00210E2D"/>
    <w:rsid w:val="002430F6"/>
    <w:rsid w:val="002438E2"/>
    <w:rsid w:val="00254010"/>
    <w:rsid w:val="0025408D"/>
    <w:rsid w:val="00264230"/>
    <w:rsid w:val="00265361"/>
    <w:rsid w:val="0027192B"/>
    <w:rsid w:val="00272DD9"/>
    <w:rsid w:val="00295751"/>
    <w:rsid w:val="002B39A4"/>
    <w:rsid w:val="002B3FB0"/>
    <w:rsid w:val="002B447B"/>
    <w:rsid w:val="002C3A77"/>
    <w:rsid w:val="002C7213"/>
    <w:rsid w:val="002C756B"/>
    <w:rsid w:val="002D1779"/>
    <w:rsid w:val="002F2629"/>
    <w:rsid w:val="003018A7"/>
    <w:rsid w:val="003055E7"/>
    <w:rsid w:val="00320FD1"/>
    <w:rsid w:val="0033214F"/>
    <w:rsid w:val="003509EF"/>
    <w:rsid w:val="003537B9"/>
    <w:rsid w:val="003713E8"/>
    <w:rsid w:val="0038353E"/>
    <w:rsid w:val="003901E0"/>
    <w:rsid w:val="003A242C"/>
    <w:rsid w:val="003A315C"/>
    <w:rsid w:val="003A490D"/>
    <w:rsid w:val="003B4CCA"/>
    <w:rsid w:val="003B61BA"/>
    <w:rsid w:val="003D04A2"/>
    <w:rsid w:val="003D54D0"/>
    <w:rsid w:val="003E68CF"/>
    <w:rsid w:val="00400630"/>
    <w:rsid w:val="00420F93"/>
    <w:rsid w:val="0044713E"/>
    <w:rsid w:val="00460712"/>
    <w:rsid w:val="004625EB"/>
    <w:rsid w:val="00464A9A"/>
    <w:rsid w:val="00470630"/>
    <w:rsid w:val="00472EDE"/>
    <w:rsid w:val="00497BD0"/>
    <w:rsid w:val="004B5D8D"/>
    <w:rsid w:val="004C705A"/>
    <w:rsid w:val="004D285B"/>
    <w:rsid w:val="004D63EE"/>
    <w:rsid w:val="004F06E0"/>
    <w:rsid w:val="004F16EA"/>
    <w:rsid w:val="004F426F"/>
    <w:rsid w:val="00502068"/>
    <w:rsid w:val="00513C0C"/>
    <w:rsid w:val="00516A2C"/>
    <w:rsid w:val="00520122"/>
    <w:rsid w:val="00521DE3"/>
    <w:rsid w:val="00577146"/>
    <w:rsid w:val="005921D5"/>
    <w:rsid w:val="005958D0"/>
    <w:rsid w:val="00596389"/>
    <w:rsid w:val="005A4B9C"/>
    <w:rsid w:val="005A5B31"/>
    <w:rsid w:val="005A7029"/>
    <w:rsid w:val="005C32B3"/>
    <w:rsid w:val="005C5130"/>
    <w:rsid w:val="005C5F1D"/>
    <w:rsid w:val="005D0E2A"/>
    <w:rsid w:val="005E409F"/>
    <w:rsid w:val="00604E10"/>
    <w:rsid w:val="00614095"/>
    <w:rsid w:val="00624A20"/>
    <w:rsid w:val="00624C40"/>
    <w:rsid w:val="00626A71"/>
    <w:rsid w:val="00632F81"/>
    <w:rsid w:val="00652294"/>
    <w:rsid w:val="00691556"/>
    <w:rsid w:val="006C01FB"/>
    <w:rsid w:val="006E7116"/>
    <w:rsid w:val="006E7BF6"/>
    <w:rsid w:val="007102C4"/>
    <w:rsid w:val="00737755"/>
    <w:rsid w:val="00762D5A"/>
    <w:rsid w:val="00781240"/>
    <w:rsid w:val="0078308F"/>
    <w:rsid w:val="00784F91"/>
    <w:rsid w:val="0079675B"/>
    <w:rsid w:val="007C2446"/>
    <w:rsid w:val="007C3769"/>
    <w:rsid w:val="007E13A9"/>
    <w:rsid w:val="007E14D9"/>
    <w:rsid w:val="007E18EE"/>
    <w:rsid w:val="007F5009"/>
    <w:rsid w:val="00802DD5"/>
    <w:rsid w:val="008121D7"/>
    <w:rsid w:val="00826810"/>
    <w:rsid w:val="00843E29"/>
    <w:rsid w:val="00852D44"/>
    <w:rsid w:val="0086330B"/>
    <w:rsid w:val="0087192D"/>
    <w:rsid w:val="00877900"/>
    <w:rsid w:val="00880DF0"/>
    <w:rsid w:val="00881EF7"/>
    <w:rsid w:val="008B0765"/>
    <w:rsid w:val="008B10B8"/>
    <w:rsid w:val="008B2B4C"/>
    <w:rsid w:val="008B55E9"/>
    <w:rsid w:val="008D2EA6"/>
    <w:rsid w:val="0090225A"/>
    <w:rsid w:val="009065F1"/>
    <w:rsid w:val="00925F5D"/>
    <w:rsid w:val="009311DE"/>
    <w:rsid w:val="00943887"/>
    <w:rsid w:val="009444D9"/>
    <w:rsid w:val="009516D8"/>
    <w:rsid w:val="00961EFC"/>
    <w:rsid w:val="0097338C"/>
    <w:rsid w:val="009818C2"/>
    <w:rsid w:val="009A7195"/>
    <w:rsid w:val="009B0128"/>
    <w:rsid w:val="009B5DCF"/>
    <w:rsid w:val="009C1434"/>
    <w:rsid w:val="009C16BD"/>
    <w:rsid w:val="009C24AF"/>
    <w:rsid w:val="009F574F"/>
    <w:rsid w:val="00A322B9"/>
    <w:rsid w:val="00A32A72"/>
    <w:rsid w:val="00A45303"/>
    <w:rsid w:val="00A46B0C"/>
    <w:rsid w:val="00A57161"/>
    <w:rsid w:val="00A73792"/>
    <w:rsid w:val="00A94B36"/>
    <w:rsid w:val="00A96BDC"/>
    <w:rsid w:val="00AA3E80"/>
    <w:rsid w:val="00AA51B0"/>
    <w:rsid w:val="00AA70E3"/>
    <w:rsid w:val="00AB409F"/>
    <w:rsid w:val="00AB5B06"/>
    <w:rsid w:val="00AC75BF"/>
    <w:rsid w:val="00AD1348"/>
    <w:rsid w:val="00AD4F67"/>
    <w:rsid w:val="00AD5FFC"/>
    <w:rsid w:val="00AD655A"/>
    <w:rsid w:val="00AD759C"/>
    <w:rsid w:val="00AE591E"/>
    <w:rsid w:val="00AF126A"/>
    <w:rsid w:val="00AF5FCE"/>
    <w:rsid w:val="00B01C0D"/>
    <w:rsid w:val="00B058F3"/>
    <w:rsid w:val="00B2503D"/>
    <w:rsid w:val="00B2798D"/>
    <w:rsid w:val="00B31EFB"/>
    <w:rsid w:val="00B34583"/>
    <w:rsid w:val="00B62933"/>
    <w:rsid w:val="00B63DC4"/>
    <w:rsid w:val="00B6481E"/>
    <w:rsid w:val="00B6578A"/>
    <w:rsid w:val="00B76814"/>
    <w:rsid w:val="00B801AB"/>
    <w:rsid w:val="00B80AE5"/>
    <w:rsid w:val="00B84BD7"/>
    <w:rsid w:val="00B90D40"/>
    <w:rsid w:val="00BB4550"/>
    <w:rsid w:val="00BD3A1C"/>
    <w:rsid w:val="00BE235C"/>
    <w:rsid w:val="00BE49A2"/>
    <w:rsid w:val="00BF0E66"/>
    <w:rsid w:val="00C04A6B"/>
    <w:rsid w:val="00C25C1C"/>
    <w:rsid w:val="00C45C9C"/>
    <w:rsid w:val="00C4703E"/>
    <w:rsid w:val="00C47A82"/>
    <w:rsid w:val="00C5174C"/>
    <w:rsid w:val="00C6135C"/>
    <w:rsid w:val="00C656C3"/>
    <w:rsid w:val="00C84B20"/>
    <w:rsid w:val="00C87F91"/>
    <w:rsid w:val="00C9110B"/>
    <w:rsid w:val="00C94676"/>
    <w:rsid w:val="00CB1B2B"/>
    <w:rsid w:val="00CE0B3C"/>
    <w:rsid w:val="00D04887"/>
    <w:rsid w:val="00D25967"/>
    <w:rsid w:val="00D3721C"/>
    <w:rsid w:val="00D40D4B"/>
    <w:rsid w:val="00D66172"/>
    <w:rsid w:val="00D80B77"/>
    <w:rsid w:val="00D81866"/>
    <w:rsid w:val="00D86BF0"/>
    <w:rsid w:val="00D87DC1"/>
    <w:rsid w:val="00DA3CE5"/>
    <w:rsid w:val="00DB6C55"/>
    <w:rsid w:val="00DC3BC8"/>
    <w:rsid w:val="00DD5923"/>
    <w:rsid w:val="00DE4BB3"/>
    <w:rsid w:val="00DE6ABB"/>
    <w:rsid w:val="00E15796"/>
    <w:rsid w:val="00E577A9"/>
    <w:rsid w:val="00E67ECB"/>
    <w:rsid w:val="00E73497"/>
    <w:rsid w:val="00E7456B"/>
    <w:rsid w:val="00E80E85"/>
    <w:rsid w:val="00E85E11"/>
    <w:rsid w:val="00E870DD"/>
    <w:rsid w:val="00EC65F0"/>
    <w:rsid w:val="00ED153D"/>
    <w:rsid w:val="00EE6255"/>
    <w:rsid w:val="00EF13BA"/>
    <w:rsid w:val="00F1596F"/>
    <w:rsid w:val="00F2699B"/>
    <w:rsid w:val="00F35B9D"/>
    <w:rsid w:val="00F36EA0"/>
    <w:rsid w:val="00F5509B"/>
    <w:rsid w:val="00F57D67"/>
    <w:rsid w:val="00F632C4"/>
    <w:rsid w:val="00F852D0"/>
    <w:rsid w:val="00F96916"/>
    <w:rsid w:val="00FA02EF"/>
    <w:rsid w:val="00FA6355"/>
    <w:rsid w:val="00FC1281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DataAndStatistics/Pages/MainPage.aspx?Level=4&amp;Sid=53&amp;SubjectType=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2CC3697-E232-4600-BA13-59C22E7FC7F2}"/>
</file>

<file path=customXml/itemProps2.xml><?xml version="1.0" encoding="utf-8"?>
<ds:datastoreItem xmlns:ds="http://schemas.openxmlformats.org/officeDocument/2006/customXml" ds:itemID="{B5C46691-6084-44AB-AC96-8BF0CB6BBB9C}"/>
</file>

<file path=customXml/itemProps3.xml><?xml version="1.0" encoding="utf-8"?>
<ds:datastoreItem xmlns:ds="http://schemas.openxmlformats.org/officeDocument/2006/customXml" ds:itemID="{63B8D0B9-DDFD-4633-AE0E-9906C6C3D889}"/>
</file>

<file path=customXml/itemProps4.xml><?xml version="1.0" encoding="utf-8"?>
<ds:datastoreItem xmlns:ds="http://schemas.openxmlformats.org/officeDocument/2006/customXml" ds:itemID="{18EBA7FC-6ADB-4863-9307-4B3685272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516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ריקי אחדות</dc:creator>
  <cp:keywords>בנק-ישראל-בלמס</cp:keywords>
  <cp:lastModifiedBy>Rickey Achdut Dovrut BOI</cp:lastModifiedBy>
  <cp:revision>3</cp:revision>
  <cp:lastPrinted>2014-08-25T06:10:00Z</cp:lastPrinted>
  <dcterms:created xsi:type="dcterms:W3CDTF">2014-08-26T09:11:00Z</dcterms:created>
  <dcterms:modified xsi:type="dcterms:W3CDTF">2014-08-26T09:39:00Z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533d81d0-8d16-4479-85c6-0b225e60bc4b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