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847399" w:rsidTr="001737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47399" w:rsidRDefault="00847399" w:rsidP="0017377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בנ</w:t>
            </w:r>
            <w:r>
              <w:rPr>
                <w:rFonts w:hint="cs"/>
                <w:sz w:val="28"/>
                <w:szCs w:val="28"/>
                <w:rtl/>
              </w:rPr>
              <w:t xml:space="preserve">ק </w:t>
            </w:r>
            <w:r>
              <w:rPr>
                <w:sz w:val="28"/>
                <w:szCs w:val="28"/>
                <w:rtl/>
              </w:rPr>
              <w:t>יש</w:t>
            </w:r>
            <w:r>
              <w:rPr>
                <w:rFonts w:hint="cs"/>
                <w:sz w:val="28"/>
                <w:szCs w:val="28"/>
                <w:rtl/>
              </w:rPr>
              <w:t>ראל</w:t>
            </w:r>
          </w:p>
          <w:p w:rsidR="00847399" w:rsidRDefault="00847399" w:rsidP="0017377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t>דו</w:t>
            </w:r>
            <w:r>
              <w:rPr>
                <w:rFonts w:hint="cs"/>
                <w:b/>
                <w:bCs/>
                <w:rtl/>
              </w:rPr>
              <w:t>בר</w:t>
            </w:r>
            <w:r>
              <w:rPr>
                <w:b/>
                <w:bCs/>
                <w:rtl/>
              </w:rPr>
              <w:t>ות</w:t>
            </w:r>
            <w:r>
              <w:rPr>
                <w:rFonts w:hint="cs"/>
                <w:b/>
                <w:bCs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47399" w:rsidRDefault="00847399" w:rsidP="00173779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428625" cy="438150"/>
                  <wp:effectExtent l="0" t="0" r="9525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47399" w:rsidRDefault="00847399" w:rsidP="00847399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‏‏‏‏</w:t>
            </w:r>
            <w:r>
              <w:rPr>
                <w:rFonts w:hint="eastAsia"/>
                <w:rtl/>
              </w:rPr>
              <w:t>‏ט</w:t>
            </w:r>
            <w:r>
              <w:rPr>
                <w:rtl/>
              </w:rPr>
              <w:t>"ו שבט, תשע"ד</w:t>
            </w:r>
          </w:p>
          <w:p w:rsidR="00847399" w:rsidRDefault="00847399" w:rsidP="00847399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‏</w:t>
            </w:r>
            <w:r>
              <w:rPr>
                <w:rFonts w:hint="eastAsia"/>
                <w:rtl/>
              </w:rPr>
              <w:t>‏</w:t>
            </w:r>
            <w:r>
              <w:rPr>
                <w:rtl/>
              </w:rPr>
              <w:t>16 ינואר, 2014</w:t>
            </w:r>
          </w:p>
        </w:tc>
      </w:tr>
    </w:tbl>
    <w:p w:rsidR="00847399" w:rsidRDefault="00847399" w:rsidP="00847399">
      <w:pPr>
        <w:spacing w:line="360" w:lineRule="auto"/>
        <w:rPr>
          <w:rFonts w:cs="David" w:hint="cs"/>
          <w:sz w:val="26"/>
          <w:szCs w:val="26"/>
          <w:u w:val="single"/>
          <w:rtl/>
        </w:rPr>
      </w:pPr>
    </w:p>
    <w:p w:rsidR="00847399" w:rsidRPr="00847399" w:rsidRDefault="00847399" w:rsidP="00847399">
      <w:pPr>
        <w:spacing w:line="360" w:lineRule="auto"/>
        <w:rPr>
          <w:rFonts w:cs="David" w:hint="cs"/>
          <w:b/>
          <w:bCs/>
          <w:sz w:val="26"/>
          <w:szCs w:val="26"/>
          <w:u w:val="single"/>
          <w:rtl/>
        </w:rPr>
      </w:pPr>
      <w:r w:rsidRPr="00847399">
        <w:rPr>
          <w:rFonts w:cs="David" w:hint="cs"/>
          <w:b/>
          <w:bCs/>
          <w:sz w:val="26"/>
          <w:szCs w:val="26"/>
          <w:u w:val="single"/>
          <w:rtl/>
        </w:rPr>
        <w:t>הודעה לעיתונות:</w:t>
      </w:r>
    </w:p>
    <w:p w:rsidR="00BD3246" w:rsidRPr="00847399" w:rsidRDefault="00290F1C" w:rsidP="007933B0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847399">
        <w:rPr>
          <w:rFonts w:cs="David" w:hint="cs"/>
          <w:b/>
          <w:bCs/>
          <w:sz w:val="26"/>
          <w:szCs w:val="26"/>
          <w:u w:val="single"/>
          <w:rtl/>
        </w:rPr>
        <w:t>נגידת בנק ישראל תמליץ לממשלה למנות את ד"ר נדין בודו-טרכטנברג לתפקיד המשנה לנגידה</w:t>
      </w:r>
    </w:p>
    <w:p w:rsidR="00290F1C" w:rsidRDefault="00290F1C" w:rsidP="007933B0">
      <w:pPr>
        <w:spacing w:line="360" w:lineRule="auto"/>
        <w:jc w:val="both"/>
        <w:rPr>
          <w:rFonts w:cs="David"/>
          <w:sz w:val="26"/>
          <w:szCs w:val="26"/>
          <w:rtl/>
        </w:rPr>
      </w:pPr>
      <w:r w:rsidRPr="00290F1C">
        <w:rPr>
          <w:rFonts w:cs="David" w:hint="cs"/>
          <w:sz w:val="26"/>
          <w:szCs w:val="26"/>
          <w:rtl/>
        </w:rPr>
        <w:t xml:space="preserve">נגידת </w:t>
      </w:r>
      <w:r>
        <w:rPr>
          <w:rFonts w:cs="David" w:hint="cs"/>
          <w:sz w:val="26"/>
          <w:szCs w:val="26"/>
          <w:rtl/>
        </w:rPr>
        <w:t xml:space="preserve">בנק ישראל, </w:t>
      </w:r>
      <w:r w:rsidRPr="00847399">
        <w:rPr>
          <w:rFonts w:cs="David" w:hint="cs"/>
          <w:b/>
          <w:bCs/>
          <w:sz w:val="26"/>
          <w:szCs w:val="26"/>
          <w:rtl/>
        </w:rPr>
        <w:t>ד"ר קרנית פלוג</w:t>
      </w:r>
      <w:r>
        <w:rPr>
          <w:rFonts w:cs="David" w:hint="cs"/>
          <w:sz w:val="26"/>
          <w:szCs w:val="26"/>
          <w:rtl/>
        </w:rPr>
        <w:t>, הודיעה היום לראש הממשלה על כוונתה להמליץ לממשלה למנות את ד"</w:t>
      </w:r>
      <w:r w:rsidRPr="00847399">
        <w:rPr>
          <w:rFonts w:cs="David" w:hint="cs"/>
          <w:b/>
          <w:bCs/>
          <w:sz w:val="26"/>
          <w:szCs w:val="26"/>
          <w:rtl/>
        </w:rPr>
        <w:t>ר נדין בודו-טרכטנברג</w:t>
      </w:r>
      <w:r>
        <w:rPr>
          <w:rFonts w:cs="David" w:hint="cs"/>
          <w:sz w:val="26"/>
          <w:szCs w:val="26"/>
          <w:rtl/>
        </w:rPr>
        <w:t xml:space="preserve"> לתפקיד המשנה </w:t>
      </w:r>
      <w:r w:rsidR="002D2047">
        <w:rPr>
          <w:rFonts w:cs="David" w:hint="cs"/>
          <w:sz w:val="26"/>
          <w:szCs w:val="26"/>
          <w:rtl/>
        </w:rPr>
        <w:t>ל</w:t>
      </w:r>
      <w:r>
        <w:rPr>
          <w:rFonts w:cs="David" w:hint="cs"/>
          <w:sz w:val="26"/>
          <w:szCs w:val="26"/>
          <w:rtl/>
        </w:rPr>
        <w:t xml:space="preserve">נגידת בנק ישראל. המינוי כפוף לתהליך אישור </w:t>
      </w:r>
      <w:proofErr w:type="spellStart"/>
      <w:r>
        <w:rPr>
          <w:rFonts w:cs="David" w:hint="cs"/>
          <w:sz w:val="26"/>
          <w:szCs w:val="26"/>
          <w:rtl/>
        </w:rPr>
        <w:t>בועדה</w:t>
      </w:r>
      <w:proofErr w:type="spellEnd"/>
      <w:r>
        <w:rPr>
          <w:rFonts w:cs="David" w:hint="cs"/>
          <w:sz w:val="26"/>
          <w:szCs w:val="26"/>
          <w:rtl/>
        </w:rPr>
        <w:t xml:space="preserve"> המייעצת למינוי בכי</w:t>
      </w:r>
      <w:r w:rsidR="00EF2ED8">
        <w:rPr>
          <w:rFonts w:cs="David" w:hint="cs"/>
          <w:sz w:val="26"/>
          <w:szCs w:val="26"/>
          <w:rtl/>
        </w:rPr>
        <w:t xml:space="preserve">רים בשירות המדינה (ועדת </w:t>
      </w:r>
      <w:proofErr w:type="spellStart"/>
      <w:r w:rsidR="00EF2ED8">
        <w:rPr>
          <w:rFonts w:cs="David" w:hint="cs"/>
          <w:sz w:val="26"/>
          <w:szCs w:val="26"/>
          <w:rtl/>
        </w:rPr>
        <w:t>טירקל</w:t>
      </w:r>
      <w:proofErr w:type="spellEnd"/>
      <w:r w:rsidR="00EF2ED8">
        <w:rPr>
          <w:rFonts w:cs="David" w:hint="cs"/>
          <w:sz w:val="26"/>
          <w:szCs w:val="26"/>
          <w:rtl/>
        </w:rPr>
        <w:t>), ולאישור הממשלה</w:t>
      </w:r>
      <w:bookmarkStart w:id="0" w:name="_GoBack"/>
      <w:bookmarkEnd w:id="0"/>
      <w:r w:rsidR="00EF2ED8">
        <w:rPr>
          <w:rFonts w:cs="David" w:hint="cs"/>
          <w:sz w:val="26"/>
          <w:szCs w:val="26"/>
          <w:rtl/>
        </w:rPr>
        <w:t xml:space="preserve">. </w:t>
      </w:r>
      <w:r w:rsidR="002D2047">
        <w:rPr>
          <w:rFonts w:cs="David" w:hint="cs"/>
          <w:sz w:val="26"/>
          <w:szCs w:val="26"/>
          <w:rtl/>
        </w:rPr>
        <w:t xml:space="preserve">כמשנה לנגידה תכהן ד"ר בודו-טרכטנברג גם כחברה </w:t>
      </w:r>
      <w:proofErr w:type="spellStart"/>
      <w:r w:rsidR="002D2047">
        <w:rPr>
          <w:rFonts w:cs="David" w:hint="cs"/>
          <w:sz w:val="26"/>
          <w:szCs w:val="26"/>
          <w:rtl/>
        </w:rPr>
        <w:t>בועדה</w:t>
      </w:r>
      <w:proofErr w:type="spellEnd"/>
      <w:r w:rsidR="002D2047">
        <w:rPr>
          <w:rFonts w:cs="David" w:hint="cs"/>
          <w:sz w:val="26"/>
          <w:szCs w:val="26"/>
          <w:rtl/>
        </w:rPr>
        <w:t xml:space="preserve"> המוניטרית ובמועצה המנהלית של בנק ישראל.</w:t>
      </w:r>
    </w:p>
    <w:p w:rsidR="00EF2ED8" w:rsidRDefault="00EF2ED8" w:rsidP="00847399">
      <w:pPr>
        <w:spacing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ד"ר נדין בודו-טרכטנברג רכשה תואר ראשון בכלכלה באוניברסיטת מונטריאול שבקנדה, תואר שני בפילוסופיה, מדע המדינה וכלכלה באוניברסיטת אוקספורד שבאנגליה, ותואר שלישי בכלכלה, בהנחייתו של פרופ' לארי </w:t>
      </w:r>
      <w:proofErr w:type="spellStart"/>
      <w:r>
        <w:rPr>
          <w:rFonts w:cs="David" w:hint="cs"/>
          <w:sz w:val="26"/>
          <w:szCs w:val="26"/>
          <w:rtl/>
        </w:rPr>
        <w:t>סאמרס</w:t>
      </w:r>
      <w:proofErr w:type="spellEnd"/>
      <w:r>
        <w:rPr>
          <w:rFonts w:cs="David" w:hint="cs"/>
          <w:sz w:val="26"/>
          <w:szCs w:val="26"/>
          <w:rtl/>
        </w:rPr>
        <w:t>, באוניברסיטת הרווארד שבארה"</w:t>
      </w:r>
      <w:r w:rsidR="007933B0">
        <w:rPr>
          <w:rFonts w:cs="David" w:hint="cs"/>
          <w:sz w:val="26"/>
          <w:szCs w:val="26"/>
          <w:rtl/>
        </w:rPr>
        <w:t xml:space="preserve">ב. </w:t>
      </w:r>
      <w:r w:rsidR="00847399">
        <w:rPr>
          <w:rFonts w:cs="David" w:hint="cs"/>
          <w:sz w:val="26"/>
          <w:szCs w:val="26"/>
          <w:rtl/>
        </w:rPr>
        <w:t>ה</w:t>
      </w:r>
      <w:r w:rsidR="007933B0">
        <w:rPr>
          <w:rFonts w:cs="David" w:hint="cs"/>
          <w:sz w:val="26"/>
          <w:szCs w:val="26"/>
          <w:rtl/>
        </w:rPr>
        <w:t xml:space="preserve">התמחות </w:t>
      </w:r>
      <w:proofErr w:type="spellStart"/>
      <w:r w:rsidR="00847399">
        <w:rPr>
          <w:rFonts w:cs="David" w:hint="cs"/>
          <w:sz w:val="26"/>
          <w:szCs w:val="26"/>
          <w:rtl/>
        </w:rPr>
        <w:t>ה</w:t>
      </w:r>
      <w:r w:rsidR="007933B0">
        <w:rPr>
          <w:rFonts w:cs="David" w:hint="cs"/>
          <w:sz w:val="26"/>
          <w:szCs w:val="26"/>
          <w:rtl/>
        </w:rPr>
        <w:t>ה</w:t>
      </w:r>
      <w:r>
        <w:rPr>
          <w:rFonts w:cs="David" w:hint="cs"/>
          <w:sz w:val="26"/>
          <w:szCs w:val="26"/>
          <w:rtl/>
        </w:rPr>
        <w:t>אקדמית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  <w:r w:rsidR="007933B0">
        <w:rPr>
          <w:rFonts w:cs="David" w:hint="cs"/>
          <w:sz w:val="26"/>
          <w:szCs w:val="26"/>
          <w:rtl/>
        </w:rPr>
        <w:t xml:space="preserve">שלה </w:t>
      </w:r>
      <w:r>
        <w:rPr>
          <w:rFonts w:cs="David" w:hint="cs"/>
          <w:sz w:val="26"/>
          <w:szCs w:val="26"/>
          <w:rtl/>
        </w:rPr>
        <w:t xml:space="preserve">היא בתחומי המימון הציבורי ומאקרו כלכלה. </w:t>
      </w:r>
      <w:proofErr w:type="spellStart"/>
      <w:r>
        <w:rPr>
          <w:rFonts w:cs="David" w:hint="cs"/>
          <w:sz w:val="26"/>
          <w:szCs w:val="26"/>
          <w:rtl/>
        </w:rPr>
        <w:t>לבודו</w:t>
      </w:r>
      <w:proofErr w:type="spellEnd"/>
      <w:r>
        <w:rPr>
          <w:rFonts w:cs="David" w:hint="cs"/>
          <w:sz w:val="26"/>
          <w:szCs w:val="26"/>
          <w:rtl/>
        </w:rPr>
        <w:t xml:space="preserve">-טרכטנברג </w:t>
      </w:r>
      <w:proofErr w:type="spellStart"/>
      <w:r>
        <w:rPr>
          <w:rFonts w:cs="David" w:hint="cs"/>
          <w:sz w:val="26"/>
          <w:szCs w:val="26"/>
          <w:rtl/>
        </w:rPr>
        <w:t>נסיון</w:t>
      </w:r>
      <w:proofErr w:type="spellEnd"/>
      <w:r>
        <w:rPr>
          <w:rFonts w:cs="David" w:hint="cs"/>
          <w:sz w:val="26"/>
          <w:szCs w:val="26"/>
          <w:rtl/>
        </w:rPr>
        <w:t xml:space="preserve"> מקצועי עשיר הן בתחומי המדיני</w:t>
      </w:r>
      <w:r w:rsidR="00BB2F78">
        <w:rPr>
          <w:rFonts w:cs="David" w:hint="cs"/>
          <w:sz w:val="26"/>
          <w:szCs w:val="26"/>
          <w:rtl/>
        </w:rPr>
        <w:t>ות הציבורית והן בתחום הבנקאי</w:t>
      </w:r>
      <w:r>
        <w:rPr>
          <w:rFonts w:cs="David" w:hint="cs"/>
          <w:sz w:val="26"/>
          <w:szCs w:val="26"/>
          <w:rtl/>
        </w:rPr>
        <w:t xml:space="preserve">-פיננסי. </w:t>
      </w:r>
      <w:r w:rsidR="00BB2F78">
        <w:rPr>
          <w:rFonts w:cs="David" w:hint="cs"/>
          <w:sz w:val="26"/>
          <w:szCs w:val="26"/>
          <w:rtl/>
        </w:rPr>
        <w:t>בשנות השמונים היא שימשה כיועצת למשרד האוצר הקנדי, וסייעה בגיבוש רפורמה במערכת המס</w:t>
      </w:r>
      <w:r w:rsidR="00847399">
        <w:rPr>
          <w:rFonts w:cs="David" w:hint="cs"/>
          <w:sz w:val="26"/>
          <w:szCs w:val="26"/>
          <w:rtl/>
        </w:rPr>
        <w:t xml:space="preserve"> הקנדית</w:t>
      </w:r>
      <w:r w:rsidR="00BB2F78">
        <w:rPr>
          <w:rFonts w:cs="David" w:hint="cs"/>
          <w:sz w:val="26"/>
          <w:szCs w:val="26"/>
          <w:rtl/>
        </w:rPr>
        <w:t xml:space="preserve">. היא שימשה כמרצה למקרו כלכלה, כלכלה ציבורית וכלכלת ישראל במספר מוסדות אקדמיים בישראל ובעולם, ומאז 2010 מכהנת כמשנה לדיקן של בית הספר לכלכלה ומרצה במרכז הבינתחומי בהרצליה. את עיקר </w:t>
      </w:r>
      <w:proofErr w:type="spellStart"/>
      <w:r w:rsidR="00BB2F78">
        <w:rPr>
          <w:rFonts w:cs="David" w:hint="cs"/>
          <w:sz w:val="26"/>
          <w:szCs w:val="26"/>
          <w:rtl/>
        </w:rPr>
        <w:t>נסיונה</w:t>
      </w:r>
      <w:proofErr w:type="spellEnd"/>
      <w:r w:rsidR="00BB2F78">
        <w:rPr>
          <w:rFonts w:cs="David" w:hint="cs"/>
          <w:sz w:val="26"/>
          <w:szCs w:val="26"/>
          <w:rtl/>
        </w:rPr>
        <w:t xml:space="preserve"> המקצועי רכשה בודו-טרכטנברג בבנק הפועלים, אליו הצטרפה ב-1987 ככלכלנית במחלקה הכלכלית</w:t>
      </w:r>
      <w:r w:rsidR="006A3BCF">
        <w:rPr>
          <w:rFonts w:cs="David" w:hint="cs"/>
          <w:sz w:val="26"/>
          <w:szCs w:val="26"/>
          <w:rtl/>
        </w:rPr>
        <w:t>, שם עסקה בניתוח ותחזיות מקרו כלכליים. בהמשך שימשה במספר תפקידי ניהול</w:t>
      </w:r>
      <w:r w:rsidR="00BB2F78">
        <w:rPr>
          <w:rFonts w:cs="David" w:hint="cs"/>
          <w:sz w:val="26"/>
          <w:szCs w:val="26"/>
          <w:rtl/>
        </w:rPr>
        <w:t xml:space="preserve"> באגף ניי</w:t>
      </w:r>
      <w:r w:rsidR="006A3BCF">
        <w:rPr>
          <w:rFonts w:cs="David" w:hint="cs"/>
          <w:sz w:val="26"/>
          <w:szCs w:val="26"/>
          <w:rtl/>
        </w:rPr>
        <w:t xml:space="preserve">רות ערך ונכסים פיננסיים של הבנק, ביניהם </w:t>
      </w:r>
      <w:r w:rsidR="006A3BCF" w:rsidRPr="006A3BCF">
        <w:rPr>
          <w:rFonts w:cs="David" w:hint="cs"/>
          <w:sz w:val="26"/>
          <w:szCs w:val="26"/>
          <w:rtl/>
        </w:rPr>
        <w:t>מנהלת</w:t>
      </w:r>
      <w:r w:rsidR="006A3BCF" w:rsidRPr="006A3BCF">
        <w:rPr>
          <w:rFonts w:cs="David"/>
          <w:sz w:val="26"/>
          <w:szCs w:val="26"/>
          <w:rtl/>
        </w:rPr>
        <w:t xml:space="preserve"> </w:t>
      </w:r>
      <w:r w:rsidR="006A3BCF" w:rsidRPr="006A3BCF">
        <w:rPr>
          <w:rFonts w:cs="David" w:hint="cs"/>
          <w:sz w:val="26"/>
          <w:szCs w:val="26"/>
          <w:rtl/>
        </w:rPr>
        <w:t>מחלקת</w:t>
      </w:r>
      <w:r w:rsidR="006A3BCF" w:rsidRPr="006A3BCF">
        <w:rPr>
          <w:rFonts w:cs="David"/>
          <w:sz w:val="26"/>
          <w:szCs w:val="26"/>
          <w:rtl/>
        </w:rPr>
        <w:t xml:space="preserve"> </w:t>
      </w:r>
      <w:r w:rsidR="006A3BCF" w:rsidRPr="006A3BCF">
        <w:rPr>
          <w:rFonts w:cs="David" w:hint="cs"/>
          <w:sz w:val="26"/>
          <w:szCs w:val="26"/>
          <w:rtl/>
        </w:rPr>
        <w:t>המחקר</w:t>
      </w:r>
      <w:r w:rsidR="006A3BCF" w:rsidRPr="006A3BCF">
        <w:rPr>
          <w:rFonts w:cs="David"/>
          <w:sz w:val="26"/>
          <w:szCs w:val="26"/>
          <w:rtl/>
        </w:rPr>
        <w:t xml:space="preserve"> </w:t>
      </w:r>
      <w:r w:rsidR="006A3BCF">
        <w:rPr>
          <w:rFonts w:cs="David" w:hint="cs"/>
          <w:sz w:val="26"/>
          <w:szCs w:val="26"/>
          <w:rtl/>
        </w:rPr>
        <w:t>ל</w:t>
      </w:r>
      <w:r w:rsidR="006A3BCF" w:rsidRPr="006A3BCF">
        <w:rPr>
          <w:rFonts w:cs="David" w:hint="cs"/>
          <w:sz w:val="26"/>
          <w:szCs w:val="26"/>
          <w:rtl/>
        </w:rPr>
        <w:t>ני</w:t>
      </w:r>
      <w:r w:rsidR="006A3BCF" w:rsidRPr="006A3BCF">
        <w:rPr>
          <w:rFonts w:cs="David"/>
          <w:sz w:val="26"/>
          <w:szCs w:val="26"/>
          <w:rtl/>
        </w:rPr>
        <w:t>"</w:t>
      </w:r>
      <w:r w:rsidR="006A3BCF" w:rsidRPr="006A3BCF">
        <w:rPr>
          <w:rFonts w:cs="David" w:hint="cs"/>
          <w:sz w:val="26"/>
          <w:szCs w:val="26"/>
          <w:rtl/>
        </w:rPr>
        <w:t>ע</w:t>
      </w:r>
      <w:r w:rsidR="006A3BCF">
        <w:rPr>
          <w:rFonts w:cs="David" w:hint="cs"/>
          <w:sz w:val="26"/>
          <w:szCs w:val="26"/>
          <w:rtl/>
        </w:rPr>
        <w:t xml:space="preserve"> ו</w:t>
      </w:r>
      <w:r w:rsidR="006A3BCF" w:rsidRPr="006A3BCF">
        <w:rPr>
          <w:rFonts w:cs="David" w:hint="cs"/>
          <w:sz w:val="26"/>
          <w:szCs w:val="26"/>
          <w:rtl/>
        </w:rPr>
        <w:t>מנהלת</w:t>
      </w:r>
      <w:r w:rsidR="006A3BCF" w:rsidRPr="006A3BCF">
        <w:rPr>
          <w:rFonts w:cs="David"/>
          <w:sz w:val="26"/>
          <w:szCs w:val="26"/>
          <w:rtl/>
        </w:rPr>
        <w:t xml:space="preserve">  </w:t>
      </w:r>
      <w:r w:rsidR="006A3BCF" w:rsidRPr="006A3BCF">
        <w:rPr>
          <w:rFonts w:cs="David" w:hint="cs"/>
          <w:sz w:val="26"/>
          <w:szCs w:val="26"/>
          <w:rtl/>
        </w:rPr>
        <w:t>יעוץ</w:t>
      </w:r>
      <w:r w:rsidR="006A3BCF" w:rsidRPr="006A3BCF">
        <w:rPr>
          <w:rFonts w:cs="David"/>
          <w:sz w:val="26"/>
          <w:szCs w:val="26"/>
          <w:rtl/>
        </w:rPr>
        <w:t xml:space="preserve"> </w:t>
      </w:r>
      <w:r w:rsidR="006A3BCF" w:rsidRPr="006A3BCF">
        <w:rPr>
          <w:rFonts w:cs="David" w:hint="cs"/>
          <w:sz w:val="26"/>
          <w:szCs w:val="26"/>
          <w:rtl/>
        </w:rPr>
        <w:t>ומסחר</w:t>
      </w:r>
      <w:r w:rsidR="006A3BCF" w:rsidRPr="006A3BCF">
        <w:rPr>
          <w:rFonts w:cs="David"/>
          <w:sz w:val="26"/>
          <w:szCs w:val="26"/>
          <w:rtl/>
        </w:rPr>
        <w:t xml:space="preserve"> </w:t>
      </w:r>
      <w:r w:rsidR="006A3BCF" w:rsidRPr="006A3BCF">
        <w:rPr>
          <w:rFonts w:cs="David" w:hint="cs"/>
          <w:sz w:val="26"/>
          <w:szCs w:val="26"/>
          <w:rtl/>
        </w:rPr>
        <w:t>ללקוחות</w:t>
      </w:r>
      <w:r w:rsidR="006A3BCF" w:rsidRPr="006A3BCF">
        <w:rPr>
          <w:rFonts w:cs="David"/>
          <w:sz w:val="26"/>
          <w:szCs w:val="26"/>
          <w:rtl/>
        </w:rPr>
        <w:t xml:space="preserve"> </w:t>
      </w:r>
      <w:r w:rsidR="006A3BCF" w:rsidRPr="006A3BCF">
        <w:rPr>
          <w:rFonts w:cs="David" w:hint="cs"/>
          <w:sz w:val="26"/>
          <w:szCs w:val="26"/>
          <w:rtl/>
        </w:rPr>
        <w:t>מוסדיים</w:t>
      </w:r>
      <w:r w:rsidR="006A3BCF">
        <w:rPr>
          <w:rFonts w:cs="David" w:hint="cs"/>
          <w:sz w:val="26"/>
          <w:szCs w:val="26"/>
          <w:rtl/>
        </w:rPr>
        <w:t>. בשנים 2003-2009 היא שימשה כמנהלת קשרי לקוחות בחטיבה הפיננסית של הבנק. בנוסף, היא עוסקת בפעי</w:t>
      </w:r>
      <w:r w:rsidR="002D2047">
        <w:rPr>
          <w:rFonts w:cs="David" w:hint="cs"/>
          <w:sz w:val="26"/>
          <w:szCs w:val="26"/>
          <w:rtl/>
        </w:rPr>
        <w:t xml:space="preserve">לות ציבורית במספר גופים, והייתה </w:t>
      </w:r>
      <w:r w:rsidR="006A3BCF">
        <w:rPr>
          <w:rFonts w:cs="David" w:hint="cs"/>
          <w:sz w:val="26"/>
          <w:szCs w:val="26"/>
          <w:rtl/>
        </w:rPr>
        <w:t xml:space="preserve">חברה בוועדת השיווק של הבורסה ובוועדה לרפורמה בשוק ההון מטעם המכון לדמוקרטיה. </w:t>
      </w:r>
    </w:p>
    <w:p w:rsidR="006A3BCF" w:rsidRDefault="002D2047" w:rsidP="007933B0">
      <w:pPr>
        <w:spacing w:line="360" w:lineRule="auto"/>
        <w:jc w:val="both"/>
        <w:rPr>
          <w:rFonts w:cs="David"/>
          <w:sz w:val="26"/>
          <w:szCs w:val="26"/>
          <w:rtl/>
        </w:rPr>
      </w:pPr>
      <w:r w:rsidRPr="00847399">
        <w:rPr>
          <w:rFonts w:cs="David" w:hint="cs"/>
          <w:b/>
          <w:bCs/>
          <w:sz w:val="26"/>
          <w:szCs w:val="26"/>
          <w:rtl/>
        </w:rPr>
        <w:t>נגידת בנק ישראל, ד"ר קרנית פלוג</w:t>
      </w:r>
      <w:r>
        <w:rPr>
          <w:rFonts w:cs="David" w:hint="cs"/>
          <w:sz w:val="26"/>
          <w:szCs w:val="26"/>
          <w:rtl/>
        </w:rPr>
        <w:t xml:space="preserve">: "אני מודה </w:t>
      </w:r>
      <w:proofErr w:type="spellStart"/>
      <w:r>
        <w:rPr>
          <w:rFonts w:cs="David" w:hint="cs"/>
          <w:sz w:val="26"/>
          <w:szCs w:val="26"/>
          <w:rtl/>
        </w:rPr>
        <w:t>לנדין</w:t>
      </w:r>
      <w:proofErr w:type="spellEnd"/>
      <w:r>
        <w:rPr>
          <w:rFonts w:cs="David" w:hint="cs"/>
          <w:sz w:val="26"/>
          <w:szCs w:val="26"/>
          <w:rtl/>
        </w:rPr>
        <w:t xml:space="preserve"> על שהסכימה לקחת על עצמה את האחריות והאתגר שבתפקיד המשנה לנגידת הבנק</w:t>
      </w:r>
      <w:r w:rsidR="007933B0">
        <w:rPr>
          <w:rFonts w:cs="David" w:hint="cs"/>
          <w:sz w:val="26"/>
          <w:szCs w:val="26"/>
          <w:rtl/>
        </w:rPr>
        <w:t>, וממליצה ממשלה לאשר את המינוי</w:t>
      </w:r>
      <w:r>
        <w:rPr>
          <w:rFonts w:cs="David" w:hint="cs"/>
          <w:sz w:val="26"/>
          <w:szCs w:val="26"/>
          <w:rtl/>
        </w:rPr>
        <w:t xml:space="preserve">. נדין מביאה </w:t>
      </w:r>
      <w:proofErr w:type="spellStart"/>
      <w:r>
        <w:rPr>
          <w:rFonts w:cs="David" w:hint="cs"/>
          <w:sz w:val="26"/>
          <w:szCs w:val="26"/>
          <w:rtl/>
        </w:rPr>
        <w:t>עימה</w:t>
      </w:r>
      <w:proofErr w:type="spellEnd"/>
      <w:r>
        <w:rPr>
          <w:rFonts w:cs="David" w:hint="cs"/>
          <w:sz w:val="26"/>
          <w:szCs w:val="26"/>
          <w:rtl/>
        </w:rPr>
        <w:t xml:space="preserve"> ניסיון רב בתחומ</w:t>
      </w:r>
      <w:r w:rsidR="007933B0">
        <w:rPr>
          <w:rFonts w:cs="David" w:hint="cs"/>
          <w:sz w:val="26"/>
          <w:szCs w:val="26"/>
          <w:rtl/>
        </w:rPr>
        <w:t xml:space="preserve">ים מגוונים. בפני בנק ישראל עומדים בתקופה הקרובה אתגרים רבים, ואני משוכנעת בכך שכישוריה </w:t>
      </w:r>
      <w:proofErr w:type="spellStart"/>
      <w:r w:rsidR="007933B0">
        <w:rPr>
          <w:rFonts w:cs="David" w:hint="cs"/>
          <w:sz w:val="26"/>
          <w:szCs w:val="26"/>
          <w:rtl/>
        </w:rPr>
        <w:t>ונסיונה</w:t>
      </w:r>
      <w:proofErr w:type="spellEnd"/>
      <w:r w:rsidR="007933B0">
        <w:rPr>
          <w:rFonts w:cs="David" w:hint="cs"/>
          <w:sz w:val="26"/>
          <w:szCs w:val="26"/>
          <w:rtl/>
        </w:rPr>
        <w:t xml:space="preserve"> של נדין יסייעו לנו בהתמודדות עימם".</w:t>
      </w:r>
    </w:p>
    <w:p w:rsidR="00290F1C" w:rsidRPr="00290F1C" w:rsidRDefault="00897249" w:rsidP="00897249">
      <w:pPr>
        <w:spacing w:line="360" w:lineRule="auto"/>
        <w:jc w:val="both"/>
        <w:rPr>
          <w:rFonts w:cs="David"/>
          <w:sz w:val="26"/>
          <w:szCs w:val="26"/>
          <w:u w:val="single"/>
        </w:rPr>
      </w:pPr>
      <w:r w:rsidRPr="00847399">
        <w:rPr>
          <w:rFonts w:cs="David" w:hint="cs"/>
          <w:b/>
          <w:bCs/>
          <w:sz w:val="26"/>
          <w:szCs w:val="26"/>
          <w:rtl/>
        </w:rPr>
        <w:t>ד"ר נדין בודו טרכטנברג</w:t>
      </w:r>
      <w:r>
        <w:rPr>
          <w:rFonts w:cs="David" w:hint="cs"/>
          <w:sz w:val="26"/>
          <w:szCs w:val="26"/>
          <w:rtl/>
        </w:rPr>
        <w:t>: "אני מבקשת להודות לנגידה על ההזדמנות לתרום לבנק ישראל ולמשק הישראלי, ועל</w:t>
      </w:r>
      <w:r w:rsidRPr="00897249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האמון שנתנה בי. אני שמחה להיענות לאתגר שכרוך במילוי תפקיד המשנה לנגידה, ואעשה ככל יכולתי כדי להצליח ולעמוד בו"</w:t>
      </w:r>
    </w:p>
    <w:sectPr w:rsidR="00290F1C" w:rsidRPr="00290F1C" w:rsidSect="00847399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1C"/>
    <w:rsid w:val="00290F1C"/>
    <w:rsid w:val="002D2047"/>
    <w:rsid w:val="004C07BA"/>
    <w:rsid w:val="006A3BCF"/>
    <w:rsid w:val="007933B0"/>
    <w:rsid w:val="00847399"/>
    <w:rsid w:val="00897249"/>
    <w:rsid w:val="00BB2F78"/>
    <w:rsid w:val="00BD3246"/>
    <w:rsid w:val="00E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399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4">
    <w:name w:val="כותרת עליונה תו"/>
    <w:basedOn w:val="a0"/>
    <w:link w:val="a3"/>
    <w:rsid w:val="00847399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5">
    <w:name w:val="Balloon Text"/>
    <w:basedOn w:val="a"/>
    <w:link w:val="a6"/>
    <w:uiPriority w:val="99"/>
    <w:semiHidden/>
    <w:unhideWhenUsed/>
    <w:rsid w:val="0084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47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399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4">
    <w:name w:val="כותרת עליונה תו"/>
    <w:basedOn w:val="a0"/>
    <w:link w:val="a3"/>
    <w:rsid w:val="00847399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5">
    <w:name w:val="Balloon Text"/>
    <w:basedOn w:val="a"/>
    <w:link w:val="a6"/>
    <w:uiPriority w:val="99"/>
    <w:semiHidden/>
    <w:unhideWhenUsed/>
    <w:rsid w:val="0084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47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B760A-C0B1-4171-BEA3-D96111CBAB4A}"/>
</file>

<file path=customXml/itemProps2.xml><?xml version="1.0" encoding="utf-8"?>
<ds:datastoreItem xmlns:ds="http://schemas.openxmlformats.org/officeDocument/2006/customXml" ds:itemID="{59B73FF6-F44C-4C37-A614-30E223BCDC2E}"/>
</file>

<file path=customXml/itemProps3.xml><?xml version="1.0" encoding="utf-8"?>
<ds:datastoreItem xmlns:ds="http://schemas.openxmlformats.org/officeDocument/2006/customXml" ds:itemID="{E06C580A-9E58-48C1-9708-6F1A46D98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Yoav Soffer</dc:creator>
  <cp:lastModifiedBy>Yoav Soffer</cp:lastModifiedBy>
  <cp:revision>4</cp:revision>
  <dcterms:created xsi:type="dcterms:W3CDTF">2014-01-12T10:29:00Z</dcterms:created>
  <dcterms:modified xsi:type="dcterms:W3CDTF">2014-01-16T14:37:00Z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