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D51310" w14:paraId="284C2487" w14:textId="77777777" w:rsidTr="0029736D">
        <w:tc>
          <w:tcPr>
            <w:tcW w:w="3343" w:type="dxa"/>
            <w:tcBorders>
              <w:top w:val="nil"/>
              <w:left w:val="nil"/>
              <w:bottom w:val="nil"/>
              <w:right w:val="nil"/>
            </w:tcBorders>
            <w:vAlign w:val="center"/>
          </w:tcPr>
          <w:p w14:paraId="1D012FE4" w14:textId="77777777" w:rsidR="009005BA" w:rsidRPr="00D51310" w:rsidRDefault="009005BA" w:rsidP="0029736D">
            <w:pPr>
              <w:rPr>
                <w:rFonts w:cstheme="minorHAnsi"/>
                <w:b/>
                <w:bCs/>
                <w:sz w:val="24"/>
                <w:szCs w:val="24"/>
                <w:rtl/>
              </w:rPr>
            </w:pPr>
            <w:r w:rsidRPr="00D51310">
              <w:rPr>
                <w:rFonts w:cstheme="minorHAnsi"/>
                <w:b/>
                <w:bCs/>
                <w:sz w:val="24"/>
                <w:szCs w:val="24"/>
                <w:rtl/>
              </w:rPr>
              <w:t>בנק ישראל</w:t>
            </w:r>
          </w:p>
          <w:p w14:paraId="51970B87" w14:textId="77777777" w:rsidR="009005BA" w:rsidRPr="00D51310" w:rsidRDefault="009005BA" w:rsidP="0029736D">
            <w:pPr>
              <w:rPr>
                <w:rFonts w:cstheme="minorHAnsi"/>
                <w:b/>
                <w:bCs/>
                <w:sz w:val="28"/>
                <w:szCs w:val="28"/>
              </w:rPr>
            </w:pPr>
            <w:r w:rsidRPr="00D51310">
              <w:rPr>
                <w:rFonts w:cstheme="minorHAnsi"/>
                <w:rtl/>
              </w:rPr>
              <w:t>דוברות והסברה כלכלית</w:t>
            </w:r>
          </w:p>
        </w:tc>
        <w:tc>
          <w:tcPr>
            <w:tcW w:w="2596" w:type="dxa"/>
            <w:tcBorders>
              <w:top w:val="nil"/>
              <w:left w:val="nil"/>
              <w:bottom w:val="nil"/>
              <w:right w:val="nil"/>
            </w:tcBorders>
            <w:shd w:val="clear" w:color="auto" w:fill="FFFFFF"/>
          </w:tcPr>
          <w:p w14:paraId="2AA221BF" w14:textId="77777777" w:rsidR="009005BA" w:rsidRPr="00D51310" w:rsidRDefault="009005BA" w:rsidP="0029736D">
            <w:pPr>
              <w:jc w:val="center"/>
              <w:rPr>
                <w:rFonts w:cstheme="minorHAnsi"/>
              </w:rPr>
            </w:pPr>
            <w:r w:rsidRPr="00D51310">
              <w:rPr>
                <w:rFonts w:cstheme="minorHAnsi"/>
                <w:noProof/>
              </w:rPr>
              <w:drawing>
                <wp:anchor distT="0" distB="0" distL="114300" distR="114300" simplePos="0" relativeHeight="251659264" behindDoc="0" locked="0" layoutInCell="1" allowOverlap="1" wp14:anchorId="37B2A131" wp14:editId="5ADE9816">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14:paraId="28F55EDA" w14:textId="42B799C5" w:rsidR="009005BA" w:rsidRPr="00D51310" w:rsidRDefault="009005BA" w:rsidP="009005BA">
            <w:pPr>
              <w:jc w:val="right"/>
              <w:rPr>
                <w:rFonts w:cstheme="minorHAnsi"/>
                <w:rtl/>
              </w:rPr>
            </w:pPr>
            <w:r w:rsidRPr="00D51310">
              <w:rPr>
                <w:rFonts w:cstheme="minorHAnsi"/>
                <w:highlight w:val="green"/>
                <w:rtl/>
              </w:rPr>
              <w:t>‏</w:t>
            </w:r>
            <w:r w:rsidRPr="00D51310">
              <w:rPr>
                <w:rFonts w:cstheme="minorHAnsi"/>
                <w:rtl/>
              </w:rPr>
              <w:t xml:space="preserve">ירושלים, </w:t>
            </w:r>
            <w:r w:rsidRPr="00D51310">
              <w:rPr>
                <w:rFonts w:cstheme="minorHAnsi"/>
                <w:rtl/>
              </w:rPr>
              <w:fldChar w:fldCharType="begin"/>
            </w:r>
            <w:r w:rsidRPr="00D51310">
              <w:rPr>
                <w:rFonts w:cstheme="minorHAnsi"/>
                <w:rtl/>
              </w:rPr>
              <w:instrText xml:space="preserve"> </w:instrText>
            </w:r>
            <w:r w:rsidRPr="00D51310">
              <w:rPr>
                <w:rFonts w:cstheme="minorHAnsi"/>
              </w:rPr>
              <w:instrText>DATE</w:instrText>
            </w:r>
            <w:r w:rsidRPr="00D51310">
              <w:rPr>
                <w:rFonts w:cstheme="minorHAnsi"/>
                <w:rtl/>
              </w:rPr>
              <w:instrText xml:space="preserve"> \@ "</w:instrText>
            </w:r>
            <w:r w:rsidRPr="00D51310">
              <w:rPr>
                <w:rFonts w:cstheme="minorHAnsi"/>
              </w:rPr>
              <w:instrText>d MMMM, yyyy" \h</w:instrText>
            </w:r>
            <w:r w:rsidRPr="00D51310">
              <w:rPr>
                <w:rFonts w:cstheme="minorHAnsi"/>
                <w:rtl/>
              </w:rPr>
              <w:instrText xml:space="preserve"> </w:instrText>
            </w:r>
            <w:r w:rsidRPr="00D51310">
              <w:rPr>
                <w:rFonts w:cstheme="minorHAnsi"/>
                <w:rtl/>
              </w:rPr>
              <w:fldChar w:fldCharType="separate"/>
            </w:r>
            <w:r w:rsidR="00270D2E">
              <w:rPr>
                <w:rFonts w:cstheme="minorHAnsi"/>
                <w:noProof/>
                <w:rtl/>
              </w:rPr>
              <w:t>‏ו' שבט, תשפ"ה</w:t>
            </w:r>
            <w:r w:rsidRPr="00D51310">
              <w:rPr>
                <w:rFonts w:cstheme="minorHAnsi"/>
                <w:rtl/>
              </w:rPr>
              <w:fldChar w:fldCharType="end"/>
            </w:r>
          </w:p>
          <w:p w14:paraId="68448917" w14:textId="5C46C765" w:rsidR="009005BA" w:rsidRPr="00D51310" w:rsidRDefault="009005BA" w:rsidP="009005BA">
            <w:pPr>
              <w:jc w:val="right"/>
              <w:rPr>
                <w:rFonts w:cstheme="minorHAnsi"/>
                <w:highlight w:val="green"/>
              </w:rPr>
            </w:pPr>
            <w:r w:rsidRPr="00D51310">
              <w:rPr>
                <w:rFonts w:cstheme="minorHAnsi"/>
                <w:rtl/>
              </w:rPr>
              <w:fldChar w:fldCharType="begin"/>
            </w:r>
            <w:r w:rsidRPr="00D51310">
              <w:rPr>
                <w:rFonts w:cstheme="minorHAnsi"/>
                <w:rtl/>
              </w:rPr>
              <w:instrText xml:space="preserve"> </w:instrText>
            </w:r>
            <w:r w:rsidRPr="00D51310">
              <w:rPr>
                <w:rFonts w:cstheme="minorHAnsi"/>
              </w:rPr>
              <w:instrText>DATE</w:instrText>
            </w:r>
            <w:r w:rsidRPr="00D51310">
              <w:rPr>
                <w:rFonts w:cstheme="minorHAnsi"/>
                <w:rtl/>
              </w:rPr>
              <w:instrText xml:space="preserve"> \@ "</w:instrText>
            </w:r>
            <w:r w:rsidRPr="00D51310">
              <w:rPr>
                <w:rFonts w:cstheme="minorHAnsi"/>
              </w:rPr>
              <w:instrText>d MMMM, yyyy</w:instrText>
            </w:r>
            <w:r w:rsidRPr="00D51310">
              <w:rPr>
                <w:rFonts w:cstheme="minorHAnsi"/>
                <w:rtl/>
              </w:rPr>
              <w:instrText xml:space="preserve">" </w:instrText>
            </w:r>
            <w:r w:rsidRPr="00D51310">
              <w:rPr>
                <w:rFonts w:cstheme="minorHAnsi"/>
                <w:rtl/>
              </w:rPr>
              <w:fldChar w:fldCharType="separate"/>
            </w:r>
            <w:r w:rsidR="00270D2E">
              <w:rPr>
                <w:rFonts w:cstheme="minorHAnsi"/>
                <w:noProof/>
                <w:rtl/>
              </w:rPr>
              <w:t>‏4 פברואר, 2025</w:t>
            </w:r>
            <w:r w:rsidRPr="00D51310">
              <w:rPr>
                <w:rFonts w:cstheme="minorHAnsi"/>
                <w:rtl/>
              </w:rPr>
              <w:fldChar w:fldCharType="end"/>
            </w:r>
          </w:p>
        </w:tc>
      </w:tr>
    </w:tbl>
    <w:p w14:paraId="0C221B79" w14:textId="77777777" w:rsidR="009005BA" w:rsidRPr="00D51310" w:rsidRDefault="009005BA" w:rsidP="008F507A">
      <w:pPr>
        <w:tabs>
          <w:tab w:val="left" w:pos="2315"/>
        </w:tabs>
        <w:spacing w:after="160"/>
        <w:rPr>
          <w:rFonts w:cstheme="minorHAnsi"/>
          <w:sz w:val="24"/>
          <w:szCs w:val="24"/>
          <w:rtl/>
        </w:rPr>
      </w:pPr>
    </w:p>
    <w:p w14:paraId="1384AEED" w14:textId="23AA47F4" w:rsidR="00D66255" w:rsidRPr="00D51310" w:rsidRDefault="008E761A" w:rsidP="009005BA">
      <w:pPr>
        <w:tabs>
          <w:tab w:val="left" w:pos="2315"/>
        </w:tabs>
        <w:rPr>
          <w:rFonts w:cstheme="minorHAnsi"/>
          <w:b/>
          <w:bCs/>
          <w:sz w:val="28"/>
          <w:szCs w:val="28"/>
          <w:rtl/>
        </w:rPr>
      </w:pPr>
      <w:r w:rsidRPr="00D51310">
        <w:rPr>
          <w:rFonts w:cstheme="minorHAnsi"/>
          <w:sz w:val="24"/>
          <w:szCs w:val="24"/>
          <w:rtl/>
        </w:rPr>
        <w:t>הודעה לעיתונות:</w:t>
      </w:r>
    </w:p>
    <w:p w14:paraId="56971423" w14:textId="39A038DD" w:rsidR="0017406E" w:rsidRPr="00270D2E" w:rsidRDefault="0017406E" w:rsidP="008F507A">
      <w:pPr>
        <w:tabs>
          <w:tab w:val="left" w:pos="2315"/>
        </w:tabs>
        <w:spacing w:after="180"/>
        <w:jc w:val="center"/>
        <w:rPr>
          <w:rFonts w:cstheme="minorHAnsi"/>
          <w:sz w:val="24"/>
          <w:szCs w:val="24"/>
          <w:rtl/>
        </w:rPr>
      </w:pPr>
      <w:r w:rsidRPr="00270D2E">
        <w:rPr>
          <w:rFonts w:cstheme="minorHAnsi"/>
          <w:sz w:val="24"/>
          <w:szCs w:val="24"/>
          <w:rtl/>
        </w:rPr>
        <w:t>ניתוח חדש שמתפרסם במסגרת סדרת "ניתוחי מדיניות וסוגיות מחקריות" של חטיבת המחקר:</w:t>
      </w:r>
    </w:p>
    <w:p w14:paraId="643775E3" w14:textId="69579048" w:rsidR="006758D9" w:rsidRPr="00D51310" w:rsidRDefault="006758D9" w:rsidP="006758D9">
      <w:pPr>
        <w:pStyle w:val="1"/>
        <w:bidi/>
        <w:jc w:val="center"/>
        <w:rPr>
          <w:rFonts w:asciiTheme="minorHAnsi" w:hAnsiTheme="minorHAnsi" w:cstheme="minorHAnsi"/>
          <w:sz w:val="28"/>
          <w:szCs w:val="28"/>
          <w:rtl/>
          <w:cs/>
        </w:rPr>
      </w:pPr>
      <w:bookmarkStart w:id="0" w:name="_GoBack"/>
      <w:r w:rsidRPr="00D51310">
        <w:rPr>
          <w:rFonts w:asciiTheme="minorHAnsi" w:hAnsiTheme="minorHAnsi" w:cstheme="minorHAnsi"/>
          <w:sz w:val="28"/>
          <w:szCs w:val="28"/>
          <w:rtl/>
        </w:rPr>
        <w:t>השפעת המדיניות המוניטרית ות</w:t>
      </w:r>
      <w:r w:rsidR="00807E47" w:rsidRPr="00D51310">
        <w:rPr>
          <w:rFonts w:asciiTheme="minorHAnsi" w:hAnsiTheme="minorHAnsi" w:cstheme="minorHAnsi"/>
          <w:sz w:val="28"/>
          <w:szCs w:val="28"/>
          <w:rtl/>
        </w:rPr>
        <w:t>ִ</w:t>
      </w:r>
      <w:r w:rsidRPr="00D51310">
        <w:rPr>
          <w:rFonts w:asciiTheme="minorHAnsi" w:hAnsiTheme="minorHAnsi" w:cstheme="minorHAnsi"/>
          <w:sz w:val="28"/>
          <w:szCs w:val="28"/>
          <w:rtl/>
        </w:rPr>
        <w:t>קשורה על שער החליפין ועל אי-הוודאות לגביו</w:t>
      </w:r>
    </w:p>
    <w:bookmarkEnd w:id="0"/>
    <w:p w14:paraId="0C05A4A1" w14:textId="4C368A96" w:rsidR="00E71D38" w:rsidRDefault="00325B5B" w:rsidP="0074343C">
      <w:pPr>
        <w:pStyle w:val="a5"/>
        <w:numPr>
          <w:ilvl w:val="0"/>
          <w:numId w:val="17"/>
        </w:numPr>
        <w:spacing w:after="160"/>
        <w:ind w:left="357" w:hanging="357"/>
        <w:contextualSpacing w:val="0"/>
        <w:jc w:val="both"/>
        <w:rPr>
          <w:rFonts w:cstheme="minorHAnsi"/>
          <w:sz w:val="24"/>
          <w:szCs w:val="24"/>
        </w:rPr>
      </w:pPr>
      <w:r w:rsidRPr="00D51310">
        <w:rPr>
          <w:rFonts w:cstheme="minorHAnsi"/>
          <w:sz w:val="24"/>
          <w:szCs w:val="24"/>
          <w:rtl/>
        </w:rPr>
        <w:t xml:space="preserve">ניתוח </w:t>
      </w:r>
      <w:r w:rsidR="00BE499B">
        <w:rPr>
          <w:rFonts w:cstheme="minorHAnsi" w:hint="cs"/>
          <w:sz w:val="24"/>
          <w:szCs w:val="24"/>
          <w:rtl/>
        </w:rPr>
        <w:t>ש</w:t>
      </w:r>
      <w:r w:rsidR="00D671E3" w:rsidRPr="00D51310">
        <w:rPr>
          <w:rFonts w:cstheme="minorHAnsi"/>
          <w:sz w:val="24"/>
          <w:szCs w:val="24"/>
          <w:rtl/>
        </w:rPr>
        <w:t>בחן את ההשפעה של השינויים בריבית בנק ישראל ופרסום התחזית המקרו-כלכלית של חטיבת המחקר</w:t>
      </w:r>
      <w:r w:rsidRPr="00D51310">
        <w:rPr>
          <w:rFonts w:cstheme="minorHAnsi"/>
          <w:sz w:val="24"/>
          <w:szCs w:val="24"/>
          <w:rtl/>
        </w:rPr>
        <w:t xml:space="preserve"> </w:t>
      </w:r>
      <w:r w:rsidR="00BE499B">
        <w:rPr>
          <w:rFonts w:cstheme="minorHAnsi" w:hint="cs"/>
          <w:sz w:val="24"/>
          <w:szCs w:val="24"/>
          <w:rtl/>
        </w:rPr>
        <w:t>מצא כי ל</w:t>
      </w:r>
      <w:r w:rsidR="00BE499B" w:rsidRPr="00BE499B">
        <w:rPr>
          <w:rFonts w:cstheme="minorHAnsi"/>
          <w:sz w:val="24"/>
          <w:szCs w:val="24"/>
          <w:rtl/>
        </w:rPr>
        <w:t xml:space="preserve">הפחתת ריבית </w:t>
      </w:r>
      <w:r w:rsidR="00BE499B">
        <w:rPr>
          <w:rFonts w:cstheme="minorHAnsi" w:hint="cs"/>
          <w:sz w:val="24"/>
          <w:szCs w:val="24"/>
          <w:rtl/>
        </w:rPr>
        <w:t xml:space="preserve">הייתה </w:t>
      </w:r>
      <w:r w:rsidR="00BE499B" w:rsidRPr="00BE499B">
        <w:rPr>
          <w:rFonts w:cstheme="minorHAnsi"/>
          <w:sz w:val="24"/>
          <w:szCs w:val="24"/>
          <w:rtl/>
        </w:rPr>
        <w:t xml:space="preserve">השפעה גדולה יותר על שער החליפין מאשר </w:t>
      </w:r>
      <w:r w:rsidR="00BE499B">
        <w:rPr>
          <w:rFonts w:cstheme="minorHAnsi" w:hint="cs"/>
          <w:sz w:val="24"/>
          <w:szCs w:val="24"/>
          <w:rtl/>
        </w:rPr>
        <w:t>ל</w:t>
      </w:r>
      <w:r w:rsidR="00BE499B" w:rsidRPr="00BE499B">
        <w:rPr>
          <w:rFonts w:cstheme="minorHAnsi"/>
          <w:sz w:val="24"/>
          <w:szCs w:val="24"/>
          <w:rtl/>
        </w:rPr>
        <w:t>העלאת ריבית</w:t>
      </w:r>
      <w:r w:rsidR="000A6B7E">
        <w:rPr>
          <w:rFonts w:cstheme="minorHAnsi" w:hint="cs"/>
          <w:sz w:val="24"/>
          <w:szCs w:val="24"/>
          <w:rtl/>
        </w:rPr>
        <w:t>,</w:t>
      </w:r>
      <w:r w:rsidR="0074343C">
        <w:rPr>
          <w:rFonts w:cstheme="minorHAnsi" w:hint="cs"/>
          <w:sz w:val="24"/>
          <w:szCs w:val="24"/>
          <w:rtl/>
        </w:rPr>
        <w:t xml:space="preserve"> וכי </w:t>
      </w:r>
      <w:r w:rsidR="0074343C" w:rsidRPr="0074343C">
        <w:rPr>
          <w:rFonts w:cstheme="minorHAnsi"/>
          <w:sz w:val="24"/>
          <w:szCs w:val="24"/>
          <w:rtl/>
        </w:rPr>
        <w:t>החלטות ריבית המלוות בפרסום של תחזית ובמסיבת עיתונאים מפחיתות את אי-הוודאות לגבי שער החליפין, בהשוואה להחלטות ריבית שלא כוללות פרסום תחזית.</w:t>
      </w:r>
      <w:r w:rsidR="00D671E3" w:rsidRPr="00D51310">
        <w:rPr>
          <w:rFonts w:cstheme="minorHAnsi"/>
          <w:sz w:val="24"/>
          <w:szCs w:val="24"/>
          <w:rtl/>
        </w:rPr>
        <w:t xml:space="preserve"> </w:t>
      </w:r>
    </w:p>
    <w:p w14:paraId="61740627" w14:textId="7E1130B4" w:rsidR="00D671E3" w:rsidRPr="000A6B7E" w:rsidRDefault="00D671E3" w:rsidP="00464964">
      <w:pPr>
        <w:pStyle w:val="a5"/>
        <w:numPr>
          <w:ilvl w:val="0"/>
          <w:numId w:val="17"/>
        </w:numPr>
        <w:spacing w:after="160"/>
        <w:ind w:left="357" w:hanging="357"/>
        <w:contextualSpacing w:val="0"/>
        <w:jc w:val="both"/>
        <w:rPr>
          <w:rFonts w:cstheme="minorHAnsi"/>
          <w:sz w:val="24"/>
          <w:szCs w:val="24"/>
          <w:rtl/>
        </w:rPr>
      </w:pPr>
      <w:r w:rsidRPr="000A6B7E">
        <w:rPr>
          <w:rFonts w:cstheme="minorHAnsi"/>
          <w:sz w:val="24"/>
          <w:szCs w:val="24"/>
          <w:rtl/>
        </w:rPr>
        <w:t>הסבר אפשרי לאסימטריה</w:t>
      </w:r>
      <w:r w:rsidR="0074343C" w:rsidRPr="000A6B7E">
        <w:rPr>
          <w:rFonts w:cstheme="minorHAnsi" w:hint="cs"/>
          <w:sz w:val="24"/>
          <w:szCs w:val="24"/>
          <w:rtl/>
        </w:rPr>
        <w:t xml:space="preserve"> בהשפעת השינויים בריבית על שער החליפין</w:t>
      </w:r>
      <w:r w:rsidRPr="000A6B7E">
        <w:rPr>
          <w:rFonts w:cstheme="minorHAnsi"/>
          <w:sz w:val="24"/>
          <w:szCs w:val="24"/>
          <w:rtl/>
        </w:rPr>
        <w:t xml:space="preserve"> הוא שסטייה של הריבית מציפיות השוק מגבירה את אי-הוודאות ומובילה</w:t>
      </w:r>
      <w:r w:rsidR="00464964">
        <w:rPr>
          <w:rFonts w:cstheme="minorHAnsi" w:hint="cs"/>
          <w:sz w:val="24"/>
          <w:szCs w:val="24"/>
          <w:rtl/>
        </w:rPr>
        <w:t xml:space="preserve"> גם</w:t>
      </w:r>
      <w:r w:rsidRPr="000A6B7E">
        <w:rPr>
          <w:rFonts w:cstheme="minorHAnsi"/>
          <w:sz w:val="24"/>
          <w:szCs w:val="24"/>
          <w:rtl/>
        </w:rPr>
        <w:t xml:space="preserve"> לפיחות של השקל. פיחות זה </w:t>
      </w:r>
      <w:r w:rsidR="00BE499B" w:rsidRPr="000A6B7E">
        <w:rPr>
          <w:rFonts w:cstheme="minorHAnsi" w:hint="cs"/>
          <w:sz w:val="24"/>
          <w:szCs w:val="24"/>
          <w:rtl/>
        </w:rPr>
        <w:t>מקזז</w:t>
      </w:r>
      <w:r w:rsidRPr="000A6B7E">
        <w:rPr>
          <w:rFonts w:cstheme="minorHAnsi"/>
          <w:sz w:val="24"/>
          <w:szCs w:val="24"/>
          <w:rtl/>
        </w:rPr>
        <w:t xml:space="preserve"> חלק מההשפעה המייספת של העלאת ריבית </w:t>
      </w:r>
      <w:r w:rsidR="000A6B7E" w:rsidRPr="000A6B7E">
        <w:rPr>
          <w:rFonts w:cstheme="minorHAnsi" w:hint="cs"/>
          <w:sz w:val="24"/>
          <w:szCs w:val="24"/>
          <w:rtl/>
        </w:rPr>
        <w:t>ומגביר את</w:t>
      </w:r>
      <w:r w:rsidR="000A6B7E" w:rsidRPr="000A6B7E">
        <w:rPr>
          <w:rFonts w:cstheme="minorHAnsi"/>
          <w:sz w:val="24"/>
          <w:szCs w:val="24"/>
          <w:rtl/>
        </w:rPr>
        <w:t xml:space="preserve"> </w:t>
      </w:r>
      <w:r w:rsidRPr="000A6B7E">
        <w:rPr>
          <w:rFonts w:cstheme="minorHAnsi"/>
          <w:sz w:val="24"/>
          <w:szCs w:val="24"/>
          <w:rtl/>
        </w:rPr>
        <w:t xml:space="preserve">ההשפעה </w:t>
      </w:r>
      <w:proofErr w:type="spellStart"/>
      <w:r w:rsidRPr="000A6B7E">
        <w:rPr>
          <w:rFonts w:cstheme="minorHAnsi"/>
          <w:sz w:val="24"/>
          <w:szCs w:val="24"/>
          <w:rtl/>
        </w:rPr>
        <w:t>המפחתת</w:t>
      </w:r>
      <w:proofErr w:type="spellEnd"/>
      <w:r w:rsidRPr="000A6B7E">
        <w:rPr>
          <w:rFonts w:cstheme="minorHAnsi"/>
          <w:sz w:val="24"/>
          <w:szCs w:val="24"/>
          <w:rtl/>
        </w:rPr>
        <w:t xml:space="preserve"> של הורדת ריבית. </w:t>
      </w:r>
    </w:p>
    <w:p w14:paraId="62484AAB" w14:textId="5ED9DE46" w:rsidR="00A548BB" w:rsidRPr="00D51310" w:rsidRDefault="0074343C" w:rsidP="0074343C">
      <w:pPr>
        <w:pStyle w:val="a5"/>
        <w:numPr>
          <w:ilvl w:val="0"/>
          <w:numId w:val="17"/>
        </w:numPr>
        <w:spacing w:after="160"/>
        <w:contextualSpacing w:val="0"/>
        <w:jc w:val="both"/>
        <w:rPr>
          <w:rFonts w:cstheme="minorHAnsi"/>
          <w:sz w:val="24"/>
          <w:szCs w:val="24"/>
        </w:rPr>
      </w:pPr>
      <w:r>
        <w:rPr>
          <w:rFonts w:cstheme="minorHAnsi" w:hint="cs"/>
          <w:sz w:val="24"/>
          <w:szCs w:val="24"/>
          <w:rtl/>
        </w:rPr>
        <w:t>נמצא כי</w:t>
      </w:r>
      <w:r w:rsidR="00A548BB" w:rsidRPr="00D51310">
        <w:rPr>
          <w:rFonts w:cstheme="minorHAnsi"/>
          <w:sz w:val="24"/>
          <w:szCs w:val="24"/>
          <w:rtl/>
        </w:rPr>
        <w:t xml:space="preserve"> כאשר התחזית לריבית בעוד שנה סוטה מתחזית השוק, הירידה באי הוודאות קטנה יותר.</w:t>
      </w:r>
    </w:p>
    <w:p w14:paraId="0A655CB7" w14:textId="7A0F5A8E" w:rsidR="006758D9" w:rsidRPr="00D51310" w:rsidRDefault="006758D9" w:rsidP="00774A80">
      <w:pPr>
        <w:pStyle w:val="a5"/>
        <w:numPr>
          <w:ilvl w:val="0"/>
          <w:numId w:val="17"/>
        </w:numPr>
        <w:spacing w:after="160"/>
        <w:contextualSpacing w:val="0"/>
        <w:jc w:val="both"/>
        <w:rPr>
          <w:rFonts w:cstheme="minorHAnsi"/>
          <w:sz w:val="24"/>
          <w:szCs w:val="24"/>
        </w:rPr>
      </w:pPr>
      <w:r w:rsidRPr="00D51310">
        <w:rPr>
          <w:rFonts w:cstheme="minorHAnsi"/>
          <w:sz w:val="24"/>
          <w:szCs w:val="24"/>
          <w:rtl/>
        </w:rPr>
        <w:t>ממצאי הניתוח מדגישים את החשיבות של שקיפות ומתן מידע על ידי הבנק המרכזי, כולל פרסום תחזיות וקיום מסיבות עיתונאים, בהפחתת אי-הוו</w:t>
      </w:r>
      <w:r w:rsidR="00A548BB" w:rsidRPr="00D51310">
        <w:rPr>
          <w:rFonts w:cstheme="minorHAnsi"/>
          <w:sz w:val="24"/>
          <w:szCs w:val="24"/>
          <w:rtl/>
        </w:rPr>
        <w:t>דאות בשווקים הפיננסיים</w:t>
      </w:r>
      <w:r w:rsidRPr="00D51310">
        <w:rPr>
          <w:rFonts w:cstheme="minorHAnsi"/>
          <w:sz w:val="24"/>
          <w:szCs w:val="24"/>
          <w:rtl/>
        </w:rPr>
        <w:t>.</w:t>
      </w:r>
    </w:p>
    <w:p w14:paraId="0D9881EF" w14:textId="4B58487C" w:rsidR="00D671E3" w:rsidRPr="00D51310" w:rsidRDefault="00D671E3" w:rsidP="00B67A12">
      <w:pPr>
        <w:spacing w:before="240" w:line="360" w:lineRule="auto"/>
        <w:jc w:val="both"/>
        <w:rPr>
          <w:rFonts w:cstheme="minorHAnsi"/>
          <w:sz w:val="24"/>
          <w:szCs w:val="24"/>
          <w:rtl/>
        </w:rPr>
      </w:pPr>
      <w:r w:rsidRPr="00D51310">
        <w:rPr>
          <w:rFonts w:cstheme="minorHAnsi"/>
          <w:sz w:val="24"/>
          <w:szCs w:val="24"/>
          <w:rtl/>
        </w:rPr>
        <w:t xml:space="preserve">שער החליפין </w:t>
      </w:r>
      <w:r w:rsidR="00B67A12">
        <w:rPr>
          <w:rFonts w:cstheme="minorHAnsi" w:hint="cs"/>
          <w:sz w:val="24"/>
          <w:szCs w:val="24"/>
          <w:rtl/>
        </w:rPr>
        <w:t>הוא</w:t>
      </w:r>
      <w:r w:rsidR="00B67A12" w:rsidRPr="00D51310">
        <w:rPr>
          <w:rFonts w:cstheme="minorHAnsi"/>
          <w:sz w:val="24"/>
          <w:szCs w:val="24"/>
          <w:rtl/>
        </w:rPr>
        <w:t xml:space="preserve"> </w:t>
      </w:r>
      <w:r w:rsidR="00E71D38" w:rsidRPr="00D51310">
        <w:rPr>
          <w:rFonts w:cstheme="minorHAnsi"/>
          <w:sz w:val="24"/>
          <w:szCs w:val="24"/>
          <w:rtl/>
        </w:rPr>
        <w:t>אחד ממנגנוני ה</w:t>
      </w:r>
      <w:r w:rsidRPr="00D51310">
        <w:rPr>
          <w:rFonts w:cstheme="minorHAnsi"/>
          <w:sz w:val="24"/>
          <w:szCs w:val="24"/>
          <w:rtl/>
        </w:rPr>
        <w:t xml:space="preserve">תמסורת </w:t>
      </w:r>
      <w:r w:rsidR="0074343C">
        <w:rPr>
          <w:rFonts w:cstheme="minorHAnsi" w:hint="cs"/>
          <w:sz w:val="24"/>
          <w:szCs w:val="24"/>
          <w:rtl/>
        </w:rPr>
        <w:t>ה</w:t>
      </w:r>
      <w:r w:rsidRPr="00D51310">
        <w:rPr>
          <w:rFonts w:cstheme="minorHAnsi"/>
          <w:sz w:val="24"/>
          <w:szCs w:val="24"/>
          <w:rtl/>
        </w:rPr>
        <w:t>מרכזי</w:t>
      </w:r>
      <w:r w:rsidR="00E71D38" w:rsidRPr="00D51310">
        <w:rPr>
          <w:rFonts w:cstheme="minorHAnsi"/>
          <w:sz w:val="24"/>
          <w:szCs w:val="24"/>
          <w:rtl/>
        </w:rPr>
        <w:t>ים</w:t>
      </w:r>
      <w:r w:rsidRPr="00D51310">
        <w:rPr>
          <w:rFonts w:cstheme="minorHAnsi"/>
          <w:sz w:val="24"/>
          <w:szCs w:val="24"/>
          <w:rtl/>
        </w:rPr>
        <w:t xml:space="preserve"> של המדיניות המוניטרית. </w:t>
      </w:r>
      <w:r w:rsidR="00325B5B" w:rsidRPr="00D51310">
        <w:rPr>
          <w:rFonts w:cstheme="minorHAnsi"/>
          <w:sz w:val="24"/>
          <w:szCs w:val="24"/>
          <w:rtl/>
        </w:rPr>
        <w:t>המדיניות משפיעה על שער החליפין בשני אופנים</w:t>
      </w:r>
      <w:r w:rsidRPr="00D51310">
        <w:rPr>
          <w:rFonts w:cstheme="minorHAnsi"/>
          <w:sz w:val="24"/>
          <w:szCs w:val="24"/>
          <w:rtl/>
        </w:rPr>
        <w:t>: באופן ישיר דרך השפעת הריבית על פער הריביות מול העולם</w:t>
      </w:r>
      <w:r w:rsidR="00F11304" w:rsidRPr="00D51310">
        <w:rPr>
          <w:rFonts w:cstheme="minorHAnsi"/>
          <w:sz w:val="24"/>
          <w:szCs w:val="24"/>
          <w:rtl/>
        </w:rPr>
        <w:t>,</w:t>
      </w:r>
      <w:r w:rsidRPr="00D51310">
        <w:rPr>
          <w:rFonts w:cstheme="minorHAnsi"/>
          <w:sz w:val="24"/>
          <w:szCs w:val="24"/>
          <w:rtl/>
        </w:rPr>
        <w:t xml:space="preserve"> </w:t>
      </w:r>
      <w:r w:rsidR="00325B5B" w:rsidRPr="00D51310">
        <w:rPr>
          <w:rFonts w:cstheme="minorHAnsi"/>
          <w:sz w:val="24"/>
          <w:szCs w:val="24"/>
          <w:rtl/>
        </w:rPr>
        <w:t xml:space="preserve">ובאופן עקיף </w:t>
      </w:r>
      <w:r w:rsidRPr="00D51310">
        <w:rPr>
          <w:rFonts w:cstheme="minorHAnsi"/>
          <w:sz w:val="24"/>
          <w:szCs w:val="24"/>
          <w:rtl/>
        </w:rPr>
        <w:t>דרך השפעה על אי-הוודאות בשווקים</w:t>
      </w:r>
      <w:r w:rsidR="004C0EC4">
        <w:rPr>
          <w:rFonts w:cstheme="minorHAnsi" w:hint="cs"/>
          <w:sz w:val="24"/>
          <w:szCs w:val="24"/>
          <w:rtl/>
        </w:rPr>
        <w:t xml:space="preserve">, שכן רמת שער החליפין </w:t>
      </w:r>
      <w:r w:rsidR="00B67A12">
        <w:rPr>
          <w:rFonts w:cstheme="minorHAnsi" w:hint="cs"/>
          <w:sz w:val="24"/>
          <w:szCs w:val="24"/>
          <w:rtl/>
        </w:rPr>
        <w:t>בהווה</w:t>
      </w:r>
      <w:r w:rsidR="004C0EC4">
        <w:rPr>
          <w:rFonts w:cstheme="minorHAnsi" w:hint="cs"/>
          <w:sz w:val="24"/>
          <w:szCs w:val="24"/>
          <w:rtl/>
        </w:rPr>
        <w:t xml:space="preserve"> מושפעת גם מהתנודתיות הצפויה בעתיד</w:t>
      </w:r>
      <w:r w:rsidRPr="00D51310">
        <w:rPr>
          <w:rFonts w:cstheme="minorHAnsi"/>
          <w:sz w:val="24"/>
          <w:szCs w:val="24"/>
          <w:rtl/>
        </w:rPr>
        <w:t>. האופן שבו הבנק המרכזי מעביר לציבור את החלטותיו וציפיותיו לגבי העתיד, ומידת הבהירות שבה הוא בוחר לתקשר את מדיניותו, עשויים להשפיע על אי-הוודאות</w:t>
      </w:r>
      <w:r w:rsidR="00E73941" w:rsidRPr="00D51310">
        <w:rPr>
          <w:rFonts w:cstheme="minorHAnsi"/>
          <w:sz w:val="24"/>
          <w:szCs w:val="24"/>
          <w:rtl/>
        </w:rPr>
        <w:t xml:space="preserve"> לגבי המדיניות</w:t>
      </w:r>
      <w:r w:rsidRPr="00D51310">
        <w:rPr>
          <w:rFonts w:cstheme="minorHAnsi"/>
          <w:sz w:val="24"/>
          <w:szCs w:val="24"/>
          <w:rtl/>
        </w:rPr>
        <w:t>.</w:t>
      </w:r>
    </w:p>
    <w:p w14:paraId="14AB0EC5" w14:textId="32B61D18" w:rsidR="00F11304" w:rsidRPr="00D51310" w:rsidRDefault="00807E47" w:rsidP="0074343C">
      <w:pPr>
        <w:spacing w:line="360" w:lineRule="auto"/>
        <w:jc w:val="both"/>
        <w:rPr>
          <w:rFonts w:cstheme="minorHAnsi"/>
          <w:sz w:val="24"/>
          <w:szCs w:val="24"/>
          <w:rtl/>
        </w:rPr>
      </w:pPr>
      <w:r w:rsidRPr="00D51310">
        <w:rPr>
          <w:rFonts w:cstheme="minorHAnsi"/>
          <w:sz w:val="24"/>
          <w:szCs w:val="24"/>
          <w:rtl/>
        </w:rPr>
        <w:t>תִקשור</w:t>
      </w:r>
      <w:r w:rsidR="001C67EF" w:rsidRPr="00D51310">
        <w:rPr>
          <w:rFonts w:cstheme="minorHAnsi"/>
          <w:sz w:val="24"/>
          <w:szCs w:val="24"/>
          <w:rtl/>
        </w:rPr>
        <w:t xml:space="preserve"> המדיניות המוניטרית מצד בנק ישראל הפך שקוף יותר </w:t>
      </w:r>
      <w:r w:rsidR="00F11304" w:rsidRPr="00D51310">
        <w:rPr>
          <w:rFonts w:cstheme="minorHAnsi"/>
          <w:sz w:val="24"/>
          <w:szCs w:val="24"/>
          <w:rtl/>
        </w:rPr>
        <w:t>לאורך השנים</w:t>
      </w:r>
      <w:r w:rsidR="0074343C">
        <w:rPr>
          <w:rFonts w:cstheme="minorHAnsi" w:hint="cs"/>
          <w:sz w:val="24"/>
          <w:szCs w:val="24"/>
          <w:rtl/>
        </w:rPr>
        <w:t>,</w:t>
      </w:r>
      <w:r w:rsidR="00E71D38" w:rsidRPr="00D51310">
        <w:rPr>
          <w:rFonts w:cstheme="minorHAnsi"/>
          <w:sz w:val="24"/>
          <w:szCs w:val="24"/>
          <w:rtl/>
        </w:rPr>
        <w:t xml:space="preserve"> בדומה למגמה </w:t>
      </w:r>
      <w:r w:rsidR="00D51310">
        <w:rPr>
          <w:rFonts w:cstheme="minorHAnsi" w:hint="cs"/>
          <w:sz w:val="24"/>
          <w:szCs w:val="24"/>
          <w:rtl/>
        </w:rPr>
        <w:t>ב</w:t>
      </w:r>
      <w:r w:rsidR="00E71D38" w:rsidRPr="00D51310">
        <w:rPr>
          <w:rFonts w:cstheme="minorHAnsi"/>
          <w:sz w:val="24"/>
          <w:szCs w:val="24"/>
          <w:rtl/>
        </w:rPr>
        <w:t>בנקים מרכזיים אחרים בעולם</w:t>
      </w:r>
      <w:r w:rsidR="001C67EF" w:rsidRPr="00D51310">
        <w:rPr>
          <w:rFonts w:cstheme="minorHAnsi"/>
          <w:sz w:val="24"/>
          <w:szCs w:val="24"/>
          <w:rtl/>
        </w:rPr>
        <w:t xml:space="preserve">. החל בדצמבר 2011 </w:t>
      </w:r>
      <w:r w:rsidR="0074343C">
        <w:rPr>
          <w:rFonts w:cstheme="minorHAnsi" w:hint="cs"/>
          <w:sz w:val="24"/>
          <w:szCs w:val="24"/>
          <w:rtl/>
        </w:rPr>
        <w:t>הבנק מפרסם מדי רבעון</w:t>
      </w:r>
      <w:r w:rsidR="001C67EF" w:rsidRPr="00D51310">
        <w:rPr>
          <w:rFonts w:cstheme="minorHAnsi"/>
          <w:sz w:val="24"/>
          <w:szCs w:val="24"/>
          <w:rtl/>
        </w:rPr>
        <w:t xml:space="preserve"> תחזית מקרו-כלכלית</w:t>
      </w:r>
      <w:r w:rsidR="000F33DC" w:rsidRPr="00D51310">
        <w:rPr>
          <w:rFonts w:cstheme="minorHAnsi"/>
          <w:sz w:val="24"/>
          <w:szCs w:val="24"/>
          <w:rtl/>
        </w:rPr>
        <w:t xml:space="preserve"> של חטיבת המחקר</w:t>
      </w:r>
      <w:r w:rsidR="000A6B7E">
        <w:rPr>
          <w:rFonts w:cstheme="minorHAnsi" w:hint="cs"/>
          <w:sz w:val="24"/>
          <w:szCs w:val="24"/>
          <w:rtl/>
        </w:rPr>
        <w:t xml:space="preserve">, </w:t>
      </w:r>
      <w:r w:rsidR="00774A80" w:rsidRPr="00D51310">
        <w:rPr>
          <w:rFonts w:cstheme="minorHAnsi"/>
          <w:sz w:val="24"/>
          <w:szCs w:val="24"/>
          <w:rtl/>
        </w:rPr>
        <w:t>במקביל להחלטות הריבית, כך שחלק מהחלטות הריבית מלוות בפרסום תחזית וחלק לא. בנוסף,</w:t>
      </w:r>
      <w:r w:rsidR="001C67EF" w:rsidRPr="00D51310">
        <w:rPr>
          <w:rFonts w:cstheme="minorHAnsi"/>
          <w:sz w:val="24"/>
          <w:szCs w:val="24"/>
          <w:rtl/>
        </w:rPr>
        <w:t xml:space="preserve"> מאז יוני 2015 </w:t>
      </w:r>
      <w:r w:rsidR="00774A80" w:rsidRPr="00D51310">
        <w:rPr>
          <w:rFonts w:cstheme="minorHAnsi"/>
          <w:sz w:val="24"/>
          <w:szCs w:val="24"/>
          <w:rtl/>
        </w:rPr>
        <w:t xml:space="preserve">פרסום </w:t>
      </w:r>
      <w:r w:rsidR="001C67EF" w:rsidRPr="00D51310">
        <w:rPr>
          <w:rFonts w:cstheme="minorHAnsi"/>
          <w:sz w:val="24"/>
          <w:szCs w:val="24"/>
          <w:rtl/>
        </w:rPr>
        <w:t xml:space="preserve">התחזית </w:t>
      </w:r>
      <w:r w:rsidR="00774A80" w:rsidRPr="00D51310">
        <w:rPr>
          <w:rFonts w:cstheme="minorHAnsi"/>
          <w:sz w:val="24"/>
          <w:szCs w:val="24"/>
          <w:rtl/>
        </w:rPr>
        <w:t xml:space="preserve">מלווה </w:t>
      </w:r>
      <w:r w:rsidR="00E71D38" w:rsidRPr="00D51310">
        <w:rPr>
          <w:rFonts w:cstheme="minorHAnsi"/>
          <w:sz w:val="24"/>
          <w:szCs w:val="24"/>
          <w:rtl/>
        </w:rPr>
        <w:t xml:space="preserve">לרוב </w:t>
      </w:r>
      <w:r w:rsidR="00774A80" w:rsidRPr="00D51310">
        <w:rPr>
          <w:rFonts w:cstheme="minorHAnsi"/>
          <w:sz w:val="24"/>
          <w:szCs w:val="24"/>
          <w:rtl/>
        </w:rPr>
        <w:t>ב</w:t>
      </w:r>
      <w:r w:rsidR="001C67EF" w:rsidRPr="00D51310">
        <w:rPr>
          <w:rFonts w:cstheme="minorHAnsi"/>
          <w:sz w:val="24"/>
          <w:szCs w:val="24"/>
          <w:rtl/>
        </w:rPr>
        <w:t xml:space="preserve">מסיבת עיתונאים של נגיד בנק ישראל בה </w:t>
      </w:r>
      <w:r w:rsidR="00774A80" w:rsidRPr="00D51310">
        <w:rPr>
          <w:rFonts w:cstheme="minorHAnsi"/>
          <w:sz w:val="24"/>
          <w:szCs w:val="24"/>
          <w:rtl/>
        </w:rPr>
        <w:t xml:space="preserve">הוא </w:t>
      </w:r>
      <w:r w:rsidR="00DA6607">
        <w:rPr>
          <w:rFonts w:cstheme="minorHAnsi" w:hint="cs"/>
          <w:sz w:val="24"/>
          <w:szCs w:val="24"/>
          <w:rtl/>
        </w:rPr>
        <w:t xml:space="preserve">או היא </w:t>
      </w:r>
      <w:r w:rsidR="00774A80" w:rsidRPr="00D51310">
        <w:rPr>
          <w:rFonts w:cstheme="minorHAnsi"/>
          <w:sz w:val="24"/>
          <w:szCs w:val="24"/>
          <w:rtl/>
        </w:rPr>
        <w:t>מפרט</w:t>
      </w:r>
      <w:r w:rsidR="00DA6607">
        <w:rPr>
          <w:rFonts w:cstheme="minorHAnsi" w:hint="cs"/>
          <w:sz w:val="24"/>
          <w:szCs w:val="24"/>
          <w:rtl/>
        </w:rPr>
        <w:t>ים</w:t>
      </w:r>
      <w:r w:rsidR="00774A80" w:rsidRPr="00D51310">
        <w:rPr>
          <w:rFonts w:cstheme="minorHAnsi"/>
          <w:sz w:val="24"/>
          <w:szCs w:val="24"/>
          <w:rtl/>
        </w:rPr>
        <w:t xml:space="preserve"> </w:t>
      </w:r>
      <w:r w:rsidR="00E73941" w:rsidRPr="00D51310">
        <w:rPr>
          <w:rFonts w:cstheme="minorHAnsi"/>
          <w:sz w:val="24"/>
          <w:szCs w:val="24"/>
          <w:rtl/>
        </w:rPr>
        <w:t xml:space="preserve">את </w:t>
      </w:r>
      <w:r w:rsidR="001C67EF" w:rsidRPr="00D51310">
        <w:rPr>
          <w:rFonts w:cstheme="minorHAnsi"/>
          <w:sz w:val="24"/>
          <w:szCs w:val="24"/>
          <w:rtl/>
        </w:rPr>
        <w:t>שיקולי המדיניות ו</w:t>
      </w:r>
      <w:r w:rsidR="00DA6607">
        <w:rPr>
          <w:rFonts w:cstheme="minorHAnsi" w:hint="cs"/>
          <w:sz w:val="24"/>
          <w:szCs w:val="24"/>
          <w:rtl/>
        </w:rPr>
        <w:t xml:space="preserve">את </w:t>
      </w:r>
      <w:r w:rsidR="001C67EF" w:rsidRPr="00D51310">
        <w:rPr>
          <w:rFonts w:cstheme="minorHAnsi"/>
          <w:sz w:val="24"/>
          <w:szCs w:val="24"/>
          <w:rtl/>
        </w:rPr>
        <w:t>תמונת המצב כפי ש</w:t>
      </w:r>
      <w:r w:rsidR="00774A80" w:rsidRPr="00D51310">
        <w:rPr>
          <w:rFonts w:cstheme="minorHAnsi"/>
          <w:sz w:val="24"/>
          <w:szCs w:val="24"/>
          <w:rtl/>
        </w:rPr>
        <w:t>רואה אותה</w:t>
      </w:r>
      <w:r w:rsidR="001C67EF" w:rsidRPr="00D51310">
        <w:rPr>
          <w:rFonts w:cstheme="minorHAnsi"/>
          <w:sz w:val="24"/>
          <w:szCs w:val="24"/>
          <w:rtl/>
        </w:rPr>
        <w:t xml:space="preserve"> הוועדה המוניטרית</w:t>
      </w:r>
      <w:r w:rsidR="00774A80" w:rsidRPr="00D51310">
        <w:rPr>
          <w:rFonts w:cstheme="minorHAnsi"/>
          <w:sz w:val="24"/>
          <w:szCs w:val="24"/>
          <w:rtl/>
        </w:rPr>
        <w:t xml:space="preserve"> ו</w:t>
      </w:r>
      <w:r w:rsidR="001C67EF" w:rsidRPr="00D51310">
        <w:rPr>
          <w:rFonts w:cstheme="minorHAnsi"/>
          <w:sz w:val="24"/>
          <w:szCs w:val="24"/>
          <w:rtl/>
        </w:rPr>
        <w:t xml:space="preserve">משיב על שאלות </w:t>
      </w:r>
      <w:r w:rsidR="00774A80" w:rsidRPr="00D51310">
        <w:rPr>
          <w:rFonts w:cstheme="minorHAnsi"/>
          <w:sz w:val="24"/>
          <w:szCs w:val="24"/>
          <w:rtl/>
        </w:rPr>
        <w:t>העיתונאים</w:t>
      </w:r>
      <w:r w:rsidR="001C67EF" w:rsidRPr="00D51310">
        <w:rPr>
          <w:rFonts w:cstheme="minorHAnsi"/>
          <w:sz w:val="24"/>
          <w:szCs w:val="24"/>
          <w:rtl/>
        </w:rPr>
        <w:t>.</w:t>
      </w:r>
      <w:r w:rsidR="00F11304" w:rsidRPr="00D51310">
        <w:rPr>
          <w:rFonts w:cstheme="minorHAnsi"/>
          <w:sz w:val="24"/>
          <w:szCs w:val="24"/>
          <w:rtl/>
        </w:rPr>
        <w:t xml:space="preserve"> </w:t>
      </w:r>
    </w:p>
    <w:p w14:paraId="2633C6B4" w14:textId="0EA21F50" w:rsidR="00D671E3" w:rsidRPr="00D51310" w:rsidRDefault="00774A80" w:rsidP="007B0125">
      <w:pPr>
        <w:spacing w:line="360" w:lineRule="auto"/>
        <w:jc w:val="both"/>
        <w:rPr>
          <w:rFonts w:cstheme="minorHAnsi"/>
          <w:sz w:val="24"/>
          <w:szCs w:val="24"/>
          <w:rtl/>
        </w:rPr>
      </w:pPr>
      <w:r w:rsidRPr="00D51310">
        <w:rPr>
          <w:rFonts w:cstheme="minorHAnsi"/>
          <w:sz w:val="24"/>
          <w:szCs w:val="24"/>
          <w:rtl/>
        </w:rPr>
        <w:t xml:space="preserve">ניתוח </w:t>
      </w:r>
      <w:r w:rsidR="0017406E" w:rsidRPr="00D51310">
        <w:rPr>
          <w:rFonts w:cstheme="minorHAnsi"/>
          <w:sz w:val="24"/>
          <w:szCs w:val="24"/>
          <w:rtl/>
        </w:rPr>
        <w:t xml:space="preserve">חדש </w:t>
      </w:r>
      <w:r w:rsidRPr="00D51310">
        <w:rPr>
          <w:rFonts w:cstheme="minorHAnsi"/>
          <w:sz w:val="24"/>
          <w:szCs w:val="24"/>
          <w:rtl/>
        </w:rPr>
        <w:t xml:space="preserve">שערכו ד"ר אסנת זהר, אריאל זיגלר וארי קוטאי מחטיבת המחקר </w:t>
      </w:r>
      <w:r w:rsidR="008B140D">
        <w:rPr>
          <w:rFonts w:cstheme="minorHAnsi" w:hint="cs"/>
          <w:sz w:val="24"/>
          <w:szCs w:val="24"/>
          <w:rtl/>
        </w:rPr>
        <w:t>בוחן את</w:t>
      </w:r>
      <w:r w:rsidR="00F11304" w:rsidRPr="00D51310">
        <w:rPr>
          <w:rFonts w:cstheme="minorHAnsi"/>
          <w:sz w:val="24"/>
          <w:szCs w:val="24"/>
          <w:rtl/>
        </w:rPr>
        <w:t xml:space="preserve"> </w:t>
      </w:r>
      <w:r w:rsidR="00BC4188" w:rsidRPr="00D51310">
        <w:rPr>
          <w:rFonts w:cstheme="minorHAnsi"/>
          <w:sz w:val="24"/>
          <w:szCs w:val="24"/>
          <w:rtl/>
        </w:rPr>
        <w:t xml:space="preserve">ההשפעות </w:t>
      </w:r>
      <w:r w:rsidR="00F11304" w:rsidRPr="00D51310">
        <w:rPr>
          <w:rFonts w:cstheme="minorHAnsi"/>
          <w:sz w:val="24"/>
          <w:szCs w:val="24"/>
          <w:rtl/>
        </w:rPr>
        <w:t xml:space="preserve">של השינויים בריבית בנק ישראל ופרסום התחזית המקרו-כלכלית של חטיבת המחקר על שער החליפין שקל-דולר ועל אי-הוודאות לגביו. </w:t>
      </w:r>
      <w:r w:rsidR="006E4BF1" w:rsidRPr="00D51310">
        <w:rPr>
          <w:rFonts w:cstheme="minorHAnsi"/>
          <w:sz w:val="24"/>
          <w:szCs w:val="24"/>
          <w:rtl/>
        </w:rPr>
        <w:t>הניתוח ע</w:t>
      </w:r>
      <w:r w:rsidR="008B140D">
        <w:rPr>
          <w:rFonts w:cstheme="minorHAnsi" w:hint="cs"/>
          <w:sz w:val="24"/>
          <w:szCs w:val="24"/>
          <w:rtl/>
        </w:rPr>
        <w:t>ו</w:t>
      </w:r>
      <w:r w:rsidR="006E4BF1" w:rsidRPr="00D51310">
        <w:rPr>
          <w:rFonts w:cstheme="minorHAnsi"/>
          <w:sz w:val="24"/>
          <w:szCs w:val="24"/>
          <w:rtl/>
        </w:rPr>
        <w:t>סק בהחלטות הריבית בין דצמבר 2011 ליולי 2024</w:t>
      </w:r>
      <w:r w:rsidR="008B140D">
        <w:rPr>
          <w:rFonts w:cstheme="minorHAnsi" w:hint="cs"/>
          <w:sz w:val="24"/>
          <w:szCs w:val="24"/>
          <w:rtl/>
        </w:rPr>
        <w:t>.</w:t>
      </w:r>
      <w:r w:rsidR="008B140D" w:rsidRPr="00D51310">
        <w:rPr>
          <w:rFonts w:cstheme="minorHAnsi"/>
          <w:sz w:val="24"/>
          <w:szCs w:val="24"/>
          <w:rtl/>
        </w:rPr>
        <w:t xml:space="preserve"> </w:t>
      </w:r>
      <w:r w:rsidR="006E4BF1" w:rsidRPr="00D51310">
        <w:rPr>
          <w:rFonts w:cstheme="minorHAnsi"/>
          <w:sz w:val="24"/>
          <w:szCs w:val="24"/>
          <w:rtl/>
        </w:rPr>
        <w:t xml:space="preserve">שיטת הזיהוי </w:t>
      </w:r>
      <w:r w:rsidR="008B140D">
        <w:rPr>
          <w:rFonts w:cstheme="minorHAnsi" w:hint="cs"/>
          <w:sz w:val="24"/>
          <w:szCs w:val="24"/>
          <w:rtl/>
        </w:rPr>
        <w:t xml:space="preserve">בניתוח </w:t>
      </w:r>
      <w:r w:rsidR="006E4BF1" w:rsidRPr="00D51310">
        <w:rPr>
          <w:rFonts w:cstheme="minorHAnsi"/>
          <w:sz w:val="24"/>
          <w:szCs w:val="24"/>
          <w:rtl/>
        </w:rPr>
        <w:t xml:space="preserve">הסתמכה על השינויים בחלונות </w:t>
      </w:r>
      <w:r w:rsidR="008B140D">
        <w:rPr>
          <w:rFonts w:cstheme="minorHAnsi" w:hint="cs"/>
          <w:sz w:val="24"/>
          <w:szCs w:val="24"/>
          <w:rtl/>
        </w:rPr>
        <w:lastRenderedPageBreak/>
        <w:t xml:space="preserve">זמן </w:t>
      </w:r>
      <w:r w:rsidR="006E4BF1" w:rsidRPr="00D51310">
        <w:rPr>
          <w:rFonts w:cstheme="minorHAnsi"/>
          <w:sz w:val="24"/>
          <w:szCs w:val="24"/>
          <w:rtl/>
        </w:rPr>
        <w:t>קצרים סביב החלטות הריבית, על מנת לבודד את ההשפעות של פרסומי הריבית והתחזית</w:t>
      </w:r>
      <w:r w:rsidR="00BC4188" w:rsidRPr="00D51310">
        <w:rPr>
          <w:rFonts w:cstheme="minorHAnsi"/>
          <w:sz w:val="24"/>
          <w:szCs w:val="24"/>
          <w:rtl/>
        </w:rPr>
        <w:t xml:space="preserve"> מאלו של התרחשויות מקרו-כלכליות אחרות</w:t>
      </w:r>
      <w:r w:rsidR="006E4BF1" w:rsidRPr="00D51310">
        <w:rPr>
          <w:rFonts w:cstheme="minorHAnsi"/>
          <w:sz w:val="24"/>
          <w:szCs w:val="24"/>
          <w:rtl/>
        </w:rPr>
        <w:t xml:space="preserve">. </w:t>
      </w:r>
      <w:r w:rsidRPr="00D51310">
        <w:rPr>
          <w:rFonts w:cstheme="minorHAnsi"/>
          <w:sz w:val="24"/>
          <w:szCs w:val="24"/>
          <w:rtl/>
        </w:rPr>
        <w:t xml:space="preserve">נמצא כי </w:t>
      </w:r>
      <w:r w:rsidR="00D671E3" w:rsidRPr="00D51310">
        <w:rPr>
          <w:rFonts w:cstheme="minorHAnsi"/>
          <w:sz w:val="24"/>
          <w:szCs w:val="24"/>
          <w:rtl/>
        </w:rPr>
        <w:t xml:space="preserve">העלאת ריבית בנק ישראל בנקודת אחוז גורמת לייסוף של השקל ב-0.9%-2.4%. עם זאת, </w:t>
      </w:r>
      <w:r w:rsidR="008B140D">
        <w:rPr>
          <w:rFonts w:cstheme="minorHAnsi" w:hint="cs"/>
          <w:sz w:val="24"/>
          <w:szCs w:val="24"/>
          <w:rtl/>
        </w:rPr>
        <w:t>כאשר גודל השינוי בריבית שונה מציפיות</w:t>
      </w:r>
      <w:r w:rsidR="00D671E3" w:rsidRPr="00D51310">
        <w:rPr>
          <w:rFonts w:cstheme="minorHAnsi"/>
          <w:sz w:val="24"/>
          <w:szCs w:val="24"/>
          <w:rtl/>
        </w:rPr>
        <w:t xml:space="preserve"> השוק,</w:t>
      </w:r>
      <w:r w:rsidR="001513FE">
        <w:rPr>
          <w:rFonts w:cstheme="minorHAnsi" w:hint="cs"/>
          <w:sz w:val="24"/>
          <w:szCs w:val="24"/>
          <w:rtl/>
        </w:rPr>
        <w:t xml:space="preserve"> כלומר מפתיע את השוק</w:t>
      </w:r>
      <w:r w:rsidR="00BC4188" w:rsidRPr="00D51310">
        <w:rPr>
          <w:rFonts w:cstheme="minorHAnsi"/>
          <w:sz w:val="24"/>
          <w:szCs w:val="24"/>
          <w:rtl/>
        </w:rPr>
        <w:t>,</w:t>
      </w:r>
      <w:r w:rsidR="00D671E3" w:rsidRPr="00D51310">
        <w:rPr>
          <w:rFonts w:cstheme="minorHAnsi"/>
          <w:sz w:val="24"/>
          <w:szCs w:val="24"/>
          <w:rtl/>
        </w:rPr>
        <w:t xml:space="preserve"> </w:t>
      </w:r>
      <w:r w:rsidR="008B140D">
        <w:rPr>
          <w:rFonts w:cstheme="minorHAnsi" w:hint="cs"/>
          <w:sz w:val="24"/>
          <w:szCs w:val="24"/>
          <w:rtl/>
        </w:rPr>
        <w:t xml:space="preserve">הדבר </w:t>
      </w:r>
      <w:r w:rsidR="00D671E3" w:rsidRPr="00D51310">
        <w:rPr>
          <w:rFonts w:cstheme="minorHAnsi"/>
          <w:sz w:val="24"/>
          <w:szCs w:val="24"/>
          <w:rtl/>
        </w:rPr>
        <w:t>מוביל לפיחות</w:t>
      </w:r>
      <w:r w:rsidR="008B140D">
        <w:rPr>
          <w:rFonts w:cstheme="minorHAnsi" w:hint="cs"/>
          <w:sz w:val="24"/>
          <w:szCs w:val="24"/>
          <w:rtl/>
        </w:rPr>
        <w:t>,</w:t>
      </w:r>
      <w:r w:rsidR="008B140D" w:rsidRPr="008B140D">
        <w:rPr>
          <w:rFonts w:cstheme="minorHAnsi"/>
          <w:sz w:val="24"/>
          <w:szCs w:val="24"/>
          <w:rtl/>
        </w:rPr>
        <w:t xml:space="preserve"> ללא קשר לכיוון </w:t>
      </w:r>
      <w:r w:rsidR="008B140D" w:rsidRPr="008B140D">
        <w:rPr>
          <w:rFonts w:cstheme="minorHAnsi" w:hint="cs"/>
          <w:sz w:val="24"/>
          <w:szCs w:val="24"/>
          <w:rtl/>
        </w:rPr>
        <w:t>ההפתעה</w:t>
      </w:r>
      <w:r w:rsidR="00D671E3" w:rsidRPr="00D51310">
        <w:rPr>
          <w:rFonts w:cstheme="minorHAnsi"/>
          <w:sz w:val="24"/>
          <w:szCs w:val="24"/>
          <w:rtl/>
        </w:rPr>
        <w:t xml:space="preserve">. שינוי לא צפוי בשיעור של נקודת אחוז גורם לפיחות של 0.8%-2.2%. </w:t>
      </w:r>
      <w:r w:rsidR="001513FE">
        <w:rPr>
          <w:rFonts w:cstheme="minorHAnsi" w:hint="cs"/>
          <w:sz w:val="24"/>
          <w:szCs w:val="24"/>
          <w:rtl/>
        </w:rPr>
        <w:t xml:space="preserve">ממצא זה </w:t>
      </w:r>
      <w:r w:rsidR="007B0125">
        <w:rPr>
          <w:rFonts w:cstheme="minorHAnsi" w:hint="cs"/>
          <w:sz w:val="24"/>
          <w:szCs w:val="24"/>
          <w:rtl/>
        </w:rPr>
        <w:t xml:space="preserve">יכול לשקף תופעה </w:t>
      </w:r>
      <w:r w:rsidR="001513FE">
        <w:rPr>
          <w:rFonts w:cstheme="minorHAnsi" w:hint="cs"/>
          <w:sz w:val="24"/>
          <w:szCs w:val="24"/>
          <w:rtl/>
        </w:rPr>
        <w:t>לפיה</w:t>
      </w:r>
      <w:r w:rsidR="00D671E3" w:rsidRPr="00D51310">
        <w:rPr>
          <w:rFonts w:cstheme="minorHAnsi"/>
          <w:sz w:val="24"/>
          <w:szCs w:val="24"/>
          <w:rtl/>
        </w:rPr>
        <w:t xml:space="preserve"> ירידה לא צפויה בריבית מובילה</w:t>
      </w:r>
      <w:r w:rsidR="00BC4188" w:rsidRPr="00D51310">
        <w:rPr>
          <w:rFonts w:cstheme="minorHAnsi"/>
          <w:sz w:val="24"/>
          <w:szCs w:val="24"/>
          <w:rtl/>
        </w:rPr>
        <w:t xml:space="preserve"> </w:t>
      </w:r>
      <w:r w:rsidR="00D671E3" w:rsidRPr="00D51310">
        <w:rPr>
          <w:rFonts w:cstheme="minorHAnsi"/>
          <w:sz w:val="24"/>
          <w:szCs w:val="24"/>
          <w:rtl/>
        </w:rPr>
        <w:t>לפיחות</w:t>
      </w:r>
      <w:r w:rsidR="008B140D">
        <w:rPr>
          <w:rFonts w:cstheme="minorHAnsi" w:hint="cs"/>
          <w:sz w:val="24"/>
          <w:szCs w:val="24"/>
          <w:rtl/>
        </w:rPr>
        <w:t xml:space="preserve"> הן בשל ההשפעה הישירה והן בשל אפקט ההפתעה. לעומת זאת</w:t>
      </w:r>
      <w:r w:rsidR="00D671E3" w:rsidRPr="00D51310">
        <w:rPr>
          <w:rFonts w:cstheme="minorHAnsi"/>
          <w:sz w:val="24"/>
          <w:szCs w:val="24"/>
          <w:rtl/>
        </w:rPr>
        <w:t xml:space="preserve">, עלייה לא צפויה בריבית </w:t>
      </w:r>
      <w:r w:rsidR="0005729C" w:rsidRPr="00D51310">
        <w:rPr>
          <w:rFonts w:cstheme="minorHAnsi"/>
          <w:sz w:val="24"/>
          <w:szCs w:val="24"/>
          <w:rtl/>
        </w:rPr>
        <w:t>משפיעה במידה מועטה על שער החליפין</w:t>
      </w:r>
      <w:r w:rsidR="008B140D">
        <w:rPr>
          <w:rFonts w:cstheme="minorHAnsi" w:hint="cs"/>
          <w:sz w:val="24"/>
          <w:szCs w:val="24"/>
          <w:rtl/>
        </w:rPr>
        <w:t>, שכן האפקט הישיר של ההעלאה פועל לייסוף בעוד אפקט ההפתעה פועל לפיחות</w:t>
      </w:r>
      <w:r w:rsidR="00560A37" w:rsidRPr="00D51310">
        <w:rPr>
          <w:rFonts w:cstheme="minorHAnsi"/>
          <w:sz w:val="24"/>
          <w:szCs w:val="24"/>
          <w:rtl/>
        </w:rPr>
        <w:t xml:space="preserve"> (איור 1)</w:t>
      </w:r>
      <w:r w:rsidR="0005729C" w:rsidRPr="00D51310">
        <w:rPr>
          <w:rFonts w:cstheme="minorHAnsi"/>
          <w:sz w:val="24"/>
          <w:szCs w:val="24"/>
          <w:rtl/>
        </w:rPr>
        <w:t xml:space="preserve">. </w:t>
      </w:r>
      <w:r w:rsidR="00704331">
        <w:rPr>
          <w:rFonts w:cstheme="minorHAnsi" w:hint="cs"/>
          <w:sz w:val="24"/>
          <w:szCs w:val="24"/>
          <w:rtl/>
        </w:rPr>
        <w:t xml:space="preserve">החוקרים מוצאים תמיכה לפרשנות זו באמצעות בחינה של </w:t>
      </w:r>
      <w:r w:rsidR="00704331">
        <w:rPr>
          <w:rFonts w:cs="Calibri" w:hint="cs"/>
          <w:sz w:val="24"/>
          <w:szCs w:val="24"/>
          <w:rtl/>
        </w:rPr>
        <w:t xml:space="preserve">סטיית התקן הגלומה </w:t>
      </w:r>
      <w:r w:rsidR="00704331">
        <w:rPr>
          <w:rFonts w:cstheme="minorHAnsi" w:hint="cs"/>
          <w:sz w:val="24"/>
          <w:szCs w:val="24"/>
          <w:rtl/>
        </w:rPr>
        <w:t>באופציות על שער השקל-דולר,</w:t>
      </w:r>
      <w:r w:rsidR="00704331" w:rsidRPr="001513FE">
        <w:rPr>
          <w:rFonts w:cs="Calibri"/>
          <w:sz w:val="24"/>
          <w:szCs w:val="24"/>
          <w:rtl/>
        </w:rPr>
        <w:t xml:space="preserve"> </w:t>
      </w:r>
      <w:r w:rsidR="00704331">
        <w:rPr>
          <w:rFonts w:cs="Calibri" w:hint="cs"/>
          <w:sz w:val="24"/>
          <w:szCs w:val="24"/>
          <w:rtl/>
        </w:rPr>
        <w:t>המהווה מדד לאי-הוודאות לגבי שער החליפין.</w:t>
      </w:r>
      <w:r w:rsidR="00A90A39">
        <w:rPr>
          <w:rStyle w:val="af2"/>
          <w:rFonts w:cs="Calibri"/>
          <w:sz w:val="24"/>
          <w:szCs w:val="24"/>
          <w:rtl/>
        </w:rPr>
        <w:footnoteReference w:id="1"/>
      </w:r>
      <w:r w:rsidR="00704331">
        <w:rPr>
          <w:rFonts w:cs="Calibri" w:hint="cs"/>
          <w:sz w:val="24"/>
          <w:szCs w:val="24"/>
          <w:rtl/>
        </w:rPr>
        <w:t xml:space="preserve"> </w:t>
      </w:r>
      <w:r w:rsidR="00704331">
        <w:rPr>
          <w:rFonts w:cstheme="minorHAnsi" w:hint="cs"/>
          <w:sz w:val="24"/>
          <w:szCs w:val="24"/>
          <w:rtl/>
        </w:rPr>
        <w:t xml:space="preserve">הם מוצאים </w:t>
      </w:r>
      <w:r w:rsidR="00FD000E" w:rsidRPr="00D51310">
        <w:rPr>
          <w:rFonts w:cstheme="minorHAnsi"/>
          <w:sz w:val="24"/>
          <w:szCs w:val="24"/>
          <w:rtl/>
        </w:rPr>
        <w:t>עלייה</w:t>
      </w:r>
      <w:r w:rsidR="00704331">
        <w:rPr>
          <w:rFonts w:cstheme="minorHAnsi" w:hint="cs"/>
          <w:sz w:val="24"/>
          <w:szCs w:val="24"/>
          <w:rtl/>
        </w:rPr>
        <w:t xml:space="preserve"> בסטיית התקן הגלומה</w:t>
      </w:r>
      <w:r w:rsidR="00FD000E" w:rsidRPr="00D51310">
        <w:rPr>
          <w:rFonts w:cstheme="minorHAnsi"/>
          <w:sz w:val="24"/>
          <w:szCs w:val="24"/>
          <w:rtl/>
        </w:rPr>
        <w:t xml:space="preserve"> כתוצאה משינוי לא צפוי בריבית</w:t>
      </w:r>
      <w:r w:rsidR="00704331">
        <w:rPr>
          <w:rFonts w:cstheme="minorHAnsi" w:hint="cs"/>
          <w:sz w:val="24"/>
          <w:szCs w:val="24"/>
          <w:rtl/>
        </w:rPr>
        <w:t>.</w:t>
      </w:r>
      <w:r w:rsidR="001513FE">
        <w:rPr>
          <w:rFonts w:cs="Calibri" w:hint="cs"/>
          <w:sz w:val="24"/>
          <w:szCs w:val="24"/>
          <w:rtl/>
        </w:rPr>
        <w:t xml:space="preserve"> </w:t>
      </w:r>
      <w:r w:rsidR="001513FE" w:rsidRPr="001513FE">
        <w:rPr>
          <w:rFonts w:cs="Calibri"/>
          <w:sz w:val="24"/>
          <w:szCs w:val="24"/>
          <w:rtl/>
        </w:rPr>
        <w:t xml:space="preserve"> </w:t>
      </w:r>
    </w:p>
    <w:tbl>
      <w:tblPr>
        <w:tblStyle w:val="af3"/>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3"/>
        <w:gridCol w:w="4873"/>
      </w:tblGrid>
      <w:tr w:rsidR="00C02E3D" w:rsidRPr="00D51310" w14:paraId="3E9DC548" w14:textId="77777777" w:rsidTr="00C02E3D">
        <w:trPr>
          <w:trHeight w:val="2835"/>
        </w:trPr>
        <w:tc>
          <w:tcPr>
            <w:tcW w:w="2500" w:type="pct"/>
          </w:tcPr>
          <w:p w14:paraId="2417C140" w14:textId="61983CEA" w:rsidR="00C02E3D" w:rsidRPr="00D51310" w:rsidRDefault="00C02E3D" w:rsidP="00073160">
            <w:pPr>
              <w:pStyle w:val="af6"/>
              <w:rPr>
                <w:rFonts w:asciiTheme="minorHAnsi" w:hAnsiTheme="minorHAnsi" w:cstheme="minorHAnsi"/>
              </w:rPr>
            </w:pPr>
            <w:r w:rsidRPr="00D51310">
              <w:rPr>
                <w:rFonts w:asciiTheme="minorHAnsi" w:hAnsiTheme="minorHAnsi" w:cstheme="minorHAnsi"/>
                <w:rtl/>
              </w:rPr>
              <w:t xml:space="preserve">איור 1: </w:t>
            </w:r>
            <w:r w:rsidR="00073160" w:rsidRPr="00D51310">
              <w:rPr>
                <w:rFonts w:asciiTheme="minorHAnsi" w:hAnsiTheme="minorHAnsi" w:cstheme="minorHAnsi"/>
                <w:rtl/>
              </w:rPr>
              <w:t xml:space="preserve">השפעת שינוי לא צפוי בריבית בנק ישראל על </w:t>
            </w:r>
            <w:r w:rsidRPr="00D51310">
              <w:rPr>
                <w:rFonts w:asciiTheme="minorHAnsi" w:hAnsiTheme="minorHAnsi" w:cstheme="minorHAnsi"/>
                <w:rtl/>
              </w:rPr>
              <w:t>שער החליפין שקל-דולר</w:t>
            </w:r>
            <w:r w:rsidR="00073160" w:rsidRPr="00D51310">
              <w:rPr>
                <w:rFonts w:asciiTheme="minorHAnsi" w:hAnsiTheme="minorHAnsi" w:cstheme="minorHAnsi"/>
                <w:rtl/>
              </w:rPr>
              <w:t xml:space="preserve"> </w:t>
            </w:r>
          </w:p>
          <w:p w14:paraId="3E5D7B0F" w14:textId="0024F261" w:rsidR="00C02E3D" w:rsidRPr="00D51310" w:rsidRDefault="00CB4C36" w:rsidP="00560A37">
            <w:pPr>
              <w:keepNext/>
              <w:spacing w:line="360" w:lineRule="auto"/>
              <w:jc w:val="center"/>
              <w:rPr>
                <w:rFonts w:cstheme="minorHAnsi"/>
                <w:rtl/>
              </w:rPr>
            </w:pPr>
            <w:r w:rsidRPr="00D51310">
              <w:rPr>
                <w:rFonts w:cstheme="minorHAnsi"/>
                <w:noProof/>
              </w:rPr>
              <w:drawing>
                <wp:inline distT="0" distB="0" distL="0" distR="0" wp14:anchorId="60B3FC3D" wp14:editId="5200F468">
                  <wp:extent cx="2993329" cy="18000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3329" cy="1800000"/>
                          </a:xfrm>
                          <a:prstGeom prst="rect">
                            <a:avLst/>
                          </a:prstGeom>
                          <a:noFill/>
                        </pic:spPr>
                      </pic:pic>
                    </a:graphicData>
                  </a:graphic>
                </wp:inline>
              </w:drawing>
            </w:r>
          </w:p>
          <w:p w14:paraId="4B4A779D" w14:textId="7389BF5D" w:rsidR="00C02E3D" w:rsidRPr="00D51310" w:rsidRDefault="00CE6A97" w:rsidP="00270EAA">
            <w:pPr>
              <w:pStyle w:val="afa"/>
              <w:jc w:val="both"/>
              <w:rPr>
                <w:rFonts w:cstheme="minorHAnsi"/>
                <w:rtl/>
              </w:rPr>
            </w:pPr>
            <w:r w:rsidRPr="00D51310">
              <w:rPr>
                <w:rFonts w:cstheme="minorHAnsi"/>
                <w:b/>
                <w:bCs/>
                <w:i w:val="0"/>
                <w:iCs w:val="0"/>
                <w:color w:val="auto"/>
                <w:rtl/>
              </w:rPr>
              <w:t>הערות:</w:t>
            </w:r>
            <w:r w:rsidRPr="00D51310">
              <w:rPr>
                <w:rFonts w:cstheme="minorHAnsi"/>
                <w:i w:val="0"/>
                <w:iCs w:val="0"/>
                <w:color w:val="auto"/>
                <w:rtl/>
              </w:rPr>
              <w:t xml:space="preserve"> האיור מציג את השפעתו של שינוי לא צפוי בשיעור של נקודת אחוז בריבית בנק ישראל. </w:t>
            </w:r>
            <w:r w:rsidR="00E7700F" w:rsidRPr="00D51310">
              <w:rPr>
                <w:rFonts w:cstheme="minorHAnsi"/>
                <w:i w:val="0"/>
                <w:iCs w:val="0"/>
                <w:color w:val="auto"/>
                <w:rtl/>
              </w:rPr>
              <w:t>הנקודות באיור מסמנות את האומדנים, והקווים מציגים רווח בר-סמך של 95%.</w:t>
            </w:r>
            <w:r w:rsidRPr="00D51310">
              <w:rPr>
                <w:rFonts w:cstheme="minorHAnsi"/>
                <w:i w:val="0"/>
                <w:iCs w:val="0"/>
                <w:color w:val="auto"/>
                <w:sz w:val="24"/>
                <w:szCs w:val="24"/>
                <w:rtl/>
              </w:rPr>
              <w:t xml:space="preserve"> </w:t>
            </w:r>
            <w:r w:rsidR="00270EAA" w:rsidRPr="00D51310">
              <w:rPr>
                <w:rFonts w:cstheme="minorHAnsi"/>
                <w:b/>
                <w:bCs/>
                <w:i w:val="0"/>
                <w:iCs w:val="0"/>
                <w:color w:val="auto"/>
                <w:rtl/>
              </w:rPr>
              <w:t xml:space="preserve"> </w:t>
            </w:r>
            <w:r w:rsidRPr="00D51310">
              <w:rPr>
                <w:rFonts w:cstheme="minorHAnsi"/>
                <w:b/>
                <w:bCs/>
                <w:i w:val="0"/>
                <w:iCs w:val="0"/>
                <w:color w:val="auto"/>
                <w:rtl/>
              </w:rPr>
              <w:t>מקור:</w:t>
            </w:r>
            <w:r w:rsidRPr="00D51310">
              <w:rPr>
                <w:rFonts w:cstheme="minorHAnsi"/>
                <w:i w:val="0"/>
                <w:iCs w:val="0"/>
                <w:color w:val="auto"/>
                <w:rtl/>
              </w:rPr>
              <w:t xml:space="preserve"> עיבודי בנק ישראל.</w:t>
            </w:r>
            <w:r w:rsidRPr="00D51310">
              <w:rPr>
                <w:rFonts w:cstheme="minorHAnsi"/>
                <w:i w:val="0"/>
                <w:iCs w:val="0"/>
                <w:color w:val="auto"/>
                <w:sz w:val="24"/>
                <w:szCs w:val="24"/>
                <w:rtl/>
              </w:rPr>
              <w:t xml:space="preserve"> </w:t>
            </w:r>
          </w:p>
        </w:tc>
        <w:tc>
          <w:tcPr>
            <w:tcW w:w="2500" w:type="pct"/>
          </w:tcPr>
          <w:p w14:paraId="72182019" w14:textId="240C8625" w:rsidR="00C02E3D" w:rsidRPr="00D51310" w:rsidRDefault="00C02E3D" w:rsidP="00073160">
            <w:pPr>
              <w:pStyle w:val="af6"/>
              <w:rPr>
                <w:rFonts w:asciiTheme="minorHAnsi" w:hAnsiTheme="minorHAnsi" w:cstheme="minorHAnsi"/>
              </w:rPr>
            </w:pPr>
            <w:r w:rsidRPr="00D51310">
              <w:rPr>
                <w:rFonts w:asciiTheme="minorHAnsi" w:hAnsiTheme="minorHAnsi" w:cstheme="minorHAnsi"/>
                <w:rtl/>
              </w:rPr>
              <w:t xml:space="preserve">איור 2: </w:t>
            </w:r>
            <w:r w:rsidR="00073160" w:rsidRPr="00D51310">
              <w:rPr>
                <w:rFonts w:asciiTheme="minorHAnsi" w:hAnsiTheme="minorHAnsi" w:cstheme="minorHAnsi"/>
                <w:rtl/>
              </w:rPr>
              <w:t xml:space="preserve">השפעת פרסום תחזית חטיבת המחקר על </w:t>
            </w:r>
            <w:r w:rsidRPr="00D51310">
              <w:rPr>
                <w:rFonts w:asciiTheme="minorHAnsi" w:hAnsiTheme="minorHAnsi" w:cstheme="minorHAnsi"/>
                <w:rtl/>
              </w:rPr>
              <w:t xml:space="preserve">אי-הוודאות לגבי שער החליפין </w:t>
            </w:r>
          </w:p>
          <w:p w14:paraId="22946295" w14:textId="423185EB" w:rsidR="00C02E3D" w:rsidRPr="00D51310" w:rsidRDefault="00E723E4" w:rsidP="00560A37">
            <w:pPr>
              <w:keepNext/>
              <w:spacing w:line="360" w:lineRule="auto"/>
              <w:jc w:val="center"/>
              <w:rPr>
                <w:rFonts w:cstheme="minorHAnsi"/>
              </w:rPr>
            </w:pPr>
            <w:r w:rsidRPr="00D51310">
              <w:rPr>
                <w:rFonts w:cstheme="minorHAnsi"/>
                <w:noProof/>
              </w:rPr>
              <w:drawing>
                <wp:inline distT="0" distB="0" distL="0" distR="0" wp14:anchorId="0B96B694" wp14:editId="3D31FFDD">
                  <wp:extent cx="2998069" cy="1800000"/>
                  <wp:effectExtent l="0" t="0" r="0"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8069" cy="1800000"/>
                          </a:xfrm>
                          <a:prstGeom prst="rect">
                            <a:avLst/>
                          </a:prstGeom>
                          <a:noFill/>
                        </pic:spPr>
                      </pic:pic>
                    </a:graphicData>
                  </a:graphic>
                </wp:inline>
              </w:drawing>
            </w:r>
          </w:p>
          <w:p w14:paraId="3F2B3032" w14:textId="790B3923" w:rsidR="00C02E3D" w:rsidRPr="00D51310" w:rsidRDefault="00CE6A97" w:rsidP="00270EAA">
            <w:pPr>
              <w:pStyle w:val="afa"/>
              <w:jc w:val="both"/>
              <w:rPr>
                <w:rFonts w:cstheme="minorHAnsi"/>
                <w:sz w:val="24"/>
                <w:szCs w:val="24"/>
                <w:rtl/>
              </w:rPr>
            </w:pPr>
            <w:r w:rsidRPr="00D51310">
              <w:rPr>
                <w:rFonts w:cstheme="minorHAnsi"/>
                <w:b/>
                <w:bCs/>
                <w:i w:val="0"/>
                <w:iCs w:val="0"/>
                <w:color w:val="auto"/>
                <w:rtl/>
              </w:rPr>
              <w:t xml:space="preserve">הערות: </w:t>
            </w:r>
            <w:r w:rsidR="00C02E3D" w:rsidRPr="00D51310">
              <w:rPr>
                <w:rFonts w:cstheme="minorHAnsi"/>
                <w:i w:val="0"/>
                <w:iCs w:val="0"/>
                <w:color w:val="auto"/>
                <w:rtl/>
              </w:rPr>
              <w:t xml:space="preserve">האיור מציג את השפעת פרסום </w:t>
            </w:r>
            <w:r w:rsidR="00E7700F" w:rsidRPr="00D51310">
              <w:rPr>
                <w:rFonts w:cstheme="minorHAnsi"/>
                <w:i w:val="0"/>
                <w:iCs w:val="0"/>
                <w:color w:val="auto"/>
                <w:rtl/>
              </w:rPr>
              <w:t>תחזית</w:t>
            </w:r>
            <w:r w:rsidR="00C02E3D" w:rsidRPr="00D51310">
              <w:rPr>
                <w:rFonts w:cstheme="minorHAnsi"/>
                <w:i w:val="0"/>
                <w:iCs w:val="0"/>
                <w:color w:val="auto"/>
                <w:rtl/>
              </w:rPr>
              <w:t xml:space="preserve"> </w:t>
            </w:r>
            <w:r w:rsidR="00E7700F" w:rsidRPr="00D51310">
              <w:rPr>
                <w:rFonts w:cstheme="minorHAnsi"/>
                <w:i w:val="0"/>
                <w:iCs w:val="0"/>
                <w:color w:val="auto"/>
                <w:rtl/>
              </w:rPr>
              <w:t xml:space="preserve">חטיבת המחקר </w:t>
            </w:r>
            <w:r w:rsidR="00C02E3D" w:rsidRPr="00D51310">
              <w:rPr>
                <w:rFonts w:cstheme="minorHAnsi"/>
                <w:i w:val="0"/>
                <w:iCs w:val="0"/>
                <w:color w:val="auto"/>
                <w:rtl/>
              </w:rPr>
              <w:t>על סטיית התקן הגלומה</w:t>
            </w:r>
            <w:r w:rsidR="00E7700F" w:rsidRPr="00D51310">
              <w:rPr>
                <w:rFonts w:cstheme="minorHAnsi"/>
                <w:i w:val="0"/>
                <w:iCs w:val="0"/>
                <w:color w:val="auto"/>
                <w:rtl/>
              </w:rPr>
              <w:t xml:space="preserve"> באופציות על שער השקל-דולר, כאשר תחזית הריבית לשנה אינה סוטה מציפיות השוק (פאנל עליון) וכאשר </w:t>
            </w:r>
            <w:r w:rsidRPr="00D51310">
              <w:rPr>
                <w:rFonts w:cstheme="minorHAnsi"/>
                <w:i w:val="0"/>
                <w:iCs w:val="0"/>
                <w:color w:val="auto"/>
                <w:rtl/>
              </w:rPr>
              <w:t>יש סטייה טיפוסית</w:t>
            </w:r>
            <w:r w:rsidR="00E7700F" w:rsidRPr="00D51310">
              <w:rPr>
                <w:rFonts w:cstheme="minorHAnsi"/>
                <w:i w:val="0"/>
                <w:iCs w:val="0"/>
                <w:color w:val="auto"/>
                <w:rtl/>
              </w:rPr>
              <w:t xml:space="preserve"> </w:t>
            </w:r>
            <w:r w:rsidRPr="00D51310">
              <w:rPr>
                <w:rFonts w:cstheme="minorHAnsi"/>
                <w:i w:val="0"/>
                <w:iCs w:val="0"/>
                <w:color w:val="auto"/>
                <w:rtl/>
              </w:rPr>
              <w:t xml:space="preserve">של </w:t>
            </w:r>
            <w:r w:rsidR="00E7700F" w:rsidRPr="00D51310">
              <w:rPr>
                <w:rFonts w:cstheme="minorHAnsi"/>
                <w:i w:val="0"/>
                <w:iCs w:val="0"/>
                <w:color w:val="auto"/>
                <w:rtl/>
              </w:rPr>
              <w:t>0.1 נקודות אחוז (פאנל תחתון)</w:t>
            </w:r>
            <w:r w:rsidR="00C02E3D" w:rsidRPr="00D51310">
              <w:rPr>
                <w:rFonts w:cstheme="minorHAnsi"/>
                <w:i w:val="0"/>
                <w:iCs w:val="0"/>
                <w:color w:val="auto"/>
                <w:rtl/>
              </w:rPr>
              <w:t xml:space="preserve">. הנקודות באיור מסמנות את </w:t>
            </w:r>
            <w:r w:rsidR="0010186F" w:rsidRPr="00D51310">
              <w:rPr>
                <w:rFonts w:cstheme="minorHAnsi"/>
                <w:i w:val="0"/>
                <w:iCs w:val="0"/>
                <w:color w:val="auto"/>
                <w:rtl/>
              </w:rPr>
              <w:t>האומדנים</w:t>
            </w:r>
            <w:r w:rsidR="00C02E3D" w:rsidRPr="00D51310">
              <w:rPr>
                <w:rFonts w:cstheme="minorHAnsi"/>
                <w:i w:val="0"/>
                <w:iCs w:val="0"/>
                <w:color w:val="auto"/>
                <w:rtl/>
              </w:rPr>
              <w:t>, והקווים מציגים רווח בר-סמך של 95%.</w:t>
            </w:r>
            <w:r w:rsidR="00270EAA" w:rsidRPr="00D51310">
              <w:rPr>
                <w:rFonts w:cstheme="minorHAnsi"/>
                <w:b/>
                <w:bCs/>
                <w:i w:val="0"/>
                <w:iCs w:val="0"/>
                <w:color w:val="auto"/>
                <w:rtl/>
              </w:rPr>
              <w:t xml:space="preserve">  </w:t>
            </w:r>
            <w:r w:rsidRPr="00D51310">
              <w:rPr>
                <w:rFonts w:cstheme="minorHAnsi"/>
                <w:b/>
                <w:bCs/>
                <w:i w:val="0"/>
                <w:iCs w:val="0"/>
                <w:color w:val="auto"/>
                <w:rtl/>
              </w:rPr>
              <w:t>מקור:</w:t>
            </w:r>
            <w:r w:rsidRPr="00D51310">
              <w:rPr>
                <w:rFonts w:cstheme="minorHAnsi"/>
                <w:i w:val="0"/>
                <w:iCs w:val="0"/>
                <w:color w:val="auto"/>
                <w:rtl/>
              </w:rPr>
              <w:t xml:space="preserve"> עיבודי בנק ישראל.</w:t>
            </w:r>
            <w:r w:rsidRPr="00D51310">
              <w:rPr>
                <w:rFonts w:cstheme="minorHAnsi"/>
                <w:i w:val="0"/>
                <w:iCs w:val="0"/>
                <w:color w:val="auto"/>
                <w:sz w:val="24"/>
                <w:szCs w:val="24"/>
                <w:rtl/>
              </w:rPr>
              <w:t xml:space="preserve"> </w:t>
            </w:r>
          </w:p>
        </w:tc>
      </w:tr>
    </w:tbl>
    <w:p w14:paraId="2B5AB505" w14:textId="15703616" w:rsidR="00BB6032" w:rsidRPr="00D51310" w:rsidRDefault="00D15F5E" w:rsidP="00704331">
      <w:pPr>
        <w:spacing w:before="240" w:line="360" w:lineRule="auto"/>
        <w:jc w:val="both"/>
        <w:rPr>
          <w:rFonts w:cstheme="minorHAnsi"/>
          <w:sz w:val="24"/>
          <w:szCs w:val="24"/>
          <w:rtl/>
        </w:rPr>
      </w:pPr>
      <w:r>
        <w:rPr>
          <w:rFonts w:cstheme="minorHAnsi" w:hint="cs"/>
          <w:sz w:val="24"/>
          <w:szCs w:val="24"/>
          <w:rtl/>
        </w:rPr>
        <w:t xml:space="preserve">ממצא </w:t>
      </w:r>
      <w:r w:rsidR="0005729C" w:rsidRPr="00D51310">
        <w:rPr>
          <w:rFonts w:cstheme="minorHAnsi"/>
          <w:sz w:val="24"/>
          <w:szCs w:val="24"/>
          <w:rtl/>
        </w:rPr>
        <w:t>נוסף</w:t>
      </w:r>
      <w:r>
        <w:rPr>
          <w:rFonts w:cstheme="minorHAnsi" w:hint="cs"/>
          <w:sz w:val="24"/>
          <w:szCs w:val="24"/>
          <w:rtl/>
        </w:rPr>
        <w:t xml:space="preserve"> של</w:t>
      </w:r>
      <w:r w:rsidR="0005729C" w:rsidRPr="00D51310">
        <w:rPr>
          <w:rFonts w:cstheme="minorHAnsi"/>
          <w:sz w:val="24"/>
          <w:szCs w:val="24"/>
          <w:rtl/>
        </w:rPr>
        <w:t xml:space="preserve"> החוקרים </w:t>
      </w:r>
      <w:r>
        <w:rPr>
          <w:rFonts w:cstheme="minorHAnsi" w:hint="cs"/>
          <w:sz w:val="24"/>
          <w:szCs w:val="24"/>
          <w:rtl/>
        </w:rPr>
        <w:t>הוא</w:t>
      </w:r>
      <w:r w:rsidR="0005729C" w:rsidRPr="00D51310">
        <w:rPr>
          <w:rFonts w:cstheme="minorHAnsi"/>
          <w:sz w:val="24"/>
          <w:szCs w:val="24"/>
          <w:rtl/>
        </w:rPr>
        <w:t xml:space="preserve"> </w:t>
      </w:r>
      <w:r>
        <w:rPr>
          <w:rFonts w:cstheme="minorHAnsi" w:hint="cs"/>
          <w:sz w:val="24"/>
          <w:szCs w:val="24"/>
          <w:rtl/>
        </w:rPr>
        <w:t>ש</w:t>
      </w:r>
      <w:r w:rsidR="00BB6032" w:rsidRPr="00D51310">
        <w:rPr>
          <w:rFonts w:cstheme="minorHAnsi"/>
          <w:sz w:val="24"/>
          <w:szCs w:val="24"/>
          <w:rtl/>
        </w:rPr>
        <w:t>החלטות ריבית המלוות בפרסום תחזית</w:t>
      </w:r>
      <w:r w:rsidR="00774A80" w:rsidRPr="00D51310">
        <w:rPr>
          <w:rFonts w:cstheme="minorHAnsi"/>
          <w:sz w:val="24"/>
          <w:szCs w:val="24"/>
          <w:rtl/>
        </w:rPr>
        <w:t xml:space="preserve"> ומסיבת עיתונאים</w:t>
      </w:r>
      <w:r w:rsidR="00BB6032" w:rsidRPr="00D51310">
        <w:rPr>
          <w:rFonts w:cstheme="minorHAnsi"/>
          <w:sz w:val="24"/>
          <w:szCs w:val="24"/>
          <w:rtl/>
        </w:rPr>
        <w:t xml:space="preserve"> מתאפיינות בהפחתה של אי-הוודאות</w:t>
      </w:r>
      <w:r w:rsidR="00774A80" w:rsidRPr="00D51310">
        <w:rPr>
          <w:rFonts w:cstheme="minorHAnsi"/>
          <w:sz w:val="24"/>
          <w:szCs w:val="24"/>
          <w:rtl/>
        </w:rPr>
        <w:t xml:space="preserve"> לגבי שער החליפין שקל-דולר</w:t>
      </w:r>
      <w:r w:rsidR="0005729C" w:rsidRPr="00D51310">
        <w:rPr>
          <w:rFonts w:cstheme="minorHAnsi"/>
          <w:sz w:val="24"/>
          <w:szCs w:val="24"/>
          <w:rtl/>
        </w:rPr>
        <w:t xml:space="preserve"> (כפי שהיא </w:t>
      </w:r>
      <w:r>
        <w:rPr>
          <w:rFonts w:cstheme="minorHAnsi" w:hint="cs"/>
          <w:sz w:val="24"/>
          <w:szCs w:val="24"/>
          <w:rtl/>
        </w:rPr>
        <w:t>מתבטאת</w:t>
      </w:r>
      <w:r w:rsidRPr="00D51310">
        <w:rPr>
          <w:rFonts w:cstheme="minorHAnsi"/>
          <w:sz w:val="24"/>
          <w:szCs w:val="24"/>
          <w:rtl/>
        </w:rPr>
        <w:t xml:space="preserve"> </w:t>
      </w:r>
      <w:r w:rsidR="0005729C" w:rsidRPr="00D51310">
        <w:rPr>
          <w:rFonts w:cstheme="minorHAnsi"/>
          <w:sz w:val="24"/>
          <w:szCs w:val="24"/>
          <w:rtl/>
        </w:rPr>
        <w:t>בסטיית התקן הגלומה</w:t>
      </w:r>
      <w:r w:rsidR="0017406E" w:rsidRPr="00D51310">
        <w:rPr>
          <w:rFonts w:cstheme="minorHAnsi"/>
          <w:sz w:val="24"/>
          <w:szCs w:val="24"/>
          <w:rtl/>
        </w:rPr>
        <w:t xml:space="preserve"> באופציות שקל-דולר</w:t>
      </w:r>
      <w:r w:rsidR="0005729C" w:rsidRPr="00D51310">
        <w:rPr>
          <w:rFonts w:cstheme="minorHAnsi"/>
          <w:sz w:val="24"/>
          <w:szCs w:val="24"/>
          <w:rtl/>
        </w:rPr>
        <w:t>)</w:t>
      </w:r>
      <w:r w:rsidR="00BB6032" w:rsidRPr="00D51310">
        <w:rPr>
          <w:rFonts w:cstheme="minorHAnsi"/>
          <w:sz w:val="24"/>
          <w:szCs w:val="24"/>
          <w:rtl/>
        </w:rPr>
        <w:t xml:space="preserve">, בהשוואה להחלטות ריבית ללא פרסום תחזית. </w:t>
      </w:r>
      <w:r w:rsidR="0005729C" w:rsidRPr="00D51310">
        <w:rPr>
          <w:rFonts w:cstheme="minorHAnsi"/>
          <w:sz w:val="24"/>
          <w:szCs w:val="24"/>
          <w:rtl/>
        </w:rPr>
        <w:t xml:space="preserve">אולם, כאשר התחזית לריבית בעוד שנה סוטה מתחזית השוק, </w:t>
      </w:r>
      <w:r>
        <w:rPr>
          <w:rFonts w:cstheme="minorHAnsi" w:hint="cs"/>
          <w:sz w:val="24"/>
          <w:szCs w:val="24"/>
          <w:rtl/>
        </w:rPr>
        <w:t xml:space="preserve">תרומת הפרסום להפחתת </w:t>
      </w:r>
      <w:r w:rsidR="0005729C" w:rsidRPr="00D51310">
        <w:rPr>
          <w:rFonts w:cstheme="minorHAnsi"/>
          <w:sz w:val="24"/>
          <w:szCs w:val="24"/>
          <w:rtl/>
        </w:rPr>
        <w:t xml:space="preserve">אי-הוודאות </w:t>
      </w:r>
      <w:r>
        <w:rPr>
          <w:rFonts w:cstheme="minorHAnsi" w:hint="cs"/>
          <w:sz w:val="24"/>
          <w:szCs w:val="24"/>
          <w:rtl/>
        </w:rPr>
        <w:t>קטנה יותר</w:t>
      </w:r>
      <w:r w:rsidR="00560A37" w:rsidRPr="00D51310">
        <w:rPr>
          <w:rFonts w:cstheme="minorHAnsi"/>
          <w:sz w:val="24"/>
          <w:szCs w:val="24"/>
          <w:rtl/>
        </w:rPr>
        <w:t xml:space="preserve"> (איור 2)</w:t>
      </w:r>
      <w:r w:rsidR="0005729C" w:rsidRPr="00D51310">
        <w:rPr>
          <w:rFonts w:cstheme="minorHAnsi"/>
          <w:sz w:val="24"/>
          <w:szCs w:val="24"/>
          <w:rtl/>
        </w:rPr>
        <w:t>.</w:t>
      </w:r>
    </w:p>
    <w:p w14:paraId="0C65C7E7" w14:textId="6576024B" w:rsidR="00047A9B" w:rsidRPr="00D51310" w:rsidRDefault="00BB6032" w:rsidP="00704331">
      <w:pPr>
        <w:spacing w:line="360" w:lineRule="auto"/>
        <w:jc w:val="both"/>
        <w:rPr>
          <w:rFonts w:cstheme="minorHAnsi"/>
          <w:sz w:val="24"/>
          <w:szCs w:val="24"/>
          <w:rtl/>
        </w:rPr>
      </w:pPr>
      <w:r w:rsidRPr="00D51310">
        <w:rPr>
          <w:rFonts w:cstheme="minorHAnsi"/>
          <w:sz w:val="24"/>
          <w:szCs w:val="24"/>
          <w:rtl/>
        </w:rPr>
        <w:t>ממצאים אלו מדגישים את החשיבות של שקיפות ומתן מידע על ידי הבנק המרכזי בהפחתת אי-הוודאות בשווקים הפיננסיים. זוהי תובנה חשובה עבור בנק ישראל ו</w:t>
      </w:r>
      <w:r w:rsidR="00805CE4" w:rsidRPr="00D51310">
        <w:rPr>
          <w:rFonts w:cstheme="minorHAnsi"/>
          <w:sz w:val="24"/>
          <w:szCs w:val="24"/>
          <w:rtl/>
        </w:rPr>
        <w:t xml:space="preserve">עבור </w:t>
      </w:r>
      <w:r w:rsidRPr="00D51310">
        <w:rPr>
          <w:rFonts w:cstheme="minorHAnsi"/>
          <w:sz w:val="24"/>
          <w:szCs w:val="24"/>
          <w:rtl/>
        </w:rPr>
        <w:t xml:space="preserve">בנקים מרכזיים אחרים בעולם, המחפשים דרכים להגביר את האמון במדיניות המוניטרית </w:t>
      </w:r>
      <w:r w:rsidR="00E71D38" w:rsidRPr="00D51310">
        <w:rPr>
          <w:rFonts w:cstheme="minorHAnsi"/>
          <w:sz w:val="24"/>
          <w:szCs w:val="24"/>
          <w:rtl/>
        </w:rPr>
        <w:t xml:space="preserve">ולשמור על יציבות </w:t>
      </w:r>
      <w:r w:rsidRPr="00D51310">
        <w:rPr>
          <w:rFonts w:cstheme="minorHAnsi"/>
          <w:sz w:val="24"/>
          <w:szCs w:val="24"/>
          <w:rtl/>
        </w:rPr>
        <w:t>השווקים.</w:t>
      </w:r>
    </w:p>
    <w:sectPr w:rsidR="00047A9B" w:rsidRPr="00D51310" w:rsidSect="00146100">
      <w:footerReference w:type="first" r:id="rId11"/>
      <w:pgSz w:w="11906" w:h="16838"/>
      <w:pgMar w:top="1276" w:right="1080" w:bottom="2127"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BD1E9" w14:textId="77777777" w:rsidR="004A3474" w:rsidRDefault="004A3474" w:rsidP="008755E3">
      <w:pPr>
        <w:spacing w:after="0" w:line="240" w:lineRule="auto"/>
      </w:pPr>
      <w:r>
        <w:separator/>
      </w:r>
    </w:p>
  </w:endnote>
  <w:endnote w:type="continuationSeparator" w:id="0">
    <w:p w14:paraId="565DD0E0" w14:textId="77777777" w:rsidR="004A3474" w:rsidRDefault="004A3474"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32D25" w14:textId="77777777"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0EA0AF44" wp14:editId="4570899C">
          <wp:simplePos x="0" y="0"/>
          <wp:positionH relativeFrom="margin">
            <wp:posOffset>5628736</wp:posOffset>
          </wp:positionH>
          <wp:positionV relativeFrom="paragraph">
            <wp:posOffset>-161769</wp:posOffset>
          </wp:positionV>
          <wp:extent cx="310551" cy="310551"/>
          <wp:effectExtent l="0" t="0" r="0" b="0"/>
          <wp:wrapNone/>
          <wp:docPr id="20" name="תמונה 20"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095C1193" wp14:editId="2C1AD718">
          <wp:simplePos x="0" y="0"/>
          <wp:positionH relativeFrom="column">
            <wp:posOffset>4231257</wp:posOffset>
          </wp:positionH>
          <wp:positionV relativeFrom="paragraph">
            <wp:posOffset>-127468</wp:posOffset>
          </wp:positionV>
          <wp:extent cx="241539" cy="241539"/>
          <wp:effectExtent l="0" t="0" r="6350" b="6350"/>
          <wp:wrapNone/>
          <wp:docPr id="21" name="תמונה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1CBA9162" wp14:editId="3C681207">
          <wp:simplePos x="0" y="0"/>
          <wp:positionH relativeFrom="column">
            <wp:posOffset>2411084</wp:posOffset>
          </wp:positionH>
          <wp:positionV relativeFrom="paragraph">
            <wp:posOffset>-135638</wp:posOffset>
          </wp:positionV>
          <wp:extent cx="266528" cy="262039"/>
          <wp:effectExtent l="0" t="0" r="635" b="5080"/>
          <wp:wrapNone/>
          <wp:docPr id="22"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7F885D92" wp14:editId="2D7AB1BC">
          <wp:simplePos x="0" y="0"/>
          <wp:positionH relativeFrom="column">
            <wp:posOffset>565030</wp:posOffset>
          </wp:positionH>
          <wp:positionV relativeFrom="paragraph">
            <wp:posOffset>-118386</wp:posOffset>
          </wp:positionV>
          <wp:extent cx="329206" cy="241456"/>
          <wp:effectExtent l="0" t="0" r="0" b="6350"/>
          <wp:wrapNone/>
          <wp:docPr id="23"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57015156" wp14:editId="689A3A7D">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14:paraId="5214E819" w14:textId="77777777" w:rsidR="001D340E" w:rsidRPr="00270D2E" w:rsidRDefault="001D340E" w:rsidP="001D340E">
                          <w:pPr>
                            <w:jc w:val="center"/>
                            <w:rPr>
                              <w:rFonts w:cstheme="minorHAnsi"/>
                              <w:sz w:val="16"/>
                              <w:szCs w:val="16"/>
                              <w:rtl/>
                            </w:rPr>
                          </w:pPr>
                          <w:r w:rsidRPr="00270D2E">
                            <w:rPr>
                              <w:rFonts w:cstheme="minorHAnsi"/>
                              <w:noProof/>
                              <w:sz w:val="16"/>
                              <w:szCs w:val="16"/>
                              <w:rtl/>
                            </w:rPr>
                            <w:t>פודקאסט  בנק ישראל</w:t>
                          </w:r>
                          <w:r w:rsidRPr="00270D2E">
                            <w:rPr>
                              <w:rFonts w:cstheme="minorHAnsi"/>
                              <w:noProof/>
                              <w:sz w:val="16"/>
                              <w:szCs w:val="16"/>
                              <w:rtl/>
                            </w:rPr>
                            <w:br/>
                          </w:r>
                          <w:hyperlink r:id="rId8" w:history="1">
                            <w:r w:rsidRPr="00270D2E">
                              <w:rPr>
                                <w:rStyle w:val="Hyperlink"/>
                                <w:rFonts w:cstheme="minorHAns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015156"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14:paraId="5214E819" w14:textId="77777777" w:rsidR="001D340E" w:rsidRPr="00270D2E" w:rsidRDefault="001D340E" w:rsidP="001D340E">
                    <w:pPr>
                      <w:jc w:val="center"/>
                      <w:rPr>
                        <w:rFonts w:cstheme="minorHAnsi"/>
                        <w:sz w:val="16"/>
                        <w:szCs w:val="16"/>
                        <w:rtl/>
                      </w:rPr>
                    </w:pPr>
                    <w:r w:rsidRPr="00270D2E">
                      <w:rPr>
                        <w:rFonts w:cstheme="minorHAnsi"/>
                        <w:noProof/>
                        <w:sz w:val="16"/>
                        <w:szCs w:val="16"/>
                        <w:rtl/>
                      </w:rPr>
                      <w:t>פודקאסט  בנק ישראל</w:t>
                    </w:r>
                    <w:r w:rsidRPr="00270D2E">
                      <w:rPr>
                        <w:rFonts w:cstheme="minorHAnsi"/>
                        <w:noProof/>
                        <w:sz w:val="16"/>
                        <w:szCs w:val="16"/>
                        <w:rtl/>
                      </w:rPr>
                      <w:br/>
                    </w:r>
                    <w:hyperlink r:id="rId9" w:history="1">
                      <w:r w:rsidRPr="00270D2E">
                        <w:rPr>
                          <w:rStyle w:val="Hyperlink"/>
                          <w:rFonts w:cstheme="minorHAns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7FC2BCFA" wp14:editId="6CD8AE6A">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14:paraId="60DB4B02" w14:textId="77777777" w:rsidR="001D340E" w:rsidRPr="00270D2E" w:rsidRDefault="001D340E" w:rsidP="001D340E">
                          <w:pPr>
                            <w:jc w:val="center"/>
                            <w:rPr>
                              <w:rFonts w:cstheme="minorHAnsi"/>
                              <w:noProof/>
                              <w:sz w:val="16"/>
                              <w:szCs w:val="16"/>
                              <w:rtl/>
                            </w:rPr>
                          </w:pPr>
                          <w:r w:rsidRPr="00270D2E">
                            <w:rPr>
                              <w:rFonts w:cstheme="minorHAnsi"/>
                              <w:noProof/>
                              <w:sz w:val="16"/>
                              <w:szCs w:val="16"/>
                              <w:rtl/>
                            </w:rPr>
                            <w:t>יוטיוב - בנק ישראל</w:t>
                          </w:r>
                          <w:r w:rsidRPr="00270D2E">
                            <w:rPr>
                              <w:rFonts w:cstheme="minorHAnsi"/>
                              <w:noProof/>
                              <w:sz w:val="16"/>
                              <w:szCs w:val="16"/>
                              <w:rtl/>
                            </w:rPr>
                            <w:br/>
                          </w:r>
                          <w:hyperlink r:id="rId10" w:history="1">
                            <w:r w:rsidRPr="00270D2E">
                              <w:rPr>
                                <w:rStyle w:val="Hyperlink"/>
                                <w:rFonts w:cstheme="minorHAnsi"/>
                                <w:noProof/>
                                <w:sz w:val="14"/>
                                <w:szCs w:val="14"/>
                              </w:rPr>
                              <w:t>https://www.youtube.com/user/thebankofisrael</w:t>
                            </w:r>
                          </w:hyperlink>
                          <w:r w:rsidRPr="00270D2E">
                            <w:rPr>
                              <w:rFonts w:cstheme="minorHAns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2BCFA"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14:paraId="60DB4B02" w14:textId="77777777" w:rsidR="001D340E" w:rsidRPr="00270D2E" w:rsidRDefault="001D340E" w:rsidP="001D340E">
                    <w:pPr>
                      <w:jc w:val="center"/>
                      <w:rPr>
                        <w:rFonts w:cstheme="minorHAnsi"/>
                        <w:noProof/>
                        <w:sz w:val="16"/>
                        <w:szCs w:val="16"/>
                        <w:rtl/>
                      </w:rPr>
                    </w:pPr>
                    <w:r w:rsidRPr="00270D2E">
                      <w:rPr>
                        <w:rFonts w:cstheme="minorHAnsi"/>
                        <w:noProof/>
                        <w:sz w:val="16"/>
                        <w:szCs w:val="16"/>
                        <w:rtl/>
                      </w:rPr>
                      <w:t>יוטיוב - בנק ישראל</w:t>
                    </w:r>
                    <w:r w:rsidRPr="00270D2E">
                      <w:rPr>
                        <w:rFonts w:cstheme="minorHAnsi"/>
                        <w:noProof/>
                        <w:sz w:val="16"/>
                        <w:szCs w:val="16"/>
                        <w:rtl/>
                      </w:rPr>
                      <w:br/>
                    </w:r>
                    <w:hyperlink r:id="rId11" w:history="1">
                      <w:r w:rsidRPr="00270D2E">
                        <w:rPr>
                          <w:rStyle w:val="Hyperlink"/>
                          <w:rFonts w:cstheme="minorHAnsi"/>
                          <w:noProof/>
                          <w:sz w:val="14"/>
                          <w:szCs w:val="14"/>
                        </w:rPr>
                        <w:t>https://www.youtube.com/user/thebankofisrael</w:t>
                      </w:r>
                    </w:hyperlink>
                    <w:r w:rsidRPr="00270D2E">
                      <w:rPr>
                        <w:rFonts w:cstheme="minorHAns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4FA8126A" wp14:editId="7DD75AB9">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14:paraId="4C08A71A" w14:textId="77777777" w:rsidR="001D340E" w:rsidRPr="00270D2E" w:rsidRDefault="001D340E" w:rsidP="001D340E">
                          <w:pPr>
                            <w:jc w:val="center"/>
                            <w:rPr>
                              <w:rFonts w:cstheme="minorHAnsi"/>
                              <w:sz w:val="14"/>
                              <w:szCs w:val="14"/>
                              <w:rtl/>
                            </w:rPr>
                          </w:pPr>
                          <w:r w:rsidRPr="00270D2E">
                            <w:rPr>
                              <w:rFonts w:cstheme="minorHAnsi"/>
                              <w:noProof/>
                              <w:sz w:val="16"/>
                              <w:szCs w:val="16"/>
                              <w:rtl/>
                            </w:rPr>
                            <w:t>פייסבוק - בנק ישראל</w:t>
                          </w:r>
                          <w:r w:rsidRPr="00270D2E">
                            <w:rPr>
                              <w:rFonts w:cstheme="minorHAnsi"/>
                              <w:sz w:val="16"/>
                              <w:szCs w:val="16"/>
                              <w:rtl/>
                            </w:rPr>
                            <w:br/>
                          </w:r>
                          <w:hyperlink r:id="rId12" w:history="1">
                            <w:r w:rsidRPr="00270D2E">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A8126A"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14:paraId="4C08A71A" w14:textId="77777777" w:rsidR="001D340E" w:rsidRPr="00270D2E" w:rsidRDefault="001D340E" w:rsidP="001D340E">
                    <w:pPr>
                      <w:jc w:val="center"/>
                      <w:rPr>
                        <w:rFonts w:cstheme="minorHAnsi"/>
                        <w:sz w:val="14"/>
                        <w:szCs w:val="14"/>
                        <w:rtl/>
                      </w:rPr>
                    </w:pPr>
                    <w:r w:rsidRPr="00270D2E">
                      <w:rPr>
                        <w:rFonts w:cstheme="minorHAnsi"/>
                        <w:noProof/>
                        <w:sz w:val="16"/>
                        <w:szCs w:val="16"/>
                        <w:rtl/>
                      </w:rPr>
                      <w:t>פייסבוק - בנק ישראל</w:t>
                    </w:r>
                    <w:r w:rsidRPr="00270D2E">
                      <w:rPr>
                        <w:rFonts w:cstheme="minorHAnsi"/>
                        <w:sz w:val="16"/>
                        <w:szCs w:val="16"/>
                        <w:rtl/>
                      </w:rPr>
                      <w:br/>
                    </w:r>
                    <w:hyperlink r:id="rId13" w:history="1">
                      <w:r w:rsidRPr="00270D2E">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9C072D4" wp14:editId="77020029">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14:paraId="1E8E624F" w14:textId="77777777" w:rsidR="001D340E" w:rsidRPr="00270D2E" w:rsidRDefault="001D340E" w:rsidP="001D340E">
                          <w:pPr>
                            <w:jc w:val="center"/>
                            <w:rPr>
                              <w:rFonts w:cstheme="minorHAnsi"/>
                              <w:sz w:val="16"/>
                              <w:szCs w:val="16"/>
                              <w:rtl/>
                            </w:rPr>
                          </w:pPr>
                          <w:r w:rsidRPr="00270D2E">
                            <w:rPr>
                              <w:rFonts w:cstheme="minorHAnsi"/>
                              <w:noProof/>
                              <w:sz w:val="16"/>
                              <w:szCs w:val="16"/>
                              <w:rtl/>
                            </w:rPr>
                            <w:t xml:space="preserve">אתר בנק ישראל </w:t>
                          </w:r>
                          <w:hyperlink r:id="rId14" w:history="1">
                            <w:r w:rsidRPr="00270D2E">
                              <w:rPr>
                                <w:rStyle w:val="Hyperlink"/>
                                <w:rFonts w:cstheme="minorHAnsi"/>
                                <w:sz w:val="16"/>
                                <w:szCs w:val="16"/>
                              </w:rPr>
                              <w:t>https://www.boi.org.il</w:t>
                            </w:r>
                            <w:r w:rsidRPr="00270D2E">
                              <w:rPr>
                                <w:rStyle w:val="Hyperlink"/>
                                <w:rFonts w:cstheme="minorHAnsi"/>
                                <w:sz w:val="16"/>
                                <w:szCs w:val="16"/>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C072D4"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14:paraId="1E8E624F" w14:textId="77777777" w:rsidR="001D340E" w:rsidRPr="00270D2E" w:rsidRDefault="001D340E" w:rsidP="001D340E">
                    <w:pPr>
                      <w:jc w:val="center"/>
                      <w:rPr>
                        <w:rFonts w:cstheme="minorHAnsi"/>
                        <w:sz w:val="16"/>
                        <w:szCs w:val="16"/>
                        <w:rtl/>
                      </w:rPr>
                    </w:pPr>
                    <w:r w:rsidRPr="00270D2E">
                      <w:rPr>
                        <w:rFonts w:cstheme="minorHAnsi"/>
                        <w:noProof/>
                        <w:sz w:val="16"/>
                        <w:szCs w:val="16"/>
                        <w:rtl/>
                      </w:rPr>
                      <w:t xml:space="preserve">אתר בנק ישראל </w:t>
                    </w:r>
                    <w:hyperlink r:id="rId15" w:history="1">
                      <w:r w:rsidRPr="00270D2E">
                        <w:rPr>
                          <w:rStyle w:val="Hyperlink"/>
                          <w:rFonts w:cstheme="minorHAnsi"/>
                          <w:sz w:val="16"/>
                          <w:szCs w:val="16"/>
                        </w:rPr>
                        <w:t>https://www.boi.org.il</w:t>
                      </w:r>
                      <w:r w:rsidRPr="00270D2E">
                        <w:rPr>
                          <w:rStyle w:val="Hyperlink"/>
                          <w:rFonts w:cstheme="minorHAnsi"/>
                          <w:sz w:val="16"/>
                          <w:szCs w:val="16"/>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22CD1A3C" wp14:editId="317434A8">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C6B850"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14:paraId="3AC7B3DE" w14:textId="77777777" w:rsidR="001D340E" w:rsidRPr="009005BA" w:rsidRDefault="001D340E" w:rsidP="001D340E">
    <w:pPr>
      <w:pStyle w:val="ae"/>
    </w:pPr>
  </w:p>
  <w:p w14:paraId="1A4C13CF" w14:textId="77777777"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84276" w14:textId="77777777" w:rsidR="004A3474" w:rsidRDefault="004A3474" w:rsidP="008755E3">
      <w:pPr>
        <w:spacing w:after="0" w:line="240" w:lineRule="auto"/>
      </w:pPr>
      <w:r>
        <w:separator/>
      </w:r>
    </w:p>
  </w:footnote>
  <w:footnote w:type="continuationSeparator" w:id="0">
    <w:p w14:paraId="66C03914" w14:textId="77777777" w:rsidR="004A3474" w:rsidRDefault="004A3474" w:rsidP="008755E3">
      <w:pPr>
        <w:spacing w:after="0" w:line="240" w:lineRule="auto"/>
      </w:pPr>
      <w:r>
        <w:continuationSeparator/>
      </w:r>
    </w:p>
  </w:footnote>
  <w:footnote w:id="1">
    <w:p w14:paraId="27553BB5" w14:textId="77777777" w:rsidR="00A90A39" w:rsidRPr="000A1570" w:rsidRDefault="00A90A39" w:rsidP="00A90A39">
      <w:pPr>
        <w:pStyle w:val="af0"/>
        <w:jc w:val="both"/>
        <w:rPr>
          <w:rFonts w:cstheme="minorHAnsi"/>
        </w:rPr>
      </w:pPr>
      <w:r w:rsidRPr="000A1570">
        <w:rPr>
          <w:rStyle w:val="af2"/>
          <w:rFonts w:cstheme="minorHAnsi"/>
        </w:rPr>
        <w:footnoteRef/>
      </w:r>
      <w:r w:rsidRPr="000A1570">
        <w:rPr>
          <w:rFonts w:cstheme="minorHAnsi"/>
          <w:rtl/>
        </w:rPr>
        <w:t xml:space="preserve"> </w:t>
      </w:r>
      <w:r>
        <w:rPr>
          <w:rFonts w:cs="Calibri" w:hint="cs"/>
          <w:rtl/>
        </w:rPr>
        <w:t>סטיית התקן הגלומה באופציות על שער החליפין משקפת את ציפיות השוק לתנודתיות העתידית של השער, בהתבסס</w:t>
      </w:r>
      <w:r>
        <w:rPr>
          <w:rFonts w:cs="Calibri"/>
          <w:rtl/>
        </w:rPr>
        <w:t xml:space="preserve"> על מחירי </w:t>
      </w:r>
      <w:r w:rsidRPr="00704331">
        <w:rPr>
          <w:rFonts w:cs="Calibri"/>
          <w:rtl/>
        </w:rPr>
        <w:t xml:space="preserve">אופציות. </w:t>
      </w:r>
      <w:r>
        <w:rPr>
          <w:rFonts w:cstheme="minorHAnsi" w:hint="cs"/>
          <w:rtl/>
        </w:rPr>
        <w:t>מ</w:t>
      </w:r>
      <w:r w:rsidRPr="000A1570">
        <w:rPr>
          <w:rFonts w:cstheme="minorHAnsi"/>
          <w:rtl/>
        </w:rPr>
        <w:t xml:space="preserve">קובל </w:t>
      </w:r>
      <w:r>
        <w:rPr>
          <w:rFonts w:cstheme="minorHAnsi" w:hint="cs"/>
          <w:rtl/>
        </w:rPr>
        <w:t>לראות</w:t>
      </w:r>
      <w:r w:rsidRPr="000A1570">
        <w:rPr>
          <w:rFonts w:cstheme="minorHAnsi"/>
          <w:rtl/>
        </w:rPr>
        <w:t xml:space="preserve"> </w:t>
      </w:r>
      <w:r>
        <w:rPr>
          <w:rFonts w:cstheme="minorHAnsi" w:hint="cs"/>
          <w:rtl/>
        </w:rPr>
        <w:t>באינדיקטור זה</w:t>
      </w:r>
      <w:r w:rsidRPr="000A1570">
        <w:rPr>
          <w:rFonts w:cstheme="minorHAnsi"/>
          <w:rtl/>
        </w:rPr>
        <w:t xml:space="preserve"> מדד לאי-ודאות</w:t>
      </w:r>
      <w:r>
        <w:rPr>
          <w:rFonts w:cstheme="minorHAnsi" w:hint="cs"/>
          <w:rtl/>
        </w:rPr>
        <w:t>,</w:t>
      </w:r>
      <w:r w:rsidRPr="000A1570">
        <w:rPr>
          <w:rFonts w:cstheme="minorHAnsi"/>
          <w:rtl/>
        </w:rPr>
        <w:t xml:space="preserve"> </w:t>
      </w:r>
      <w:r>
        <w:rPr>
          <w:rFonts w:cstheme="minorHAnsi" w:hint="cs"/>
          <w:rtl/>
        </w:rPr>
        <w:t>שכן</w:t>
      </w:r>
      <w:r w:rsidRPr="000A1570">
        <w:rPr>
          <w:rFonts w:cstheme="minorHAnsi"/>
          <w:rtl/>
        </w:rPr>
        <w:t xml:space="preserve"> </w:t>
      </w:r>
      <w:r>
        <w:rPr>
          <w:rFonts w:cstheme="minorHAnsi" w:hint="cs"/>
          <w:rtl/>
        </w:rPr>
        <w:t>כש</w:t>
      </w:r>
      <w:r>
        <w:rPr>
          <w:rFonts w:cstheme="minorHAnsi"/>
          <w:rtl/>
        </w:rPr>
        <w:t>ה</w:t>
      </w:r>
      <w:r>
        <w:rPr>
          <w:rFonts w:cstheme="minorHAnsi" w:hint="cs"/>
          <w:rtl/>
        </w:rPr>
        <w:t>ו</w:t>
      </w:r>
      <w:r>
        <w:rPr>
          <w:rFonts w:cstheme="minorHAnsi"/>
          <w:rtl/>
        </w:rPr>
        <w:t>א גבוה, ה</w:t>
      </w:r>
      <w:r>
        <w:rPr>
          <w:rFonts w:cstheme="minorHAnsi" w:hint="cs"/>
          <w:rtl/>
        </w:rPr>
        <w:t>ו</w:t>
      </w:r>
      <w:r w:rsidRPr="000A1570">
        <w:rPr>
          <w:rFonts w:cstheme="minorHAnsi"/>
          <w:rtl/>
        </w:rPr>
        <w:t>א משק</w:t>
      </w:r>
      <w:r>
        <w:rPr>
          <w:rFonts w:cstheme="minorHAnsi" w:hint="cs"/>
          <w:rtl/>
        </w:rPr>
        <w:t>ף</w:t>
      </w:r>
      <w:r>
        <w:rPr>
          <w:rFonts w:cstheme="minorHAnsi"/>
          <w:rtl/>
        </w:rPr>
        <w:t xml:space="preserve"> ציפייה </w:t>
      </w:r>
      <w:r w:rsidRPr="000A1570">
        <w:rPr>
          <w:rFonts w:cstheme="minorHAnsi"/>
          <w:rtl/>
        </w:rPr>
        <w:t>לתנודתיות רבה</w:t>
      </w:r>
      <w:r>
        <w:rPr>
          <w:rFonts w:cstheme="minorHAnsi" w:hint="cs"/>
          <w:rtl/>
        </w:rPr>
        <w:t xml:space="preserve"> יותר,</w:t>
      </w:r>
      <w:r w:rsidRPr="000A1570">
        <w:rPr>
          <w:rFonts w:cstheme="minorHAnsi"/>
          <w:rtl/>
        </w:rPr>
        <w:t xml:space="preserve"> שעקבית עם אי-ודאות גבוהה.</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05C3E11"/>
    <w:multiLevelType w:val="hybridMultilevel"/>
    <w:tmpl w:val="8FC4B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4"/>
  </w:num>
  <w:num w:numId="4">
    <w:abstractNumId w:val="6"/>
  </w:num>
  <w:num w:numId="5">
    <w:abstractNumId w:val="5"/>
  </w:num>
  <w:num w:numId="6">
    <w:abstractNumId w:val="1"/>
  </w:num>
  <w:num w:numId="7">
    <w:abstractNumId w:val="11"/>
  </w:num>
  <w:num w:numId="8">
    <w:abstractNumId w:val="15"/>
  </w:num>
  <w:num w:numId="9">
    <w:abstractNumId w:val="16"/>
  </w:num>
  <w:num w:numId="10">
    <w:abstractNumId w:val="12"/>
  </w:num>
  <w:num w:numId="11">
    <w:abstractNumId w:val="10"/>
  </w:num>
  <w:num w:numId="12">
    <w:abstractNumId w:val="13"/>
  </w:num>
  <w:num w:numId="13">
    <w:abstractNumId w:val="8"/>
  </w:num>
  <w:num w:numId="14">
    <w:abstractNumId w:val="2"/>
  </w:num>
  <w:num w:numId="15">
    <w:abstractNumId w:val="14"/>
  </w:num>
  <w:num w:numId="16">
    <w:abstractNumId w:val="0"/>
  </w:num>
  <w:num w:numId="17">
    <w:abstractNumId w:val="17"/>
  </w:num>
  <w:num w:numId="1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ocumentProtection w:edit="trackedChanges"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47A9B"/>
    <w:rsid w:val="00050663"/>
    <w:rsid w:val="00050E93"/>
    <w:rsid w:val="00052F10"/>
    <w:rsid w:val="00052FF9"/>
    <w:rsid w:val="00054E73"/>
    <w:rsid w:val="00056420"/>
    <w:rsid w:val="0005729C"/>
    <w:rsid w:val="00060928"/>
    <w:rsid w:val="00064D3C"/>
    <w:rsid w:val="0006606D"/>
    <w:rsid w:val="00066BDB"/>
    <w:rsid w:val="00067953"/>
    <w:rsid w:val="000706BA"/>
    <w:rsid w:val="00070B92"/>
    <w:rsid w:val="000718EE"/>
    <w:rsid w:val="00073160"/>
    <w:rsid w:val="00075AC0"/>
    <w:rsid w:val="0007674B"/>
    <w:rsid w:val="0007707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6B7E"/>
    <w:rsid w:val="000A7049"/>
    <w:rsid w:val="000B0E51"/>
    <w:rsid w:val="000B0EE8"/>
    <w:rsid w:val="000B3FAE"/>
    <w:rsid w:val="000B471C"/>
    <w:rsid w:val="000C2F0B"/>
    <w:rsid w:val="000C32D8"/>
    <w:rsid w:val="000C33AB"/>
    <w:rsid w:val="000C346E"/>
    <w:rsid w:val="000C550D"/>
    <w:rsid w:val="000C75FD"/>
    <w:rsid w:val="000D07B1"/>
    <w:rsid w:val="000D1F9E"/>
    <w:rsid w:val="000D3975"/>
    <w:rsid w:val="000D439D"/>
    <w:rsid w:val="000D5007"/>
    <w:rsid w:val="000D5FE3"/>
    <w:rsid w:val="000D7108"/>
    <w:rsid w:val="000E0A8A"/>
    <w:rsid w:val="000E2793"/>
    <w:rsid w:val="000E2975"/>
    <w:rsid w:val="000E3D04"/>
    <w:rsid w:val="000E779F"/>
    <w:rsid w:val="000E781C"/>
    <w:rsid w:val="000F031D"/>
    <w:rsid w:val="000F0BD4"/>
    <w:rsid w:val="000F0ECA"/>
    <w:rsid w:val="000F1133"/>
    <w:rsid w:val="000F33DC"/>
    <w:rsid w:val="000F3EAC"/>
    <w:rsid w:val="000F40AF"/>
    <w:rsid w:val="000F4A85"/>
    <w:rsid w:val="000F5DDC"/>
    <w:rsid w:val="000F7CAB"/>
    <w:rsid w:val="00100AE5"/>
    <w:rsid w:val="0010186F"/>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3EDD"/>
    <w:rsid w:val="00144C67"/>
    <w:rsid w:val="00144CD6"/>
    <w:rsid w:val="00146100"/>
    <w:rsid w:val="001472FC"/>
    <w:rsid w:val="001474C5"/>
    <w:rsid w:val="001513FE"/>
    <w:rsid w:val="0015200F"/>
    <w:rsid w:val="00153235"/>
    <w:rsid w:val="001537BC"/>
    <w:rsid w:val="0015483F"/>
    <w:rsid w:val="00156E60"/>
    <w:rsid w:val="0015726F"/>
    <w:rsid w:val="00157873"/>
    <w:rsid w:val="0016061D"/>
    <w:rsid w:val="00161A75"/>
    <w:rsid w:val="00164B82"/>
    <w:rsid w:val="00164BA9"/>
    <w:rsid w:val="00166FE3"/>
    <w:rsid w:val="00167449"/>
    <w:rsid w:val="00170461"/>
    <w:rsid w:val="0017071A"/>
    <w:rsid w:val="001712A1"/>
    <w:rsid w:val="00171378"/>
    <w:rsid w:val="0017406E"/>
    <w:rsid w:val="001749ED"/>
    <w:rsid w:val="001750CB"/>
    <w:rsid w:val="00177DF4"/>
    <w:rsid w:val="001804D4"/>
    <w:rsid w:val="001814EF"/>
    <w:rsid w:val="001860B4"/>
    <w:rsid w:val="00186545"/>
    <w:rsid w:val="001867DE"/>
    <w:rsid w:val="0018725C"/>
    <w:rsid w:val="00190517"/>
    <w:rsid w:val="00192F1B"/>
    <w:rsid w:val="00193637"/>
    <w:rsid w:val="001941C9"/>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7EF"/>
    <w:rsid w:val="001C6C89"/>
    <w:rsid w:val="001D1076"/>
    <w:rsid w:val="001D2ECB"/>
    <w:rsid w:val="001D340E"/>
    <w:rsid w:val="001D3E3C"/>
    <w:rsid w:val="001D4545"/>
    <w:rsid w:val="001E2FAE"/>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C13"/>
    <w:rsid w:val="00256FF4"/>
    <w:rsid w:val="002618FB"/>
    <w:rsid w:val="00262FA2"/>
    <w:rsid w:val="002634E2"/>
    <w:rsid w:val="00270BFC"/>
    <w:rsid w:val="00270D2E"/>
    <w:rsid w:val="00270E19"/>
    <w:rsid w:val="00270EAA"/>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702"/>
    <w:rsid w:val="002B5F94"/>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07DCB"/>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5B5B"/>
    <w:rsid w:val="00326B33"/>
    <w:rsid w:val="003273D3"/>
    <w:rsid w:val="00330C1F"/>
    <w:rsid w:val="00331022"/>
    <w:rsid w:val="00336147"/>
    <w:rsid w:val="003369AE"/>
    <w:rsid w:val="003412FE"/>
    <w:rsid w:val="0035096F"/>
    <w:rsid w:val="003520CA"/>
    <w:rsid w:val="0035399C"/>
    <w:rsid w:val="0035757B"/>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2779"/>
    <w:rsid w:val="003F3956"/>
    <w:rsid w:val="00400CD3"/>
    <w:rsid w:val="0040657F"/>
    <w:rsid w:val="0040658F"/>
    <w:rsid w:val="00407D3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1A75"/>
    <w:rsid w:val="00444416"/>
    <w:rsid w:val="00445971"/>
    <w:rsid w:val="00453E2A"/>
    <w:rsid w:val="004562EE"/>
    <w:rsid w:val="00456351"/>
    <w:rsid w:val="00456854"/>
    <w:rsid w:val="00462E7F"/>
    <w:rsid w:val="00463DF9"/>
    <w:rsid w:val="00464964"/>
    <w:rsid w:val="00465B0F"/>
    <w:rsid w:val="00467246"/>
    <w:rsid w:val="00471294"/>
    <w:rsid w:val="0047247F"/>
    <w:rsid w:val="00473299"/>
    <w:rsid w:val="0047639C"/>
    <w:rsid w:val="00480BCE"/>
    <w:rsid w:val="004813D2"/>
    <w:rsid w:val="0048245F"/>
    <w:rsid w:val="00482E9C"/>
    <w:rsid w:val="004843DB"/>
    <w:rsid w:val="00490CD9"/>
    <w:rsid w:val="00492C50"/>
    <w:rsid w:val="0049563C"/>
    <w:rsid w:val="00495E66"/>
    <w:rsid w:val="004976BA"/>
    <w:rsid w:val="004A0AF0"/>
    <w:rsid w:val="004A0C72"/>
    <w:rsid w:val="004A275C"/>
    <w:rsid w:val="004A295D"/>
    <w:rsid w:val="004A3474"/>
    <w:rsid w:val="004A3AE6"/>
    <w:rsid w:val="004A74CC"/>
    <w:rsid w:val="004B4676"/>
    <w:rsid w:val="004B5166"/>
    <w:rsid w:val="004B6140"/>
    <w:rsid w:val="004B6D20"/>
    <w:rsid w:val="004B7DB7"/>
    <w:rsid w:val="004C0EC4"/>
    <w:rsid w:val="004C13EB"/>
    <w:rsid w:val="004C1655"/>
    <w:rsid w:val="004C48CC"/>
    <w:rsid w:val="004C5105"/>
    <w:rsid w:val="004C56D2"/>
    <w:rsid w:val="004C5822"/>
    <w:rsid w:val="004C6F2C"/>
    <w:rsid w:val="004C7D34"/>
    <w:rsid w:val="004D1250"/>
    <w:rsid w:val="004D1778"/>
    <w:rsid w:val="004D46CE"/>
    <w:rsid w:val="004D4750"/>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A37"/>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E09FF"/>
    <w:rsid w:val="005E0F7E"/>
    <w:rsid w:val="005E11D5"/>
    <w:rsid w:val="005E2116"/>
    <w:rsid w:val="005E344F"/>
    <w:rsid w:val="005E5C7E"/>
    <w:rsid w:val="005E670C"/>
    <w:rsid w:val="005F1C21"/>
    <w:rsid w:val="005F3BFA"/>
    <w:rsid w:val="005F4BC8"/>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58D9"/>
    <w:rsid w:val="00676C0B"/>
    <w:rsid w:val="0067778F"/>
    <w:rsid w:val="00680703"/>
    <w:rsid w:val="00681F46"/>
    <w:rsid w:val="00684B42"/>
    <w:rsid w:val="00685685"/>
    <w:rsid w:val="00686B6D"/>
    <w:rsid w:val="00686E01"/>
    <w:rsid w:val="006877B6"/>
    <w:rsid w:val="00687CF4"/>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4BF1"/>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331"/>
    <w:rsid w:val="007045F6"/>
    <w:rsid w:val="007050C9"/>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2600"/>
    <w:rsid w:val="0074343C"/>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4A80"/>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125"/>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5CE4"/>
    <w:rsid w:val="00806F1F"/>
    <w:rsid w:val="00807E47"/>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140D"/>
    <w:rsid w:val="008B2264"/>
    <w:rsid w:val="008B27A1"/>
    <w:rsid w:val="008B6DDA"/>
    <w:rsid w:val="008C21F9"/>
    <w:rsid w:val="008C33FC"/>
    <w:rsid w:val="008C512A"/>
    <w:rsid w:val="008C710A"/>
    <w:rsid w:val="008C7110"/>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07A"/>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961B8"/>
    <w:rsid w:val="009A1602"/>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4305"/>
    <w:rsid w:val="009D5459"/>
    <w:rsid w:val="009D68BA"/>
    <w:rsid w:val="009D6A33"/>
    <w:rsid w:val="009D78DB"/>
    <w:rsid w:val="009E0994"/>
    <w:rsid w:val="009E0AAD"/>
    <w:rsid w:val="009E27FB"/>
    <w:rsid w:val="009E3490"/>
    <w:rsid w:val="009E5A18"/>
    <w:rsid w:val="009F119F"/>
    <w:rsid w:val="009F1390"/>
    <w:rsid w:val="009F3067"/>
    <w:rsid w:val="009F4EAA"/>
    <w:rsid w:val="009F748A"/>
    <w:rsid w:val="009F78A1"/>
    <w:rsid w:val="00A01454"/>
    <w:rsid w:val="00A029B5"/>
    <w:rsid w:val="00A03CA3"/>
    <w:rsid w:val="00A05F0C"/>
    <w:rsid w:val="00A06013"/>
    <w:rsid w:val="00A115CD"/>
    <w:rsid w:val="00A11890"/>
    <w:rsid w:val="00A11E73"/>
    <w:rsid w:val="00A1456A"/>
    <w:rsid w:val="00A14C14"/>
    <w:rsid w:val="00A1569A"/>
    <w:rsid w:val="00A16568"/>
    <w:rsid w:val="00A168EC"/>
    <w:rsid w:val="00A209EA"/>
    <w:rsid w:val="00A22259"/>
    <w:rsid w:val="00A3115B"/>
    <w:rsid w:val="00A320A1"/>
    <w:rsid w:val="00A3266F"/>
    <w:rsid w:val="00A32FB3"/>
    <w:rsid w:val="00A33522"/>
    <w:rsid w:val="00A3647E"/>
    <w:rsid w:val="00A36ABF"/>
    <w:rsid w:val="00A41052"/>
    <w:rsid w:val="00A416F9"/>
    <w:rsid w:val="00A420C3"/>
    <w:rsid w:val="00A4299E"/>
    <w:rsid w:val="00A42B2B"/>
    <w:rsid w:val="00A4686B"/>
    <w:rsid w:val="00A50841"/>
    <w:rsid w:val="00A515F2"/>
    <w:rsid w:val="00A51BED"/>
    <w:rsid w:val="00A52AB9"/>
    <w:rsid w:val="00A53CD1"/>
    <w:rsid w:val="00A53FD2"/>
    <w:rsid w:val="00A548BB"/>
    <w:rsid w:val="00A566D4"/>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0A39"/>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D7B"/>
    <w:rsid w:val="00B27E75"/>
    <w:rsid w:val="00B33147"/>
    <w:rsid w:val="00B339AC"/>
    <w:rsid w:val="00B33AC5"/>
    <w:rsid w:val="00B3531C"/>
    <w:rsid w:val="00B35B0F"/>
    <w:rsid w:val="00B363A5"/>
    <w:rsid w:val="00B43AE3"/>
    <w:rsid w:val="00B44FCC"/>
    <w:rsid w:val="00B4601C"/>
    <w:rsid w:val="00B50F72"/>
    <w:rsid w:val="00B51787"/>
    <w:rsid w:val="00B55C75"/>
    <w:rsid w:val="00B55E3A"/>
    <w:rsid w:val="00B62973"/>
    <w:rsid w:val="00B6364C"/>
    <w:rsid w:val="00B65B71"/>
    <w:rsid w:val="00B6657F"/>
    <w:rsid w:val="00B67A12"/>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E27"/>
    <w:rsid w:val="00BB06F1"/>
    <w:rsid w:val="00BB0B61"/>
    <w:rsid w:val="00BB2CB3"/>
    <w:rsid w:val="00BB3D20"/>
    <w:rsid w:val="00BB43FF"/>
    <w:rsid w:val="00BB44DD"/>
    <w:rsid w:val="00BB49A0"/>
    <w:rsid w:val="00BB6032"/>
    <w:rsid w:val="00BB6F00"/>
    <w:rsid w:val="00BB72E6"/>
    <w:rsid w:val="00BB788E"/>
    <w:rsid w:val="00BC16C8"/>
    <w:rsid w:val="00BC1C5E"/>
    <w:rsid w:val="00BC29FC"/>
    <w:rsid w:val="00BC3C04"/>
    <w:rsid w:val="00BC3C0A"/>
    <w:rsid w:val="00BC4188"/>
    <w:rsid w:val="00BC419A"/>
    <w:rsid w:val="00BC4A34"/>
    <w:rsid w:val="00BC531B"/>
    <w:rsid w:val="00BC542A"/>
    <w:rsid w:val="00BC5C45"/>
    <w:rsid w:val="00BC6700"/>
    <w:rsid w:val="00BC7D0B"/>
    <w:rsid w:val="00BD17B8"/>
    <w:rsid w:val="00BD2326"/>
    <w:rsid w:val="00BD5370"/>
    <w:rsid w:val="00BE2693"/>
    <w:rsid w:val="00BE2AFA"/>
    <w:rsid w:val="00BE2DA2"/>
    <w:rsid w:val="00BE499B"/>
    <w:rsid w:val="00BF31DB"/>
    <w:rsid w:val="00BF4421"/>
    <w:rsid w:val="00BF4445"/>
    <w:rsid w:val="00BF445F"/>
    <w:rsid w:val="00BF559D"/>
    <w:rsid w:val="00BF5950"/>
    <w:rsid w:val="00BF788D"/>
    <w:rsid w:val="00C0011C"/>
    <w:rsid w:val="00C00E59"/>
    <w:rsid w:val="00C01FE2"/>
    <w:rsid w:val="00C02E3D"/>
    <w:rsid w:val="00C037AA"/>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4C36"/>
    <w:rsid w:val="00CB5618"/>
    <w:rsid w:val="00CB5C75"/>
    <w:rsid w:val="00CB65B6"/>
    <w:rsid w:val="00CB6D81"/>
    <w:rsid w:val="00CC51A2"/>
    <w:rsid w:val="00CC6E3B"/>
    <w:rsid w:val="00CC78A4"/>
    <w:rsid w:val="00CC7989"/>
    <w:rsid w:val="00CD1822"/>
    <w:rsid w:val="00CD1DFB"/>
    <w:rsid w:val="00CD215C"/>
    <w:rsid w:val="00CD2312"/>
    <w:rsid w:val="00CD3AFE"/>
    <w:rsid w:val="00CD4B9F"/>
    <w:rsid w:val="00CD4BE4"/>
    <w:rsid w:val="00CD5226"/>
    <w:rsid w:val="00CD5B2C"/>
    <w:rsid w:val="00CD5D4F"/>
    <w:rsid w:val="00CD7A7E"/>
    <w:rsid w:val="00CE25F7"/>
    <w:rsid w:val="00CE35A4"/>
    <w:rsid w:val="00CE44EE"/>
    <w:rsid w:val="00CE4CBD"/>
    <w:rsid w:val="00CE61ED"/>
    <w:rsid w:val="00CE6A97"/>
    <w:rsid w:val="00CF1658"/>
    <w:rsid w:val="00CF5024"/>
    <w:rsid w:val="00CF7906"/>
    <w:rsid w:val="00D00328"/>
    <w:rsid w:val="00D02989"/>
    <w:rsid w:val="00D02D66"/>
    <w:rsid w:val="00D032C1"/>
    <w:rsid w:val="00D03866"/>
    <w:rsid w:val="00D050A2"/>
    <w:rsid w:val="00D07BFD"/>
    <w:rsid w:val="00D118C0"/>
    <w:rsid w:val="00D11ACB"/>
    <w:rsid w:val="00D122B6"/>
    <w:rsid w:val="00D13394"/>
    <w:rsid w:val="00D14C77"/>
    <w:rsid w:val="00D15300"/>
    <w:rsid w:val="00D15364"/>
    <w:rsid w:val="00D15F5E"/>
    <w:rsid w:val="00D17046"/>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310"/>
    <w:rsid w:val="00D51D14"/>
    <w:rsid w:val="00D532AC"/>
    <w:rsid w:val="00D54289"/>
    <w:rsid w:val="00D57E17"/>
    <w:rsid w:val="00D615FC"/>
    <w:rsid w:val="00D63C48"/>
    <w:rsid w:val="00D63FE1"/>
    <w:rsid w:val="00D64CFC"/>
    <w:rsid w:val="00D66255"/>
    <w:rsid w:val="00D671E3"/>
    <w:rsid w:val="00D6789F"/>
    <w:rsid w:val="00D71448"/>
    <w:rsid w:val="00D71CED"/>
    <w:rsid w:val="00D7267D"/>
    <w:rsid w:val="00D73584"/>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A6607"/>
    <w:rsid w:val="00DB0EE4"/>
    <w:rsid w:val="00DB2121"/>
    <w:rsid w:val="00DB3F4C"/>
    <w:rsid w:val="00DB4E4A"/>
    <w:rsid w:val="00DB6653"/>
    <w:rsid w:val="00DC138D"/>
    <w:rsid w:val="00DC16A7"/>
    <w:rsid w:val="00DC464E"/>
    <w:rsid w:val="00DC53A4"/>
    <w:rsid w:val="00DC6480"/>
    <w:rsid w:val="00DC6DE0"/>
    <w:rsid w:val="00DC6F14"/>
    <w:rsid w:val="00DD59E1"/>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1D38"/>
    <w:rsid w:val="00E723E4"/>
    <w:rsid w:val="00E73941"/>
    <w:rsid w:val="00E74FE9"/>
    <w:rsid w:val="00E7644E"/>
    <w:rsid w:val="00E7700F"/>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02EC"/>
    <w:rsid w:val="00EF1001"/>
    <w:rsid w:val="00EF6013"/>
    <w:rsid w:val="00EF6826"/>
    <w:rsid w:val="00EF740A"/>
    <w:rsid w:val="00EF7F40"/>
    <w:rsid w:val="00F04298"/>
    <w:rsid w:val="00F04C55"/>
    <w:rsid w:val="00F04D3E"/>
    <w:rsid w:val="00F055CD"/>
    <w:rsid w:val="00F10B2C"/>
    <w:rsid w:val="00F10D5B"/>
    <w:rsid w:val="00F11304"/>
    <w:rsid w:val="00F11EDB"/>
    <w:rsid w:val="00F133A3"/>
    <w:rsid w:val="00F14181"/>
    <w:rsid w:val="00F14194"/>
    <w:rsid w:val="00F1475C"/>
    <w:rsid w:val="00F14F50"/>
    <w:rsid w:val="00F20242"/>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5D90"/>
    <w:rsid w:val="00F47FC9"/>
    <w:rsid w:val="00F50EA4"/>
    <w:rsid w:val="00F5129A"/>
    <w:rsid w:val="00F52404"/>
    <w:rsid w:val="00F5356A"/>
    <w:rsid w:val="00F61D79"/>
    <w:rsid w:val="00F63BEE"/>
    <w:rsid w:val="00F66550"/>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5F81"/>
    <w:rsid w:val="00FC75C5"/>
    <w:rsid w:val="00FD000E"/>
    <w:rsid w:val="00FD1E91"/>
    <w:rsid w:val="00FD2074"/>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51DAC88"/>
  <w15:docId w15:val="{400C101D-74D4-4A40-A68B-65A3DA9C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7EF"/>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iPriority w:val="99"/>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aliases w:val="Footnote Reference Superscript,Footnote symbol,Footnote Reference Number,Footnote Reference_LVL6,Footnote Reference_LVL61,Footnote Reference_LVL62,Footnote Reference_LVL63,Footnote Reference_LVL64,fr,SUPERS,טקסט הערת שוליים חדש,number"/>
    <w:basedOn w:val="a0"/>
    <w:uiPriority w:val="99"/>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rsid w:val="000F40AF"/>
    <w:rPr>
      <w:rFonts w:ascii="Calibri" w:eastAsia="Times New Roman" w:hAnsi="Calibri" w:cs="Calibri"/>
      <w:b/>
      <w:bCs/>
      <w:sz w:val="24"/>
      <w:szCs w:val="24"/>
    </w:rPr>
  </w:style>
  <w:style w:type="paragraph" w:styleId="af8">
    <w:name w:val="Subtitle"/>
    <w:aliases w:val="איור כותרת משנה"/>
    <w:basedOn w:val="1"/>
    <w:next w:val="a"/>
    <w:link w:val="af9"/>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rsid w:val="000F40AF"/>
    <w:rPr>
      <w:rFonts w:ascii="Calibri" w:eastAsia="Times New Roman" w:hAnsi="Calibri" w:cs="Calibri"/>
      <w:sz w:val="24"/>
      <w:szCs w:val="24"/>
    </w:rPr>
  </w:style>
  <w:style w:type="paragraph" w:styleId="afa">
    <w:name w:val="caption"/>
    <w:basedOn w:val="a"/>
    <w:next w:val="a"/>
    <w:uiPriority w:val="35"/>
    <w:unhideWhenUsed/>
    <w:qFormat/>
    <w:rsid w:val="00D15300"/>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7.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6.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580C1-7F3E-4E61-A388-5E9D08373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3570</Characters>
  <Application>Microsoft Office Word</Application>
  <DocSecurity>4</DocSecurity>
  <Lines>29</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סיגל ריבון</dc:creator>
  <cp:lastModifiedBy>מיטל רולניצקי</cp:lastModifiedBy>
  <cp:revision>2</cp:revision>
  <dcterms:created xsi:type="dcterms:W3CDTF">2025-02-04T09:23:00Z</dcterms:created>
  <dcterms:modified xsi:type="dcterms:W3CDTF">2025-02-04T09:23:00Z</dcterms:modified>
</cp:coreProperties>
</file>