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5B" w:rsidRPr="0013782F" w:rsidRDefault="006A415B" w:rsidP="0013782F">
      <w:pPr>
        <w:pStyle w:val="1"/>
        <w:numPr>
          <w:ilvl w:val="0"/>
          <w:numId w:val="0"/>
        </w:numPr>
        <w:tabs>
          <w:tab w:val="left" w:pos="1878"/>
        </w:tabs>
        <w:bidi w:val="0"/>
        <w:spacing w:line="240" w:lineRule="auto"/>
        <w:ind w:right="32"/>
        <w:rPr>
          <w:rFonts w:asciiTheme="minorHAnsi" w:hAnsiTheme="minorHAnsi" w:cstheme="minorHAnsi"/>
          <w:rtl/>
          <w:lang w:eastAsia="en-US"/>
        </w:rPr>
      </w:pPr>
    </w:p>
    <w:p w:rsidR="0013782F" w:rsidRPr="0013782F" w:rsidRDefault="0013782F" w:rsidP="003844AF">
      <w:pPr>
        <w:pStyle w:val="1"/>
        <w:numPr>
          <w:ilvl w:val="0"/>
          <w:numId w:val="0"/>
        </w:numPr>
        <w:tabs>
          <w:tab w:val="left" w:pos="180"/>
        </w:tabs>
        <w:bidi w:val="0"/>
        <w:spacing w:line="240" w:lineRule="auto"/>
        <w:ind w:right="32"/>
        <w:jc w:val="right"/>
        <w:rPr>
          <w:rFonts w:asciiTheme="minorHAnsi" w:hAnsiTheme="minorHAnsi" w:cstheme="minorHAnsi"/>
          <w:lang w:eastAsia="en-US"/>
        </w:rPr>
      </w:pPr>
    </w:p>
    <w:p w:rsidR="0013782F" w:rsidRPr="0013782F" w:rsidRDefault="0013782F" w:rsidP="0013782F">
      <w:pPr>
        <w:jc w:val="center"/>
        <w:rPr>
          <w:rFonts w:asciiTheme="minorHAnsi" w:hAnsiTheme="minorHAnsi" w:cstheme="minorHAnsi"/>
          <w:rtl/>
        </w:rPr>
      </w:pPr>
      <w:r w:rsidRPr="0013782F">
        <w:rPr>
          <w:rFonts w:asciiTheme="minorHAnsi" w:hAnsiTheme="minorHAnsi" w:cstheme="minorHAnsi"/>
          <w:noProof/>
        </w:rPr>
        <w:drawing>
          <wp:inline distT="0" distB="0" distL="0" distR="0" wp14:anchorId="14A249D6" wp14:editId="30F75529">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13782F" w:rsidRPr="0013782F" w:rsidRDefault="0013782F" w:rsidP="0013782F">
      <w:pPr>
        <w:spacing w:line="300" w:lineRule="atLeast"/>
        <w:jc w:val="center"/>
        <w:rPr>
          <w:rFonts w:asciiTheme="minorHAnsi" w:eastAsia="Times New Roman" w:hAnsiTheme="minorHAnsi" w:cstheme="minorHAnsi"/>
          <w:b/>
          <w:bCs/>
        </w:rPr>
      </w:pPr>
      <w:r w:rsidRPr="0013782F">
        <w:rPr>
          <w:rFonts w:asciiTheme="minorHAnsi" w:eastAsia="Times New Roman" w:hAnsiTheme="minorHAnsi" w:cstheme="minorHAnsi"/>
          <w:b/>
          <w:bCs/>
        </w:rPr>
        <w:t>BANK OF ISRAEL</w:t>
      </w:r>
    </w:p>
    <w:p w:rsidR="0013782F" w:rsidRPr="0013782F" w:rsidRDefault="0013782F" w:rsidP="0013782F">
      <w:pPr>
        <w:spacing w:line="300" w:lineRule="atLeast"/>
        <w:jc w:val="center"/>
        <w:rPr>
          <w:rFonts w:asciiTheme="minorHAnsi" w:eastAsia="Times New Roman" w:hAnsiTheme="minorHAnsi" w:cstheme="minorHAnsi"/>
        </w:rPr>
      </w:pPr>
      <w:r w:rsidRPr="0013782F">
        <w:rPr>
          <w:rFonts w:asciiTheme="minorHAnsi" w:eastAsia="Times New Roman" w:hAnsiTheme="minorHAnsi" w:cstheme="minorHAnsi"/>
        </w:rPr>
        <w:t>Office of the Spokesperson and Economic Information</w:t>
      </w:r>
    </w:p>
    <w:p w:rsidR="0013782F" w:rsidRPr="0013782F" w:rsidRDefault="0013782F" w:rsidP="0013782F">
      <w:pPr>
        <w:jc w:val="both"/>
        <w:rPr>
          <w:rFonts w:asciiTheme="minorHAnsi" w:hAnsiTheme="minorHAnsi" w:cstheme="minorHAnsi"/>
          <w:rtl/>
        </w:rPr>
      </w:pPr>
      <w:r w:rsidRPr="0013782F">
        <w:rPr>
          <w:rFonts w:asciiTheme="minorHAnsi" w:hAnsiTheme="minorHAnsi" w:cstheme="minorHAnsi"/>
        </w:rPr>
        <w:br/>
      </w:r>
    </w:p>
    <w:p w:rsidR="0013782F" w:rsidRPr="0013782F" w:rsidRDefault="0013782F" w:rsidP="0013782F">
      <w:pPr>
        <w:pStyle w:val="1"/>
        <w:numPr>
          <w:ilvl w:val="0"/>
          <w:numId w:val="0"/>
        </w:numPr>
        <w:tabs>
          <w:tab w:val="left" w:pos="180"/>
        </w:tabs>
        <w:bidi w:val="0"/>
        <w:spacing w:line="240" w:lineRule="auto"/>
        <w:ind w:right="32"/>
        <w:jc w:val="center"/>
        <w:rPr>
          <w:rFonts w:asciiTheme="minorHAnsi" w:hAnsiTheme="minorHAnsi" w:cstheme="minorHAnsi"/>
          <w:lang w:eastAsia="en-US"/>
        </w:rPr>
      </w:pPr>
    </w:p>
    <w:p w:rsidR="0013782F" w:rsidRPr="0013782F" w:rsidRDefault="0013782F" w:rsidP="0013782F">
      <w:pPr>
        <w:pStyle w:val="1"/>
        <w:numPr>
          <w:ilvl w:val="0"/>
          <w:numId w:val="0"/>
        </w:numPr>
        <w:tabs>
          <w:tab w:val="left" w:pos="180"/>
        </w:tabs>
        <w:bidi w:val="0"/>
        <w:spacing w:line="240" w:lineRule="auto"/>
        <w:ind w:right="32"/>
        <w:jc w:val="right"/>
        <w:rPr>
          <w:rFonts w:asciiTheme="minorHAnsi" w:hAnsiTheme="minorHAnsi" w:cstheme="minorHAnsi"/>
          <w:lang w:eastAsia="en-US"/>
        </w:rPr>
      </w:pPr>
    </w:p>
    <w:p w:rsidR="0013782F" w:rsidRPr="0013782F" w:rsidRDefault="0013782F" w:rsidP="0013782F">
      <w:pPr>
        <w:pStyle w:val="1"/>
        <w:numPr>
          <w:ilvl w:val="0"/>
          <w:numId w:val="0"/>
        </w:numPr>
        <w:tabs>
          <w:tab w:val="left" w:pos="180"/>
        </w:tabs>
        <w:bidi w:val="0"/>
        <w:spacing w:line="240" w:lineRule="auto"/>
        <w:ind w:right="32"/>
        <w:jc w:val="right"/>
        <w:rPr>
          <w:rFonts w:asciiTheme="minorHAnsi" w:hAnsiTheme="minorHAnsi" w:cstheme="minorHAnsi"/>
          <w:lang w:eastAsia="en-US"/>
        </w:rPr>
      </w:pPr>
    </w:p>
    <w:p w:rsidR="006A415B" w:rsidRPr="0013782F" w:rsidRDefault="008D2CE3" w:rsidP="0013782F">
      <w:pPr>
        <w:pStyle w:val="1"/>
        <w:numPr>
          <w:ilvl w:val="0"/>
          <w:numId w:val="0"/>
        </w:numPr>
        <w:tabs>
          <w:tab w:val="left" w:pos="180"/>
        </w:tabs>
        <w:bidi w:val="0"/>
        <w:spacing w:line="240" w:lineRule="auto"/>
        <w:ind w:right="32"/>
        <w:jc w:val="right"/>
        <w:rPr>
          <w:rFonts w:asciiTheme="minorHAnsi" w:hAnsiTheme="minorHAnsi" w:cstheme="minorHAnsi"/>
          <w:lang w:eastAsia="en-US"/>
        </w:rPr>
      </w:pPr>
      <w:r w:rsidRPr="0013782F">
        <w:rPr>
          <w:rFonts w:asciiTheme="minorHAnsi" w:hAnsiTheme="minorHAnsi" w:cstheme="minorHAnsi"/>
          <w:lang w:eastAsia="en-US"/>
        </w:rPr>
        <w:t>October 9</w:t>
      </w:r>
      <w:r w:rsidR="003844AF" w:rsidRPr="0013782F">
        <w:rPr>
          <w:rFonts w:asciiTheme="minorHAnsi" w:hAnsiTheme="minorHAnsi" w:cstheme="minorHAnsi"/>
          <w:lang w:eastAsia="en-US"/>
        </w:rPr>
        <w:t>, 2024</w:t>
      </w:r>
    </w:p>
    <w:p w:rsidR="0013782F" w:rsidRPr="0013782F" w:rsidRDefault="0013782F" w:rsidP="0013782F">
      <w:pPr>
        <w:pStyle w:val="1"/>
        <w:numPr>
          <w:ilvl w:val="0"/>
          <w:numId w:val="0"/>
        </w:numPr>
        <w:tabs>
          <w:tab w:val="left" w:pos="180"/>
        </w:tabs>
        <w:bidi w:val="0"/>
        <w:spacing w:line="240" w:lineRule="auto"/>
        <w:ind w:right="32"/>
        <w:jc w:val="center"/>
        <w:rPr>
          <w:rFonts w:asciiTheme="minorHAnsi" w:hAnsiTheme="minorHAnsi" w:cstheme="minorHAnsi"/>
          <w:rtl/>
          <w:lang w:eastAsia="en-US"/>
        </w:rPr>
      </w:pPr>
    </w:p>
    <w:p w:rsidR="006A415B" w:rsidRPr="0013782F" w:rsidRDefault="006A415B" w:rsidP="0013782F">
      <w:pPr>
        <w:pStyle w:val="aa"/>
        <w:bidi w:val="0"/>
        <w:spacing w:line="240" w:lineRule="auto"/>
        <w:jc w:val="left"/>
        <w:rPr>
          <w:rFonts w:asciiTheme="minorHAnsi" w:hAnsiTheme="minorHAnsi" w:cstheme="minorHAnsi"/>
        </w:rPr>
      </w:pPr>
    </w:p>
    <w:p w:rsidR="006A415B" w:rsidRPr="0013782F" w:rsidRDefault="006A415B" w:rsidP="0013782F">
      <w:pPr>
        <w:pStyle w:val="aa"/>
        <w:bidi w:val="0"/>
        <w:spacing w:line="240" w:lineRule="auto"/>
        <w:jc w:val="left"/>
        <w:rPr>
          <w:rFonts w:asciiTheme="minorHAnsi" w:hAnsiTheme="minorHAnsi" w:cstheme="minorHAnsi"/>
          <w:b/>
          <w:bCs/>
          <w:sz w:val="26"/>
          <w:szCs w:val="26"/>
        </w:rPr>
      </w:pPr>
      <w:r w:rsidRPr="0013782F">
        <w:rPr>
          <w:rFonts w:asciiTheme="minorHAnsi" w:hAnsiTheme="minorHAnsi" w:cstheme="minorHAnsi"/>
          <w:b/>
          <w:bCs/>
          <w:sz w:val="26"/>
          <w:szCs w:val="26"/>
        </w:rPr>
        <w:t>Press Release</w:t>
      </w:r>
      <w:r w:rsidR="0013782F" w:rsidRPr="0013782F">
        <w:rPr>
          <w:rFonts w:asciiTheme="minorHAnsi" w:hAnsiTheme="minorHAnsi" w:cstheme="minorHAnsi"/>
          <w:b/>
          <w:bCs/>
          <w:sz w:val="26"/>
          <w:szCs w:val="26"/>
        </w:rPr>
        <w:t>:</w:t>
      </w:r>
    </w:p>
    <w:p w:rsidR="006A415B" w:rsidRPr="0013782F" w:rsidRDefault="006A415B" w:rsidP="00C2592B">
      <w:pPr>
        <w:jc w:val="center"/>
        <w:rPr>
          <w:rFonts w:asciiTheme="minorHAnsi" w:hAnsiTheme="minorHAnsi" w:cstheme="minorHAnsi"/>
          <w:b/>
          <w:bCs/>
          <w:rtl/>
        </w:rPr>
      </w:pPr>
    </w:p>
    <w:p w:rsidR="006A415B" w:rsidRPr="0013782F" w:rsidRDefault="006A415B" w:rsidP="008D2CE3">
      <w:pPr>
        <w:jc w:val="center"/>
        <w:rPr>
          <w:rFonts w:asciiTheme="minorHAnsi" w:hAnsiTheme="minorHAnsi" w:cstheme="minorHAnsi"/>
          <w:b/>
          <w:bCs/>
          <w:sz w:val="32"/>
          <w:szCs w:val="32"/>
        </w:rPr>
      </w:pPr>
      <w:r w:rsidRPr="0013782F">
        <w:rPr>
          <w:rFonts w:asciiTheme="minorHAnsi" w:hAnsiTheme="minorHAnsi" w:cstheme="minorHAnsi"/>
          <w:b/>
          <w:bCs/>
          <w:sz w:val="32"/>
          <w:szCs w:val="32"/>
        </w:rPr>
        <w:t xml:space="preserve">The Monetary Committee decides on </w:t>
      </w:r>
      <w:r w:rsidR="008D2CE3" w:rsidRPr="0013782F">
        <w:rPr>
          <w:rFonts w:asciiTheme="minorHAnsi" w:hAnsiTheme="minorHAnsi" w:cstheme="minorHAnsi"/>
          <w:b/>
          <w:bCs/>
          <w:sz w:val="32"/>
          <w:szCs w:val="32"/>
        </w:rPr>
        <w:t>October</w:t>
      </w:r>
      <w:bookmarkStart w:id="0" w:name="_GoBack"/>
      <w:bookmarkEnd w:id="0"/>
      <w:r w:rsidR="008D2CE3" w:rsidRPr="0013782F">
        <w:rPr>
          <w:rFonts w:asciiTheme="minorHAnsi" w:hAnsiTheme="minorHAnsi" w:cstheme="minorHAnsi"/>
          <w:b/>
          <w:bCs/>
          <w:sz w:val="32"/>
          <w:szCs w:val="32"/>
        </w:rPr>
        <w:t xml:space="preserve"> 9</w:t>
      </w:r>
      <w:r w:rsidR="00823117" w:rsidRPr="0013782F">
        <w:rPr>
          <w:rFonts w:asciiTheme="minorHAnsi" w:hAnsiTheme="minorHAnsi" w:cstheme="minorHAnsi"/>
          <w:b/>
          <w:bCs/>
          <w:sz w:val="32"/>
          <w:szCs w:val="32"/>
        </w:rPr>
        <w:t>, 2024</w:t>
      </w:r>
      <w:r w:rsidRPr="0013782F">
        <w:rPr>
          <w:rFonts w:asciiTheme="minorHAnsi" w:hAnsiTheme="minorHAnsi" w:cstheme="minorHAnsi"/>
          <w:b/>
          <w:bCs/>
          <w:sz w:val="32"/>
          <w:szCs w:val="32"/>
        </w:rPr>
        <w:t xml:space="preserve"> </w:t>
      </w:r>
    </w:p>
    <w:p w:rsidR="0013782F" w:rsidRPr="0013782F" w:rsidRDefault="0013782F" w:rsidP="0013782F">
      <w:pPr>
        <w:ind w:left="340"/>
        <w:jc w:val="center"/>
        <w:rPr>
          <w:rFonts w:asciiTheme="minorHAnsi" w:hAnsiTheme="minorHAnsi" w:cstheme="minorHAnsi"/>
          <w:b/>
          <w:bCs/>
          <w:sz w:val="32"/>
          <w:szCs w:val="32"/>
        </w:rPr>
      </w:pPr>
      <w:proofErr w:type="gramStart"/>
      <w:r w:rsidRPr="0013782F">
        <w:rPr>
          <w:rFonts w:asciiTheme="minorHAnsi" w:hAnsiTheme="minorHAnsi" w:cstheme="minorHAnsi"/>
          <w:b/>
          <w:bCs/>
          <w:sz w:val="32"/>
          <w:szCs w:val="32"/>
        </w:rPr>
        <w:t>to</w:t>
      </w:r>
      <w:proofErr w:type="gramEnd"/>
      <w:r w:rsidRPr="0013782F">
        <w:rPr>
          <w:rFonts w:asciiTheme="minorHAnsi" w:hAnsiTheme="minorHAnsi" w:cstheme="minorHAnsi"/>
          <w:b/>
          <w:bCs/>
          <w:sz w:val="32"/>
          <w:szCs w:val="32"/>
        </w:rPr>
        <w:t xml:space="preserve"> leave the interest rate unchanged at 4.5 percent</w:t>
      </w:r>
    </w:p>
    <w:p w:rsidR="006A415B" w:rsidRPr="0013782F" w:rsidRDefault="006A415B" w:rsidP="0013782F">
      <w:pPr>
        <w:jc w:val="center"/>
        <w:rPr>
          <w:rFonts w:asciiTheme="minorHAnsi" w:hAnsiTheme="minorHAnsi" w:cstheme="minorHAnsi"/>
          <w:b/>
          <w:bCs/>
          <w:sz w:val="32"/>
          <w:szCs w:val="32"/>
        </w:rPr>
      </w:pPr>
    </w:p>
    <w:p w:rsidR="000512B0" w:rsidRPr="0013782F" w:rsidRDefault="000512B0" w:rsidP="00C2592B">
      <w:pPr>
        <w:jc w:val="both"/>
        <w:rPr>
          <w:rFonts w:asciiTheme="minorHAnsi" w:hAnsiTheme="minorHAnsi" w:cstheme="minorHAnsi"/>
        </w:rPr>
      </w:pPr>
    </w:p>
    <w:p w:rsidR="00937C76" w:rsidRPr="0013782F" w:rsidRDefault="006D2216" w:rsidP="006D2216">
      <w:pPr>
        <w:pStyle w:val="ac"/>
        <w:numPr>
          <w:ilvl w:val="0"/>
          <w:numId w:val="13"/>
        </w:numPr>
        <w:bidi w:val="0"/>
        <w:spacing w:line="240" w:lineRule="auto"/>
        <w:ind w:right="259"/>
        <w:rPr>
          <w:rFonts w:asciiTheme="minorHAnsi" w:hAnsiTheme="minorHAnsi" w:cstheme="minorHAnsi"/>
          <w:b/>
          <w:bCs/>
        </w:rPr>
      </w:pPr>
      <w:r w:rsidRPr="0013782F">
        <w:rPr>
          <w:rFonts w:asciiTheme="minorHAnsi" w:hAnsiTheme="minorHAnsi" w:cstheme="minorHAnsi"/>
          <w:b/>
          <w:bCs/>
        </w:rPr>
        <w:t>W</w:t>
      </w:r>
      <w:r w:rsidR="008D2CE3" w:rsidRPr="0013782F">
        <w:rPr>
          <w:rFonts w:asciiTheme="minorHAnsi" w:hAnsiTheme="minorHAnsi" w:cstheme="minorHAnsi"/>
          <w:b/>
          <w:bCs/>
        </w:rPr>
        <w:t>e have seen an increase in the inflation environment</w:t>
      </w:r>
      <w:r w:rsidRPr="0013782F">
        <w:rPr>
          <w:rFonts w:asciiTheme="minorHAnsi" w:hAnsiTheme="minorHAnsi" w:cstheme="minorHAnsi"/>
          <w:b/>
          <w:bCs/>
        </w:rPr>
        <w:t xml:space="preserve"> in view of the supply limitations in the economy</w:t>
      </w:r>
      <w:r w:rsidR="008D2CE3" w:rsidRPr="0013782F">
        <w:rPr>
          <w:rFonts w:asciiTheme="minorHAnsi" w:hAnsiTheme="minorHAnsi" w:cstheme="minorHAnsi"/>
          <w:b/>
          <w:bCs/>
        </w:rPr>
        <w:t xml:space="preserve">.  The </w:t>
      </w:r>
      <w:r w:rsidR="00B66FC2" w:rsidRPr="0013782F">
        <w:rPr>
          <w:rFonts w:asciiTheme="minorHAnsi" w:hAnsiTheme="minorHAnsi" w:cstheme="minorHAnsi"/>
          <w:b/>
          <w:bCs/>
        </w:rPr>
        <w:t>increase</w:t>
      </w:r>
      <w:r w:rsidR="008D2CE3" w:rsidRPr="0013782F">
        <w:rPr>
          <w:rFonts w:asciiTheme="minorHAnsi" w:hAnsiTheme="minorHAnsi" w:cstheme="minorHAnsi"/>
          <w:b/>
          <w:bCs/>
        </w:rPr>
        <w:t xml:space="preserve"> in the pace of inflation is broad, and is reflected in both the nontradable and tradable components.</w:t>
      </w:r>
    </w:p>
    <w:p w:rsidR="008D2CE3" w:rsidRPr="0013782F" w:rsidRDefault="00961935" w:rsidP="006D2216">
      <w:pPr>
        <w:pStyle w:val="ac"/>
        <w:numPr>
          <w:ilvl w:val="0"/>
          <w:numId w:val="13"/>
        </w:numPr>
        <w:bidi w:val="0"/>
        <w:spacing w:line="240" w:lineRule="auto"/>
        <w:ind w:right="259"/>
        <w:rPr>
          <w:rFonts w:asciiTheme="minorHAnsi" w:hAnsiTheme="minorHAnsi" w:cstheme="minorHAnsi"/>
          <w:b/>
          <w:bCs/>
        </w:rPr>
      </w:pPr>
      <w:r w:rsidRPr="0013782F">
        <w:rPr>
          <w:rFonts w:asciiTheme="minorHAnsi" w:hAnsiTheme="minorHAnsi" w:cstheme="minorHAnsi"/>
          <w:b/>
          <w:bCs/>
        </w:rPr>
        <w:t>In t</w:t>
      </w:r>
      <w:r w:rsidR="008D2CE3" w:rsidRPr="0013782F">
        <w:rPr>
          <w:rFonts w:asciiTheme="minorHAnsi" w:hAnsiTheme="minorHAnsi" w:cstheme="minorHAnsi"/>
          <w:b/>
          <w:bCs/>
        </w:rPr>
        <w:t xml:space="preserve">he </w:t>
      </w:r>
      <w:r w:rsidR="00B66FC2" w:rsidRPr="0013782F">
        <w:rPr>
          <w:rFonts w:asciiTheme="minorHAnsi" w:hAnsiTheme="minorHAnsi" w:cstheme="minorHAnsi"/>
          <w:b/>
          <w:bCs/>
        </w:rPr>
        <w:t>base</w:t>
      </w:r>
      <w:r w:rsidRPr="0013782F">
        <w:rPr>
          <w:rFonts w:asciiTheme="minorHAnsi" w:hAnsiTheme="minorHAnsi" w:cstheme="minorHAnsi"/>
          <w:b/>
          <w:bCs/>
        </w:rPr>
        <w:t>line</w:t>
      </w:r>
      <w:r w:rsidR="00B66FC2" w:rsidRPr="0013782F">
        <w:rPr>
          <w:rFonts w:asciiTheme="minorHAnsi" w:hAnsiTheme="minorHAnsi" w:cstheme="minorHAnsi"/>
          <w:b/>
          <w:bCs/>
        </w:rPr>
        <w:t xml:space="preserve"> scenario of the </w:t>
      </w:r>
      <w:r w:rsidR="008D2CE3" w:rsidRPr="0013782F">
        <w:rPr>
          <w:rFonts w:asciiTheme="minorHAnsi" w:hAnsiTheme="minorHAnsi" w:cstheme="minorHAnsi"/>
          <w:b/>
          <w:bCs/>
        </w:rPr>
        <w:t>Research Department’s macroeconomic staff forecast</w:t>
      </w:r>
      <w:r w:rsidRPr="0013782F">
        <w:rPr>
          <w:rFonts w:asciiTheme="minorHAnsi" w:hAnsiTheme="minorHAnsi" w:cstheme="minorHAnsi"/>
          <w:b/>
          <w:bCs/>
        </w:rPr>
        <w:t>,</w:t>
      </w:r>
      <w:r w:rsidR="008D2CE3" w:rsidRPr="0013782F">
        <w:rPr>
          <w:rFonts w:asciiTheme="minorHAnsi" w:hAnsiTheme="minorHAnsi" w:cstheme="minorHAnsi"/>
          <w:b/>
          <w:bCs/>
        </w:rPr>
        <w:t xml:space="preserve"> GDP </w:t>
      </w:r>
      <w:r w:rsidRPr="0013782F">
        <w:rPr>
          <w:rFonts w:asciiTheme="minorHAnsi" w:hAnsiTheme="minorHAnsi" w:cstheme="minorHAnsi"/>
          <w:b/>
          <w:bCs/>
        </w:rPr>
        <w:t>is expected to</w:t>
      </w:r>
      <w:r w:rsidR="008D2CE3" w:rsidRPr="0013782F">
        <w:rPr>
          <w:rFonts w:asciiTheme="minorHAnsi" w:hAnsiTheme="minorHAnsi" w:cstheme="minorHAnsi"/>
          <w:b/>
          <w:bCs/>
        </w:rPr>
        <w:t xml:space="preserve"> grow by 0.5 percent in 2024 and by 3.8 percent in 2025.  These growth rates are 1 and 0.4 percentage points, respectively, lower than the previous forecast.</w:t>
      </w:r>
    </w:p>
    <w:p w:rsidR="008D2CE3" w:rsidRPr="0013782F" w:rsidRDefault="008D2CE3" w:rsidP="00B66FC2">
      <w:pPr>
        <w:pStyle w:val="ac"/>
        <w:numPr>
          <w:ilvl w:val="0"/>
          <w:numId w:val="13"/>
        </w:numPr>
        <w:bidi w:val="0"/>
        <w:spacing w:line="240" w:lineRule="auto"/>
        <w:ind w:right="259"/>
        <w:rPr>
          <w:rFonts w:asciiTheme="minorHAnsi" w:hAnsiTheme="minorHAnsi" w:cstheme="minorHAnsi"/>
          <w:b/>
          <w:bCs/>
        </w:rPr>
      </w:pPr>
      <w:r w:rsidRPr="0013782F">
        <w:rPr>
          <w:rFonts w:asciiTheme="minorHAnsi" w:hAnsiTheme="minorHAnsi" w:cstheme="minorHAnsi"/>
          <w:b/>
          <w:bCs/>
        </w:rPr>
        <w:t xml:space="preserve">The </w:t>
      </w:r>
      <w:r w:rsidR="006D2216" w:rsidRPr="0013782F">
        <w:rPr>
          <w:rFonts w:asciiTheme="minorHAnsi" w:hAnsiTheme="minorHAnsi" w:cstheme="minorHAnsi"/>
          <w:b/>
          <w:bCs/>
        </w:rPr>
        <w:t xml:space="preserve">latest </w:t>
      </w:r>
      <w:r w:rsidRPr="0013782F">
        <w:rPr>
          <w:rFonts w:asciiTheme="minorHAnsi" w:hAnsiTheme="minorHAnsi" w:cstheme="minorHAnsi"/>
          <w:b/>
          <w:bCs/>
        </w:rPr>
        <w:t>indicators of economic activity point to some increase in activity</w:t>
      </w:r>
      <w:r w:rsidR="00B66FC2" w:rsidRPr="0013782F">
        <w:rPr>
          <w:rFonts w:asciiTheme="minorHAnsi" w:hAnsiTheme="minorHAnsi" w:cstheme="minorHAnsi"/>
          <w:b/>
          <w:bCs/>
        </w:rPr>
        <w:t xml:space="preserve"> in the third quarter</w:t>
      </w:r>
      <w:r w:rsidRPr="0013782F">
        <w:rPr>
          <w:rFonts w:asciiTheme="minorHAnsi" w:hAnsiTheme="minorHAnsi" w:cstheme="minorHAnsi"/>
          <w:b/>
          <w:bCs/>
        </w:rPr>
        <w:t>, although the level of activity remains distant from the trend line.  The labor market remains tight, mainly in view of the supply limitations.</w:t>
      </w:r>
    </w:p>
    <w:p w:rsidR="008D2CE3" w:rsidRPr="0013782F" w:rsidRDefault="008D2CE3" w:rsidP="006D2216">
      <w:pPr>
        <w:pStyle w:val="ac"/>
        <w:numPr>
          <w:ilvl w:val="0"/>
          <w:numId w:val="13"/>
        </w:numPr>
        <w:bidi w:val="0"/>
        <w:spacing w:line="240" w:lineRule="auto"/>
        <w:ind w:right="259"/>
        <w:rPr>
          <w:rFonts w:asciiTheme="minorHAnsi" w:hAnsiTheme="minorHAnsi" w:cstheme="minorHAnsi"/>
          <w:b/>
          <w:bCs/>
        </w:rPr>
      </w:pPr>
      <w:r w:rsidRPr="0013782F">
        <w:rPr>
          <w:rFonts w:asciiTheme="minorHAnsi" w:hAnsiTheme="minorHAnsi" w:cstheme="minorHAnsi"/>
          <w:b/>
          <w:bCs/>
        </w:rPr>
        <w:t xml:space="preserve">In the housing market, the rapid increase in home prices continues, and </w:t>
      </w:r>
      <w:r w:rsidR="006D2216" w:rsidRPr="0013782F">
        <w:rPr>
          <w:rFonts w:asciiTheme="minorHAnsi" w:hAnsiTheme="minorHAnsi" w:cstheme="minorHAnsi"/>
          <w:b/>
          <w:bCs/>
        </w:rPr>
        <w:t>constraints</w:t>
      </w:r>
      <w:r w:rsidRPr="0013782F">
        <w:rPr>
          <w:rFonts w:asciiTheme="minorHAnsi" w:hAnsiTheme="minorHAnsi" w:cstheme="minorHAnsi"/>
          <w:b/>
          <w:bCs/>
        </w:rPr>
        <w:t xml:space="preserve"> on activity in the construction industry remain significant.</w:t>
      </w:r>
    </w:p>
    <w:p w:rsidR="008D2CE3" w:rsidRPr="0013782F" w:rsidRDefault="008D2CE3" w:rsidP="00A35AAB">
      <w:pPr>
        <w:pStyle w:val="ac"/>
        <w:numPr>
          <w:ilvl w:val="0"/>
          <w:numId w:val="13"/>
        </w:numPr>
        <w:bidi w:val="0"/>
        <w:spacing w:line="240" w:lineRule="auto"/>
        <w:ind w:right="259"/>
        <w:rPr>
          <w:rFonts w:asciiTheme="minorHAnsi" w:hAnsiTheme="minorHAnsi" w:cstheme="minorHAnsi"/>
          <w:b/>
          <w:bCs/>
        </w:rPr>
      </w:pPr>
      <w:r w:rsidRPr="0013782F">
        <w:rPr>
          <w:rFonts w:asciiTheme="minorHAnsi" w:hAnsiTheme="minorHAnsi" w:cstheme="minorHAnsi"/>
          <w:b/>
          <w:bCs/>
        </w:rPr>
        <w:t xml:space="preserve">The continuing geopolitical uncertainty was reflected in a </w:t>
      </w:r>
      <w:r w:rsidR="00A35AAB" w:rsidRPr="0013782F">
        <w:rPr>
          <w:rFonts w:asciiTheme="minorHAnsi" w:hAnsiTheme="minorHAnsi" w:cstheme="minorHAnsi"/>
          <w:b/>
          <w:bCs/>
        </w:rPr>
        <w:t>downgrading</w:t>
      </w:r>
      <w:r w:rsidRPr="0013782F">
        <w:rPr>
          <w:rFonts w:asciiTheme="minorHAnsi" w:hAnsiTheme="minorHAnsi" w:cstheme="minorHAnsi"/>
          <w:b/>
          <w:bCs/>
        </w:rPr>
        <w:t xml:space="preserve"> of Israel’s credit rating and an increase in the economy’s risk premium.  The increase in tension in the Middle East has so far had a moderate effect on the global financial markets, while oil and natural gas prices have increased.</w:t>
      </w:r>
    </w:p>
    <w:p w:rsidR="00CD5043" w:rsidRPr="0013782F" w:rsidRDefault="00CD5043" w:rsidP="00CD5043">
      <w:pPr>
        <w:rPr>
          <w:rFonts w:asciiTheme="minorHAnsi" w:hAnsiTheme="minorHAnsi" w:cstheme="minorHAnsi"/>
          <w:b/>
          <w:bCs/>
          <w:rtl/>
        </w:rPr>
      </w:pPr>
    </w:p>
    <w:p w:rsidR="00514240" w:rsidRPr="0013782F" w:rsidRDefault="003E2FB9" w:rsidP="006075EE">
      <w:pPr>
        <w:ind w:right="265"/>
        <w:jc w:val="both"/>
        <w:rPr>
          <w:rFonts w:asciiTheme="minorHAnsi" w:hAnsiTheme="minorHAnsi" w:cstheme="minorHAnsi"/>
          <w:b/>
          <w:bCs/>
        </w:rPr>
      </w:pPr>
      <w:r w:rsidRPr="0013782F">
        <w:rPr>
          <w:rFonts w:asciiTheme="minorHAnsi" w:hAnsiTheme="minorHAnsi" w:cstheme="minorHAnsi"/>
          <w:b/>
          <w:bCs/>
        </w:rPr>
        <w:t xml:space="preserve">In view of the </w:t>
      </w:r>
      <w:r w:rsidR="00DF60FF" w:rsidRPr="0013782F">
        <w:rPr>
          <w:rFonts w:asciiTheme="minorHAnsi" w:hAnsiTheme="minorHAnsi" w:cstheme="minorHAnsi"/>
          <w:b/>
          <w:bCs/>
        </w:rPr>
        <w:t xml:space="preserve">continuing </w:t>
      </w:r>
      <w:r w:rsidRPr="0013782F">
        <w:rPr>
          <w:rFonts w:asciiTheme="minorHAnsi" w:hAnsiTheme="minorHAnsi" w:cstheme="minorHAnsi"/>
          <w:b/>
          <w:bCs/>
        </w:rPr>
        <w:t xml:space="preserve">war, the Monetary Committee’s policy is focusing on stabilizing the markets and reducing uncertainty, </w:t>
      </w:r>
      <w:r w:rsidR="008D5EB4" w:rsidRPr="0013782F">
        <w:rPr>
          <w:rFonts w:asciiTheme="minorHAnsi" w:hAnsiTheme="minorHAnsi" w:cstheme="minorHAnsi"/>
          <w:b/>
          <w:bCs/>
        </w:rPr>
        <w:t>alongside price stability and supporting economic activity.</w:t>
      </w:r>
      <w:r w:rsidR="00195AC7" w:rsidRPr="0013782F">
        <w:rPr>
          <w:rFonts w:asciiTheme="minorHAnsi" w:hAnsiTheme="minorHAnsi" w:cstheme="minorHAnsi"/>
          <w:b/>
          <w:bCs/>
        </w:rPr>
        <w:t xml:space="preserve"> </w:t>
      </w:r>
      <w:r w:rsidR="008D5EB4" w:rsidRPr="0013782F">
        <w:rPr>
          <w:rFonts w:asciiTheme="minorHAnsi" w:hAnsiTheme="minorHAnsi" w:cstheme="minorHAnsi"/>
          <w:b/>
          <w:bCs/>
        </w:rPr>
        <w:t>The interest rate path</w:t>
      </w:r>
      <w:r w:rsidRPr="0013782F">
        <w:rPr>
          <w:rFonts w:asciiTheme="minorHAnsi" w:hAnsiTheme="minorHAnsi" w:cstheme="minorHAnsi"/>
          <w:b/>
          <w:bCs/>
        </w:rPr>
        <w:t xml:space="preserve"> will be determined in accordance with</w:t>
      </w:r>
      <w:r w:rsidR="00560CDB" w:rsidRPr="0013782F">
        <w:rPr>
          <w:rFonts w:asciiTheme="minorHAnsi" w:hAnsiTheme="minorHAnsi" w:cstheme="minorHAnsi"/>
          <w:b/>
          <w:bCs/>
        </w:rPr>
        <w:t xml:space="preserve"> the convergence of inflation to its target, continued stability in the</w:t>
      </w:r>
      <w:r w:rsidR="00851499" w:rsidRPr="0013782F">
        <w:rPr>
          <w:rFonts w:asciiTheme="minorHAnsi" w:hAnsiTheme="minorHAnsi" w:cstheme="minorHAnsi"/>
          <w:b/>
          <w:bCs/>
        </w:rPr>
        <w:t xml:space="preserve"> </w:t>
      </w:r>
      <w:r w:rsidR="008D5EB4" w:rsidRPr="0013782F">
        <w:rPr>
          <w:rFonts w:asciiTheme="minorHAnsi" w:hAnsiTheme="minorHAnsi" w:cstheme="minorHAnsi"/>
          <w:b/>
          <w:bCs/>
        </w:rPr>
        <w:t>financial markets</w:t>
      </w:r>
      <w:r w:rsidR="00560CDB" w:rsidRPr="0013782F">
        <w:rPr>
          <w:rFonts w:asciiTheme="minorHAnsi" w:hAnsiTheme="minorHAnsi" w:cstheme="minorHAnsi"/>
          <w:b/>
          <w:bCs/>
        </w:rPr>
        <w:t xml:space="preserve">, </w:t>
      </w:r>
      <w:r w:rsidR="008D5EB4" w:rsidRPr="0013782F">
        <w:rPr>
          <w:rFonts w:asciiTheme="minorHAnsi" w:hAnsiTheme="minorHAnsi" w:cstheme="minorHAnsi"/>
          <w:b/>
          <w:bCs/>
        </w:rPr>
        <w:t>economic activity</w:t>
      </w:r>
      <w:r w:rsidR="00560CDB" w:rsidRPr="0013782F">
        <w:rPr>
          <w:rFonts w:asciiTheme="minorHAnsi" w:hAnsiTheme="minorHAnsi" w:cstheme="minorHAnsi"/>
          <w:b/>
          <w:bCs/>
        </w:rPr>
        <w:t>, and fiscal policy</w:t>
      </w:r>
      <w:r w:rsidR="008D5EB4" w:rsidRPr="0013782F">
        <w:rPr>
          <w:rFonts w:asciiTheme="minorHAnsi" w:hAnsiTheme="minorHAnsi" w:cstheme="minorHAnsi"/>
          <w:b/>
          <w:bCs/>
        </w:rPr>
        <w:t>.</w:t>
      </w:r>
    </w:p>
    <w:p w:rsidR="00982234" w:rsidRPr="0013782F" w:rsidRDefault="00982234" w:rsidP="006075EE">
      <w:pPr>
        <w:ind w:right="265"/>
        <w:jc w:val="both"/>
        <w:rPr>
          <w:rFonts w:asciiTheme="minorHAnsi" w:hAnsiTheme="minorHAnsi" w:cstheme="minorHAnsi"/>
          <w:b/>
          <w:bCs/>
        </w:rPr>
      </w:pPr>
    </w:p>
    <w:p w:rsidR="00982234" w:rsidRPr="0013782F" w:rsidRDefault="00982234" w:rsidP="006075EE">
      <w:pPr>
        <w:ind w:right="265"/>
        <w:jc w:val="both"/>
        <w:rPr>
          <w:rFonts w:asciiTheme="minorHAnsi" w:hAnsiTheme="minorHAnsi" w:cstheme="minorHAnsi"/>
          <w:b/>
          <w:bCs/>
        </w:rPr>
      </w:pPr>
    </w:p>
    <w:p w:rsidR="007B5771" w:rsidRPr="0013782F" w:rsidRDefault="007B5771" w:rsidP="006075EE">
      <w:pPr>
        <w:rPr>
          <w:rFonts w:asciiTheme="minorHAnsi" w:hAnsiTheme="minorHAnsi" w:cstheme="minorHAnsi"/>
          <w:b/>
          <w:bCs/>
        </w:rPr>
      </w:pPr>
      <w:r w:rsidRPr="0013782F">
        <w:rPr>
          <w:rFonts w:asciiTheme="minorHAnsi" w:hAnsiTheme="minorHAnsi" w:cstheme="minorHAnsi"/>
          <w:b/>
          <w:bCs/>
        </w:rPr>
        <w:t>For the file of figures accompanying this notice, click here.</w:t>
      </w:r>
    </w:p>
    <w:p w:rsidR="002E392D" w:rsidRPr="0013782F" w:rsidRDefault="002E392D" w:rsidP="006075EE">
      <w:pPr>
        <w:jc w:val="both"/>
        <w:rPr>
          <w:rFonts w:asciiTheme="minorHAnsi" w:hAnsiTheme="minorHAnsi" w:cstheme="minorHAnsi"/>
        </w:rPr>
      </w:pPr>
    </w:p>
    <w:p w:rsidR="00A34B91" w:rsidRPr="0013782F" w:rsidRDefault="00A34B91" w:rsidP="006075EE">
      <w:pPr>
        <w:ind w:right="265"/>
        <w:jc w:val="both"/>
        <w:rPr>
          <w:rFonts w:asciiTheme="minorHAnsi" w:hAnsiTheme="minorHAnsi" w:cstheme="minorHAnsi"/>
        </w:rPr>
      </w:pPr>
    </w:p>
    <w:p w:rsidR="0036423D" w:rsidRPr="0013782F" w:rsidRDefault="0036423D" w:rsidP="006D2216">
      <w:pPr>
        <w:ind w:right="265"/>
        <w:jc w:val="both"/>
        <w:rPr>
          <w:rFonts w:asciiTheme="minorHAnsi" w:hAnsiTheme="minorHAnsi" w:cstheme="minorHAnsi"/>
        </w:rPr>
      </w:pPr>
      <w:r w:rsidRPr="0013782F">
        <w:rPr>
          <w:rFonts w:asciiTheme="minorHAnsi" w:hAnsiTheme="minorHAnsi" w:cstheme="minorHAnsi"/>
        </w:rPr>
        <w:t xml:space="preserve">The State of Israel is in the midst of </w:t>
      </w:r>
      <w:r w:rsidR="006D2216" w:rsidRPr="0013782F">
        <w:rPr>
          <w:rFonts w:asciiTheme="minorHAnsi" w:hAnsiTheme="minorHAnsi" w:cstheme="minorHAnsi"/>
        </w:rPr>
        <w:t xml:space="preserve">a </w:t>
      </w:r>
      <w:r w:rsidRPr="0013782F">
        <w:rPr>
          <w:rFonts w:asciiTheme="minorHAnsi" w:hAnsiTheme="minorHAnsi" w:cstheme="minorHAnsi"/>
        </w:rPr>
        <w:t xml:space="preserve">prolonged </w:t>
      </w:r>
      <w:r w:rsidR="006D2216" w:rsidRPr="0013782F">
        <w:rPr>
          <w:rFonts w:asciiTheme="minorHAnsi" w:hAnsiTheme="minorHAnsi" w:cstheme="minorHAnsi"/>
        </w:rPr>
        <w:t>war</w:t>
      </w:r>
      <w:r w:rsidRPr="0013782F">
        <w:rPr>
          <w:rFonts w:asciiTheme="minorHAnsi" w:hAnsiTheme="minorHAnsi" w:cstheme="minorHAnsi"/>
        </w:rPr>
        <w:t>, which has recently intensified along the northern front, alongside increasing tension with regard to Iran.  The continuing geopolitical uncer</w:t>
      </w:r>
      <w:r w:rsidR="00A35AAB" w:rsidRPr="0013782F">
        <w:rPr>
          <w:rFonts w:asciiTheme="minorHAnsi" w:hAnsiTheme="minorHAnsi" w:cstheme="minorHAnsi"/>
        </w:rPr>
        <w:t>tainty has been reflected in a downgradi</w:t>
      </w:r>
      <w:r w:rsidRPr="0013782F">
        <w:rPr>
          <w:rFonts w:asciiTheme="minorHAnsi" w:hAnsiTheme="minorHAnsi" w:cstheme="minorHAnsi"/>
        </w:rPr>
        <w:t>ng of Israel’s credit rating and in the continuing increase in the economy’s risk premium.  According to current indicators for the third quarter, the moderate recovery is continuing, such that the level of economic activity remains lower than the trend line.</w:t>
      </w:r>
    </w:p>
    <w:p w:rsidR="0036423D" w:rsidRPr="0013782F" w:rsidRDefault="0036423D" w:rsidP="006075EE">
      <w:pPr>
        <w:ind w:right="265"/>
        <w:jc w:val="both"/>
        <w:rPr>
          <w:rFonts w:asciiTheme="minorHAnsi" w:hAnsiTheme="minorHAnsi" w:cstheme="minorHAnsi"/>
        </w:rPr>
      </w:pPr>
    </w:p>
    <w:p w:rsidR="0054460C" w:rsidRPr="0013782F" w:rsidRDefault="0036423D" w:rsidP="00B66FC2">
      <w:pPr>
        <w:pStyle w:val="ac"/>
        <w:bidi w:val="0"/>
        <w:spacing w:line="240" w:lineRule="auto"/>
        <w:ind w:left="0" w:right="265"/>
        <w:rPr>
          <w:rFonts w:asciiTheme="minorHAnsi" w:hAnsiTheme="minorHAnsi" w:cstheme="minorHAnsi"/>
        </w:rPr>
      </w:pPr>
      <w:r w:rsidRPr="0013782F">
        <w:rPr>
          <w:rFonts w:asciiTheme="minorHAnsi" w:hAnsiTheme="minorHAnsi" w:cstheme="minorHAnsi"/>
        </w:rPr>
        <w:t>In view of supply limitations in the economy, we have seen an increase in the inflation environment.  The Consumer Price Index for August increased by 0.9 percent, and inflation in the past 12 months stands at 3.6 percent, which is above the upper bound of the target range (</w:t>
      </w:r>
      <w:r w:rsidRPr="0013782F">
        <w:rPr>
          <w:rFonts w:asciiTheme="minorHAnsi" w:hAnsiTheme="minorHAnsi" w:cstheme="minorHAnsi"/>
          <w:b/>
          <w:bCs/>
        </w:rPr>
        <w:t xml:space="preserve">Figure 1). </w:t>
      </w:r>
      <w:r w:rsidR="003978C2" w:rsidRPr="0013782F">
        <w:rPr>
          <w:rFonts w:asciiTheme="minorHAnsi" w:hAnsiTheme="minorHAnsi" w:cstheme="minorHAnsi"/>
        </w:rPr>
        <w:t xml:space="preserve"> Net of energy and fruit and vegetables, inflation is at a year over year pace of </w:t>
      </w:r>
      <w:r w:rsidRPr="0013782F">
        <w:rPr>
          <w:rFonts w:asciiTheme="minorHAnsi" w:hAnsiTheme="minorHAnsi" w:cstheme="minorHAnsi"/>
        </w:rPr>
        <w:t>3.1</w:t>
      </w:r>
      <w:r w:rsidR="003978C2" w:rsidRPr="0013782F">
        <w:rPr>
          <w:rFonts w:asciiTheme="minorHAnsi" w:hAnsiTheme="minorHAnsi" w:cstheme="minorHAnsi"/>
        </w:rPr>
        <w:t xml:space="preserve"> percent</w:t>
      </w:r>
      <w:r w:rsidR="009775A1" w:rsidRPr="0013782F">
        <w:rPr>
          <w:rFonts w:asciiTheme="minorHAnsi" w:hAnsiTheme="minorHAnsi" w:cstheme="minorHAnsi"/>
        </w:rPr>
        <w:t xml:space="preserve"> </w:t>
      </w:r>
      <w:r w:rsidR="003978C2" w:rsidRPr="0013782F">
        <w:rPr>
          <w:rFonts w:asciiTheme="minorHAnsi" w:hAnsiTheme="minorHAnsi" w:cstheme="minorHAnsi"/>
          <w:b/>
          <w:bCs/>
        </w:rPr>
        <w:t>(Figure 2)</w:t>
      </w:r>
      <w:r w:rsidR="003978C2" w:rsidRPr="0013782F">
        <w:rPr>
          <w:rFonts w:asciiTheme="minorHAnsi" w:hAnsiTheme="minorHAnsi" w:cstheme="minorHAnsi"/>
        </w:rPr>
        <w:t>.</w:t>
      </w:r>
      <w:r w:rsidR="0071424E" w:rsidRPr="0013782F">
        <w:rPr>
          <w:rFonts w:asciiTheme="minorHAnsi" w:hAnsiTheme="minorHAnsi" w:cstheme="minorHAnsi"/>
        </w:rPr>
        <w:t xml:space="preserve"> The</w:t>
      </w:r>
      <w:r w:rsidR="00CC1BEA" w:rsidRPr="0013782F">
        <w:rPr>
          <w:rFonts w:asciiTheme="minorHAnsi" w:hAnsiTheme="minorHAnsi" w:cstheme="minorHAnsi"/>
        </w:rPr>
        <w:t xml:space="preserve"> </w:t>
      </w:r>
      <w:r w:rsidR="00B66FC2" w:rsidRPr="0013782F">
        <w:rPr>
          <w:rFonts w:asciiTheme="minorHAnsi" w:hAnsiTheme="minorHAnsi" w:cstheme="minorHAnsi"/>
        </w:rPr>
        <w:t>increase</w:t>
      </w:r>
      <w:r w:rsidR="00CC1BEA" w:rsidRPr="0013782F">
        <w:rPr>
          <w:rFonts w:asciiTheme="minorHAnsi" w:hAnsiTheme="minorHAnsi" w:cstheme="minorHAnsi"/>
        </w:rPr>
        <w:t xml:space="preserve"> in the pace o</w:t>
      </w:r>
      <w:r w:rsidRPr="0013782F">
        <w:rPr>
          <w:rFonts w:asciiTheme="minorHAnsi" w:hAnsiTheme="minorHAnsi" w:cstheme="minorHAnsi"/>
        </w:rPr>
        <w:t>f</w:t>
      </w:r>
      <w:r w:rsidR="00CC1BEA" w:rsidRPr="0013782F">
        <w:rPr>
          <w:rFonts w:asciiTheme="minorHAnsi" w:hAnsiTheme="minorHAnsi" w:cstheme="minorHAnsi"/>
        </w:rPr>
        <w:t xml:space="preserve"> inflation is broad, and is reflected in both the nontradable and tradable components</w:t>
      </w:r>
      <w:r w:rsidR="00651161" w:rsidRPr="0013782F">
        <w:rPr>
          <w:rFonts w:asciiTheme="minorHAnsi" w:hAnsiTheme="minorHAnsi" w:cstheme="minorHAnsi"/>
        </w:rPr>
        <w:t xml:space="preserve"> </w:t>
      </w:r>
      <w:r w:rsidR="00651161" w:rsidRPr="0013782F">
        <w:rPr>
          <w:rFonts w:asciiTheme="minorHAnsi" w:hAnsiTheme="minorHAnsi" w:cstheme="minorHAnsi"/>
          <w:b/>
          <w:bCs/>
        </w:rPr>
        <w:t>(Figure</w:t>
      </w:r>
      <w:r w:rsidR="00332016" w:rsidRPr="0013782F">
        <w:rPr>
          <w:rFonts w:asciiTheme="minorHAnsi" w:hAnsiTheme="minorHAnsi" w:cstheme="minorHAnsi"/>
          <w:b/>
          <w:bCs/>
        </w:rPr>
        <w:t xml:space="preserve">s </w:t>
      </w:r>
      <w:r w:rsidR="00651161" w:rsidRPr="0013782F">
        <w:rPr>
          <w:rFonts w:asciiTheme="minorHAnsi" w:hAnsiTheme="minorHAnsi" w:cstheme="minorHAnsi"/>
          <w:b/>
          <w:bCs/>
        </w:rPr>
        <w:t>4)</w:t>
      </w:r>
      <w:r w:rsidR="00651161" w:rsidRPr="0013782F">
        <w:rPr>
          <w:rFonts w:asciiTheme="minorHAnsi" w:hAnsiTheme="minorHAnsi" w:cstheme="minorHAnsi"/>
        </w:rPr>
        <w:t>.</w:t>
      </w:r>
      <w:r w:rsidR="00A34B91" w:rsidRPr="0013782F">
        <w:rPr>
          <w:rFonts w:asciiTheme="minorHAnsi" w:hAnsiTheme="minorHAnsi" w:cstheme="minorHAnsi"/>
        </w:rPr>
        <w:t xml:space="preserve"> </w:t>
      </w:r>
      <w:r w:rsidR="00CC1BEA" w:rsidRPr="0013782F">
        <w:rPr>
          <w:rFonts w:asciiTheme="minorHAnsi" w:hAnsiTheme="minorHAnsi" w:cstheme="minorHAnsi"/>
        </w:rPr>
        <w:t>According to forecasters’ projections, i</w:t>
      </w:r>
      <w:r w:rsidR="00D339E5" w:rsidRPr="0013782F">
        <w:rPr>
          <w:rFonts w:asciiTheme="minorHAnsi" w:hAnsiTheme="minorHAnsi" w:cstheme="minorHAnsi"/>
        </w:rPr>
        <w:t>nflation</w:t>
      </w:r>
      <w:r w:rsidR="00CC1BEA" w:rsidRPr="0013782F">
        <w:rPr>
          <w:rFonts w:asciiTheme="minorHAnsi" w:hAnsiTheme="minorHAnsi" w:cstheme="minorHAnsi"/>
        </w:rPr>
        <w:t xml:space="preserve"> will continue to increase at the beginning of 2025, partly in view of the expected increase in VAT, and will then moderate toward the upper bound of the target in the second half of the year </w:t>
      </w:r>
      <w:r w:rsidR="00610A83" w:rsidRPr="0013782F">
        <w:rPr>
          <w:rFonts w:asciiTheme="minorHAnsi" w:hAnsiTheme="minorHAnsi" w:cstheme="minorHAnsi"/>
          <w:b/>
          <w:bCs/>
        </w:rPr>
        <w:t>(Figure 5)</w:t>
      </w:r>
      <w:r w:rsidR="00610A83" w:rsidRPr="0013782F">
        <w:rPr>
          <w:rFonts w:asciiTheme="minorHAnsi" w:hAnsiTheme="minorHAnsi" w:cstheme="minorHAnsi"/>
        </w:rPr>
        <w:t>.</w:t>
      </w:r>
      <w:r w:rsidR="0054460C" w:rsidRPr="0013782F">
        <w:rPr>
          <w:rFonts w:asciiTheme="minorHAnsi" w:hAnsiTheme="minorHAnsi" w:cstheme="minorHAnsi"/>
        </w:rPr>
        <w:t xml:space="preserve"> </w:t>
      </w:r>
      <w:r w:rsidR="00CC1BEA" w:rsidRPr="0013782F">
        <w:rPr>
          <w:rFonts w:asciiTheme="minorHAnsi" w:hAnsiTheme="minorHAnsi" w:cstheme="minorHAnsi"/>
        </w:rPr>
        <w:t>According to various sources, inflation expectations for the coming year are around the upper bound of the target range (</w:t>
      </w:r>
      <w:r w:rsidR="00CC1BEA" w:rsidRPr="0013782F">
        <w:rPr>
          <w:rFonts w:asciiTheme="minorHAnsi" w:hAnsiTheme="minorHAnsi" w:cstheme="minorHAnsi"/>
          <w:b/>
          <w:bCs/>
        </w:rPr>
        <w:t>Figure 6</w:t>
      </w:r>
      <w:r w:rsidR="00CC1BEA" w:rsidRPr="0013782F">
        <w:rPr>
          <w:rFonts w:asciiTheme="minorHAnsi" w:hAnsiTheme="minorHAnsi" w:cstheme="minorHAnsi"/>
        </w:rPr>
        <w:t>).  Expectations for the second year onward are in the upper portion of the target range (</w:t>
      </w:r>
      <w:r w:rsidR="00CC1BEA" w:rsidRPr="0013782F">
        <w:rPr>
          <w:rFonts w:asciiTheme="minorHAnsi" w:hAnsiTheme="minorHAnsi" w:cstheme="minorHAnsi"/>
          <w:b/>
          <w:bCs/>
        </w:rPr>
        <w:t>Figure 7</w:t>
      </w:r>
      <w:r w:rsidR="00CC1BEA" w:rsidRPr="0013782F">
        <w:rPr>
          <w:rFonts w:asciiTheme="minorHAnsi" w:hAnsiTheme="minorHAnsi" w:cstheme="minorHAnsi"/>
        </w:rPr>
        <w:t xml:space="preserve">). </w:t>
      </w:r>
      <w:r w:rsidR="00CC1BEA" w:rsidRPr="0013782F">
        <w:rPr>
          <w:rFonts w:asciiTheme="minorHAnsi" w:hAnsiTheme="minorHAnsi" w:cstheme="minorHAnsi"/>
          <w:b/>
          <w:bCs/>
        </w:rPr>
        <w:t xml:space="preserve"> </w:t>
      </w:r>
      <w:r w:rsidR="00583992" w:rsidRPr="0013782F">
        <w:rPr>
          <w:rFonts w:asciiTheme="minorHAnsi" w:hAnsiTheme="minorHAnsi" w:cstheme="minorHAnsi"/>
        </w:rPr>
        <w:t>In t</w:t>
      </w:r>
      <w:r w:rsidR="0054460C" w:rsidRPr="0013782F">
        <w:rPr>
          <w:rFonts w:asciiTheme="minorHAnsi" w:hAnsiTheme="minorHAnsi" w:cstheme="minorHAnsi"/>
        </w:rPr>
        <w:t>he Committee</w:t>
      </w:r>
      <w:r w:rsidR="00583992" w:rsidRPr="0013782F">
        <w:rPr>
          <w:rFonts w:asciiTheme="minorHAnsi" w:hAnsiTheme="minorHAnsi" w:cstheme="minorHAnsi"/>
        </w:rPr>
        <w:t>’s</w:t>
      </w:r>
      <w:r w:rsidR="0054460C" w:rsidRPr="0013782F">
        <w:rPr>
          <w:rFonts w:asciiTheme="minorHAnsi" w:hAnsiTheme="minorHAnsi" w:cstheme="minorHAnsi"/>
        </w:rPr>
        <w:t xml:space="preserve"> assess</w:t>
      </w:r>
      <w:r w:rsidR="00583992" w:rsidRPr="0013782F">
        <w:rPr>
          <w:rFonts w:asciiTheme="minorHAnsi" w:hAnsiTheme="minorHAnsi" w:cstheme="minorHAnsi"/>
        </w:rPr>
        <w:t>ment,</w:t>
      </w:r>
      <w:r w:rsidR="0054460C" w:rsidRPr="0013782F">
        <w:rPr>
          <w:rFonts w:asciiTheme="minorHAnsi" w:hAnsiTheme="minorHAnsi" w:cstheme="minorHAnsi"/>
        </w:rPr>
        <w:t xml:space="preserve"> there are several risks for a possible acceleration </w:t>
      </w:r>
      <w:r w:rsidR="00583992" w:rsidRPr="0013782F">
        <w:rPr>
          <w:rFonts w:asciiTheme="minorHAnsi" w:hAnsiTheme="minorHAnsi" w:cstheme="minorHAnsi"/>
        </w:rPr>
        <w:t>of</w:t>
      </w:r>
      <w:r w:rsidR="0054460C" w:rsidRPr="0013782F">
        <w:rPr>
          <w:rFonts w:asciiTheme="minorHAnsi" w:hAnsiTheme="minorHAnsi" w:cstheme="minorHAnsi"/>
        </w:rPr>
        <w:t xml:space="preserve"> inflation: geopolitical developments and their impact on economic activity, shekel depreciation, prolonged supply limitations, fiscal developments</w:t>
      </w:r>
      <w:r w:rsidR="00CC1BEA" w:rsidRPr="0013782F">
        <w:rPr>
          <w:rFonts w:asciiTheme="minorHAnsi" w:hAnsiTheme="minorHAnsi" w:cstheme="minorHAnsi"/>
        </w:rPr>
        <w:t>, and higher global oil prices</w:t>
      </w:r>
      <w:r w:rsidR="0054460C" w:rsidRPr="0013782F">
        <w:rPr>
          <w:rFonts w:asciiTheme="minorHAnsi" w:hAnsiTheme="minorHAnsi" w:cstheme="minorHAnsi"/>
        </w:rPr>
        <w:t>.</w:t>
      </w:r>
    </w:p>
    <w:p w:rsidR="00CC1BEA" w:rsidRPr="0013782F" w:rsidRDefault="00CC1BEA" w:rsidP="006075EE">
      <w:pPr>
        <w:pStyle w:val="ac"/>
        <w:bidi w:val="0"/>
        <w:spacing w:line="240" w:lineRule="auto"/>
        <w:ind w:left="0" w:right="265"/>
        <w:rPr>
          <w:rFonts w:asciiTheme="minorHAnsi" w:hAnsiTheme="minorHAnsi" w:cstheme="minorHAnsi"/>
        </w:rPr>
      </w:pPr>
    </w:p>
    <w:p w:rsidR="009775A1" w:rsidRPr="0013782F" w:rsidRDefault="00CC1BEA" w:rsidP="00B66FC2">
      <w:pPr>
        <w:pStyle w:val="ac"/>
        <w:bidi w:val="0"/>
        <w:spacing w:line="240" w:lineRule="auto"/>
        <w:ind w:left="0" w:right="265"/>
        <w:rPr>
          <w:rFonts w:asciiTheme="minorHAnsi" w:hAnsiTheme="minorHAnsi" w:cstheme="minorHAnsi"/>
        </w:rPr>
      </w:pPr>
      <w:r w:rsidRPr="0013782F">
        <w:rPr>
          <w:rFonts w:asciiTheme="minorHAnsi" w:hAnsiTheme="minorHAnsi" w:cstheme="minorHAnsi"/>
        </w:rPr>
        <w:t xml:space="preserve">Since the previous interest rate decision, the shekel has depreciated by 2.8 percent against the US dollar, by 1.5 percent against the euro, and by </w:t>
      </w:r>
      <w:r w:rsidR="00B66FC2" w:rsidRPr="0013782F">
        <w:rPr>
          <w:rFonts w:asciiTheme="minorHAnsi" w:hAnsiTheme="minorHAnsi" w:cstheme="minorHAnsi"/>
        </w:rPr>
        <w:t>2.3</w:t>
      </w:r>
      <w:r w:rsidRPr="0013782F">
        <w:rPr>
          <w:rFonts w:asciiTheme="minorHAnsi" w:hAnsiTheme="minorHAnsi" w:cstheme="minorHAnsi"/>
        </w:rPr>
        <w:t xml:space="preserve"> percent in terms of the nominal effective exchange rate</w:t>
      </w:r>
      <w:r w:rsidR="00B66FC2" w:rsidRPr="0013782F">
        <w:rPr>
          <w:rFonts w:asciiTheme="minorHAnsi" w:hAnsiTheme="minorHAnsi" w:cstheme="minorHAnsi"/>
        </w:rPr>
        <w:t>.</w:t>
      </w:r>
      <w:r w:rsidRPr="0013782F">
        <w:rPr>
          <w:rFonts w:asciiTheme="minorHAnsi" w:hAnsiTheme="minorHAnsi" w:cstheme="minorHAnsi"/>
        </w:rPr>
        <w:t xml:space="preserve"> </w:t>
      </w:r>
      <w:r w:rsidR="00B66FC2" w:rsidRPr="0013782F">
        <w:rPr>
          <w:rFonts w:asciiTheme="minorHAnsi" w:hAnsiTheme="minorHAnsi" w:cstheme="minorHAnsi"/>
        </w:rPr>
        <w:t xml:space="preserve">The exchange rate has fluctuated with </w:t>
      </w:r>
      <w:r w:rsidRPr="0013782F">
        <w:rPr>
          <w:rFonts w:asciiTheme="minorHAnsi" w:hAnsiTheme="minorHAnsi" w:cstheme="minorHAnsi"/>
        </w:rPr>
        <w:t>high volatility in view of various developments in the war and in the geopolitical environment.</w:t>
      </w:r>
    </w:p>
    <w:p w:rsidR="00CC1BEA" w:rsidRPr="0013782F" w:rsidRDefault="00CC1BEA" w:rsidP="00CC1BEA">
      <w:pPr>
        <w:pStyle w:val="ac"/>
        <w:bidi w:val="0"/>
        <w:spacing w:line="240" w:lineRule="auto"/>
        <w:ind w:left="-270" w:right="265"/>
        <w:rPr>
          <w:rFonts w:asciiTheme="minorHAnsi" w:hAnsiTheme="minorHAnsi" w:cstheme="minorHAnsi"/>
        </w:rPr>
      </w:pPr>
    </w:p>
    <w:p w:rsidR="00C017FB" w:rsidRPr="0013782F" w:rsidRDefault="00CC1BEA" w:rsidP="00640058">
      <w:pPr>
        <w:jc w:val="both"/>
        <w:rPr>
          <w:rFonts w:asciiTheme="minorHAnsi" w:hAnsiTheme="minorHAnsi" w:cstheme="minorHAnsi"/>
        </w:rPr>
      </w:pPr>
      <w:r w:rsidRPr="0013782F">
        <w:rPr>
          <w:rFonts w:asciiTheme="minorHAnsi" w:hAnsiTheme="minorHAnsi" w:cstheme="minorHAnsi"/>
        </w:rPr>
        <w:t>The Research Department revised its macroeconomic forecast. The forecast assumes that the war, which has expanded along the northern front, will continue with high intensity into early 2025.  In view of the growth estimate that is lower than the previous forecasts and the inc</w:t>
      </w:r>
      <w:r w:rsidR="00B66FC2" w:rsidRPr="0013782F">
        <w:rPr>
          <w:rFonts w:asciiTheme="minorHAnsi" w:hAnsiTheme="minorHAnsi" w:cstheme="minorHAnsi"/>
        </w:rPr>
        <w:t>r</w:t>
      </w:r>
      <w:r w:rsidRPr="0013782F">
        <w:rPr>
          <w:rFonts w:asciiTheme="minorHAnsi" w:hAnsiTheme="minorHAnsi" w:cstheme="minorHAnsi"/>
        </w:rPr>
        <w:t>eased intensity of the war in recent weeks, the growth forecast was revised downward.  GDP is expected to grow by 0.5 percent in 2024 and by 3.8 percent in 2025 (</w:t>
      </w:r>
      <w:r w:rsidRPr="0013782F">
        <w:rPr>
          <w:rFonts w:asciiTheme="minorHAnsi" w:hAnsiTheme="minorHAnsi" w:cstheme="minorHAnsi"/>
          <w:b/>
          <w:bCs/>
        </w:rPr>
        <w:t xml:space="preserve">Figure </w:t>
      </w:r>
      <w:r w:rsidR="00640058" w:rsidRPr="0013782F">
        <w:rPr>
          <w:rFonts w:asciiTheme="minorHAnsi" w:hAnsiTheme="minorHAnsi" w:cstheme="minorHAnsi"/>
          <w:b/>
          <w:bCs/>
        </w:rPr>
        <w:t>9</w:t>
      </w:r>
      <w:r w:rsidRPr="0013782F">
        <w:rPr>
          <w:rFonts w:asciiTheme="minorHAnsi" w:hAnsiTheme="minorHAnsi" w:cstheme="minorHAnsi"/>
        </w:rPr>
        <w:t xml:space="preserve">), which are 1 and 0.4 percentage points lower than the previous forecast, respectively.  The forecast for the broad unemployment rate among the prime working ages (25–64) was revised downward, and is expected to average </w:t>
      </w:r>
      <w:r w:rsidR="006075EE" w:rsidRPr="0013782F">
        <w:rPr>
          <w:rFonts w:asciiTheme="minorHAnsi" w:hAnsiTheme="minorHAnsi" w:cstheme="minorHAnsi"/>
        </w:rPr>
        <w:t>3.5</w:t>
      </w:r>
      <w:r w:rsidRPr="0013782F">
        <w:rPr>
          <w:rFonts w:asciiTheme="minorHAnsi" w:hAnsiTheme="minorHAnsi" w:cstheme="minorHAnsi"/>
        </w:rPr>
        <w:t xml:space="preserve"> percent in 2024 and 3.</w:t>
      </w:r>
      <w:r w:rsidR="006075EE" w:rsidRPr="0013782F">
        <w:rPr>
          <w:rFonts w:asciiTheme="minorHAnsi" w:hAnsiTheme="minorHAnsi" w:cstheme="minorHAnsi"/>
        </w:rPr>
        <w:t>2</w:t>
      </w:r>
      <w:r w:rsidRPr="0013782F">
        <w:rPr>
          <w:rFonts w:asciiTheme="minorHAnsi" w:hAnsiTheme="minorHAnsi" w:cstheme="minorHAnsi"/>
        </w:rPr>
        <w:t xml:space="preserve"> percent in 2025.  The annual inflation rate is expected to be 3</w:t>
      </w:r>
      <w:r w:rsidR="006075EE" w:rsidRPr="0013782F">
        <w:rPr>
          <w:rFonts w:asciiTheme="minorHAnsi" w:hAnsiTheme="minorHAnsi" w:cstheme="minorHAnsi"/>
        </w:rPr>
        <w:t>.8</w:t>
      </w:r>
      <w:r w:rsidRPr="0013782F">
        <w:rPr>
          <w:rFonts w:asciiTheme="minorHAnsi" w:hAnsiTheme="minorHAnsi" w:cstheme="minorHAnsi"/>
        </w:rPr>
        <w:t xml:space="preserve"> percent </w:t>
      </w:r>
      <w:r w:rsidR="00B66FC2" w:rsidRPr="0013782F">
        <w:rPr>
          <w:rFonts w:asciiTheme="minorHAnsi" w:hAnsiTheme="minorHAnsi" w:cstheme="minorHAnsi"/>
        </w:rPr>
        <w:t xml:space="preserve">on average </w:t>
      </w:r>
      <w:r w:rsidRPr="0013782F">
        <w:rPr>
          <w:rFonts w:asciiTheme="minorHAnsi" w:hAnsiTheme="minorHAnsi" w:cstheme="minorHAnsi"/>
        </w:rPr>
        <w:t>in</w:t>
      </w:r>
      <w:r w:rsidR="006075EE" w:rsidRPr="0013782F">
        <w:rPr>
          <w:rFonts w:asciiTheme="minorHAnsi" w:hAnsiTheme="minorHAnsi" w:cstheme="minorHAnsi"/>
        </w:rPr>
        <w:t xml:space="preserve"> the fourth quarter of</w:t>
      </w:r>
      <w:r w:rsidRPr="0013782F">
        <w:rPr>
          <w:rFonts w:asciiTheme="minorHAnsi" w:hAnsiTheme="minorHAnsi" w:cstheme="minorHAnsi"/>
        </w:rPr>
        <w:t xml:space="preserve"> 2024</w:t>
      </w:r>
      <w:r w:rsidR="006075EE" w:rsidRPr="0013782F">
        <w:rPr>
          <w:rFonts w:asciiTheme="minorHAnsi" w:hAnsiTheme="minorHAnsi" w:cstheme="minorHAnsi"/>
        </w:rPr>
        <w:t>, which is higher than the July forecast,</w:t>
      </w:r>
      <w:r w:rsidRPr="0013782F">
        <w:rPr>
          <w:rFonts w:asciiTheme="minorHAnsi" w:hAnsiTheme="minorHAnsi" w:cstheme="minorHAnsi"/>
        </w:rPr>
        <w:t xml:space="preserve"> and 2.8 percent</w:t>
      </w:r>
      <w:r w:rsidR="00B66FC2" w:rsidRPr="0013782F">
        <w:rPr>
          <w:rFonts w:asciiTheme="minorHAnsi" w:hAnsiTheme="minorHAnsi" w:cstheme="minorHAnsi"/>
        </w:rPr>
        <w:t xml:space="preserve"> on average</w:t>
      </w:r>
      <w:r w:rsidRPr="0013782F">
        <w:rPr>
          <w:rFonts w:asciiTheme="minorHAnsi" w:hAnsiTheme="minorHAnsi" w:cstheme="minorHAnsi"/>
        </w:rPr>
        <w:t xml:space="preserve"> in</w:t>
      </w:r>
      <w:r w:rsidR="006075EE" w:rsidRPr="0013782F">
        <w:rPr>
          <w:rFonts w:asciiTheme="minorHAnsi" w:hAnsiTheme="minorHAnsi" w:cstheme="minorHAnsi"/>
        </w:rPr>
        <w:t xml:space="preserve"> the fourth quarter of</w:t>
      </w:r>
      <w:r w:rsidRPr="0013782F">
        <w:rPr>
          <w:rFonts w:asciiTheme="minorHAnsi" w:hAnsiTheme="minorHAnsi" w:cstheme="minorHAnsi"/>
        </w:rPr>
        <w:t xml:space="preserve"> 2025.  </w:t>
      </w:r>
      <w:r w:rsidR="006075EE" w:rsidRPr="0013782F">
        <w:rPr>
          <w:rFonts w:asciiTheme="minorHAnsi" w:hAnsiTheme="minorHAnsi" w:cstheme="minorHAnsi"/>
        </w:rPr>
        <w:t xml:space="preserve">The forecast for the government budget deficit in 2024 was revised upward to 7.2 percent of GDP, in view of the increase in war expenditures and the deferral of special assistance receipts </w:t>
      </w:r>
      <w:r w:rsidR="00B66FC2" w:rsidRPr="0013782F">
        <w:rPr>
          <w:rFonts w:asciiTheme="minorHAnsi" w:hAnsiTheme="minorHAnsi" w:cstheme="minorHAnsi"/>
        </w:rPr>
        <w:t xml:space="preserve">from the US </w:t>
      </w:r>
      <w:r w:rsidR="006075EE" w:rsidRPr="0013782F">
        <w:rPr>
          <w:rFonts w:asciiTheme="minorHAnsi" w:hAnsiTheme="minorHAnsi" w:cstheme="minorHAnsi"/>
        </w:rPr>
        <w:t xml:space="preserve">to the coming years.  The deficit forecast for 2025 was </w:t>
      </w:r>
      <w:r w:rsidRPr="0013782F">
        <w:rPr>
          <w:rFonts w:asciiTheme="minorHAnsi" w:hAnsiTheme="minorHAnsi" w:cstheme="minorHAnsi"/>
        </w:rPr>
        <w:t>compiled under the working assumption that the government will make adjustments of a permanent nature to reduce the deficit, which will total</w:t>
      </w:r>
      <w:r w:rsidR="006075EE" w:rsidRPr="0013782F">
        <w:rPr>
          <w:rFonts w:asciiTheme="minorHAnsi" w:hAnsiTheme="minorHAnsi" w:cstheme="minorHAnsi"/>
        </w:rPr>
        <w:t xml:space="preserve"> </w:t>
      </w:r>
      <w:r w:rsidR="006D2216" w:rsidRPr="0013782F">
        <w:rPr>
          <w:rFonts w:asciiTheme="minorHAnsi" w:hAnsiTheme="minorHAnsi" w:cstheme="minorHAnsi"/>
        </w:rPr>
        <w:t>at least</w:t>
      </w:r>
      <w:r w:rsidRPr="0013782F">
        <w:rPr>
          <w:rFonts w:asciiTheme="minorHAnsi" w:hAnsiTheme="minorHAnsi" w:cstheme="minorHAnsi"/>
        </w:rPr>
        <w:t xml:space="preserve"> NIS 30 billion</w:t>
      </w:r>
      <w:r w:rsidR="006075EE" w:rsidRPr="0013782F">
        <w:rPr>
          <w:rFonts w:asciiTheme="minorHAnsi" w:hAnsiTheme="minorHAnsi" w:cstheme="minorHAnsi"/>
        </w:rPr>
        <w:t>.</w:t>
      </w:r>
      <w:r w:rsidRPr="0013782F">
        <w:rPr>
          <w:rFonts w:asciiTheme="minorHAnsi" w:hAnsiTheme="minorHAnsi" w:cstheme="minorHAnsi"/>
        </w:rPr>
        <w:t xml:space="preserve"> Under this assumption, the deficit in the government budget is expected to be </w:t>
      </w:r>
      <w:r w:rsidR="006075EE" w:rsidRPr="0013782F">
        <w:rPr>
          <w:rFonts w:asciiTheme="minorHAnsi" w:hAnsiTheme="minorHAnsi" w:cstheme="minorHAnsi"/>
        </w:rPr>
        <w:t>4.9</w:t>
      </w:r>
      <w:r w:rsidRPr="0013782F">
        <w:rPr>
          <w:rFonts w:asciiTheme="minorHAnsi" w:hAnsiTheme="minorHAnsi" w:cstheme="minorHAnsi"/>
        </w:rPr>
        <w:t xml:space="preserve"> percent of GDP in 2025.  The debt to GDP ratio is expected to be 6</w:t>
      </w:r>
      <w:r w:rsidR="006075EE" w:rsidRPr="0013782F">
        <w:rPr>
          <w:rFonts w:asciiTheme="minorHAnsi" w:hAnsiTheme="minorHAnsi" w:cstheme="minorHAnsi"/>
        </w:rPr>
        <w:t>8</w:t>
      </w:r>
      <w:r w:rsidRPr="0013782F">
        <w:rPr>
          <w:rFonts w:asciiTheme="minorHAnsi" w:hAnsiTheme="minorHAnsi" w:cstheme="minorHAnsi"/>
        </w:rPr>
        <w:t xml:space="preserve"> percent at the end </w:t>
      </w:r>
      <w:r w:rsidRPr="0013782F">
        <w:rPr>
          <w:rFonts w:asciiTheme="minorHAnsi" w:hAnsiTheme="minorHAnsi" w:cstheme="minorHAnsi"/>
        </w:rPr>
        <w:lastRenderedPageBreak/>
        <w:t>of 2024, and to increase to 6</w:t>
      </w:r>
      <w:r w:rsidR="006075EE" w:rsidRPr="0013782F">
        <w:rPr>
          <w:rFonts w:asciiTheme="minorHAnsi" w:hAnsiTheme="minorHAnsi" w:cstheme="minorHAnsi"/>
        </w:rPr>
        <w:t>9</w:t>
      </w:r>
      <w:r w:rsidRPr="0013782F">
        <w:rPr>
          <w:rFonts w:asciiTheme="minorHAnsi" w:hAnsiTheme="minorHAnsi" w:cstheme="minorHAnsi"/>
        </w:rPr>
        <w:t xml:space="preserve"> percent i</w:t>
      </w:r>
      <w:r w:rsidR="006075EE" w:rsidRPr="0013782F">
        <w:rPr>
          <w:rFonts w:asciiTheme="minorHAnsi" w:hAnsiTheme="minorHAnsi" w:cstheme="minorHAnsi"/>
        </w:rPr>
        <w:t xml:space="preserve">n 2025. The forecast is characterized by a particularly high level of uncertainty.  An increase in the intensity or an extension of the war, and not making </w:t>
      </w:r>
      <w:r w:rsidR="006D2216" w:rsidRPr="0013782F">
        <w:rPr>
          <w:rFonts w:asciiTheme="minorHAnsi" w:hAnsiTheme="minorHAnsi" w:cstheme="minorHAnsi"/>
        </w:rPr>
        <w:t xml:space="preserve">the necessary </w:t>
      </w:r>
      <w:r w:rsidR="006075EE" w:rsidRPr="0013782F">
        <w:rPr>
          <w:rFonts w:asciiTheme="minorHAnsi" w:hAnsiTheme="minorHAnsi" w:cstheme="minorHAnsi"/>
        </w:rPr>
        <w:t>fiscal adjustments</w:t>
      </w:r>
      <w:r w:rsidR="006D2216" w:rsidRPr="0013782F">
        <w:rPr>
          <w:rFonts w:asciiTheme="minorHAnsi" w:hAnsiTheme="minorHAnsi" w:cstheme="minorHAnsi"/>
        </w:rPr>
        <w:t>,</w:t>
      </w:r>
      <w:r w:rsidR="006075EE" w:rsidRPr="0013782F">
        <w:rPr>
          <w:rFonts w:asciiTheme="minorHAnsi" w:hAnsiTheme="minorHAnsi" w:cstheme="minorHAnsi"/>
        </w:rPr>
        <w:t xml:space="preserve"> </w:t>
      </w:r>
      <w:r w:rsidRPr="0013782F">
        <w:rPr>
          <w:rFonts w:asciiTheme="minorHAnsi" w:hAnsiTheme="minorHAnsi" w:cstheme="minorHAnsi"/>
        </w:rPr>
        <w:t>may lead to a change in economic conditions, and thereby to adjustments to the forecast.</w:t>
      </w:r>
      <w:r w:rsidR="006075EE" w:rsidRPr="0013782F">
        <w:rPr>
          <w:rFonts w:asciiTheme="minorHAnsi" w:hAnsiTheme="minorHAnsi" w:cstheme="minorHAnsi"/>
        </w:rPr>
        <w:t xml:space="preserve"> </w:t>
      </w:r>
      <w:r w:rsidR="00B66FC2" w:rsidRPr="0013782F">
        <w:rPr>
          <w:rFonts w:asciiTheme="minorHAnsi" w:hAnsiTheme="minorHAnsi" w:cstheme="minorHAnsi"/>
        </w:rPr>
        <w:t xml:space="preserve"> </w:t>
      </w:r>
      <w:r w:rsidR="00C017FB" w:rsidRPr="0013782F">
        <w:rPr>
          <w:rFonts w:asciiTheme="minorHAnsi" w:hAnsiTheme="minorHAnsi" w:cstheme="minorHAnsi"/>
        </w:rPr>
        <w:t>T</w:t>
      </w:r>
      <w:r w:rsidR="00C017FB" w:rsidRPr="0013782F">
        <w:rPr>
          <w:rFonts w:asciiTheme="minorHAnsi" w:hAnsiTheme="minorHAnsi" w:cstheme="minorHAnsi"/>
          <w:shd w:val="clear" w:color="auto" w:fill="FFFFFF"/>
        </w:rPr>
        <w:t>herefore, we also analyzed alternative scenarios. For example, we examined a scenario involving a significant temporary escalation in the war, which would require a reserve mobilization similar in scale to the beginning of the war. This would lead to an expansion of the limitations on economic activity and the shutdown of the education system for several weeks, particularly in the northern region but also in the central part of the country. According to this scenario, the worsening security situation would negatively impact annual growth, causing a significant decline in output in the fourth quarter of 2024. In such a scenario, with the reduction in the number of reservists and the lifting of severe activity restrictions in 2025, growth that year would be higher than in the baseline scenario. However, the level of output in 2025 would still be lower than in the baseline scenario. If the war extends further into 2025, supply constraints will continue to hinder the recovery of economic activity, resulting in more moderate growth and a widening gap from the baseline scenario. In such a scenario, the continuation and intensification of the war would lead to a further increase in the deficit and debt due to higher defense expenditures and the impact on activity and tax revenues, necessitating additional budgetary adjustments. These could delay the convergence of inflation to its target.</w:t>
      </w:r>
    </w:p>
    <w:p w:rsidR="00CC1BEA" w:rsidRPr="0013782F" w:rsidRDefault="00CC1BEA" w:rsidP="00CC1BEA">
      <w:pPr>
        <w:jc w:val="both"/>
        <w:rPr>
          <w:rFonts w:asciiTheme="minorHAnsi" w:hAnsiTheme="minorHAnsi" w:cstheme="minorHAnsi"/>
        </w:rPr>
      </w:pPr>
    </w:p>
    <w:p w:rsidR="00E17FE1" w:rsidRPr="0013782F" w:rsidRDefault="000857A0" w:rsidP="00640058">
      <w:pPr>
        <w:ind w:right="265"/>
        <w:jc w:val="both"/>
        <w:rPr>
          <w:rFonts w:asciiTheme="minorHAnsi" w:hAnsiTheme="minorHAnsi" w:cstheme="minorHAnsi"/>
        </w:rPr>
      </w:pPr>
      <w:r w:rsidRPr="0013782F">
        <w:rPr>
          <w:rFonts w:asciiTheme="minorHAnsi" w:hAnsiTheme="minorHAnsi" w:cstheme="minorHAnsi"/>
        </w:rPr>
        <w:t xml:space="preserve">The most recent </w:t>
      </w:r>
      <w:r w:rsidR="00312446" w:rsidRPr="0013782F">
        <w:rPr>
          <w:rFonts w:asciiTheme="minorHAnsi" w:hAnsiTheme="minorHAnsi" w:cstheme="minorHAnsi"/>
        </w:rPr>
        <w:t xml:space="preserve">indicators of economic activity </w:t>
      </w:r>
      <w:r w:rsidRPr="0013782F">
        <w:rPr>
          <w:rFonts w:asciiTheme="minorHAnsi" w:hAnsiTheme="minorHAnsi" w:cstheme="minorHAnsi"/>
        </w:rPr>
        <w:t>show that there was some increase in economic</w:t>
      </w:r>
      <w:r w:rsidR="00312446" w:rsidRPr="0013782F">
        <w:rPr>
          <w:rFonts w:asciiTheme="minorHAnsi" w:hAnsiTheme="minorHAnsi" w:cstheme="minorHAnsi"/>
        </w:rPr>
        <w:t xml:space="preserve"> activity</w:t>
      </w:r>
      <w:r w:rsidRPr="0013782F">
        <w:rPr>
          <w:rFonts w:asciiTheme="minorHAnsi" w:hAnsiTheme="minorHAnsi" w:cstheme="minorHAnsi"/>
        </w:rPr>
        <w:t>, although the level of activity remains distant from the trend line.  The Composite State of the Economy Index for August increased by 0.23 percent, which is higher than all of the index readings since February, but still lower than the average growth rate of the index in earlier months.  Supply limitations are making it difficult for economic activity to converge to the prewar trend.  Since the last monetary policy decision, there was a nominal increase in the volume of credit card purchases, but they declined in real terms in August (</w:t>
      </w:r>
      <w:r w:rsidRPr="0013782F">
        <w:rPr>
          <w:rFonts w:asciiTheme="minorHAnsi" w:hAnsiTheme="minorHAnsi" w:cstheme="minorHAnsi"/>
          <w:b/>
          <w:bCs/>
        </w:rPr>
        <w:t>Figure 1</w:t>
      </w:r>
      <w:r w:rsidR="00640058" w:rsidRPr="0013782F">
        <w:rPr>
          <w:rFonts w:asciiTheme="minorHAnsi" w:hAnsiTheme="minorHAnsi" w:cstheme="minorHAnsi"/>
          <w:b/>
          <w:bCs/>
        </w:rPr>
        <w:t>1</w:t>
      </w:r>
      <w:r w:rsidRPr="0013782F">
        <w:rPr>
          <w:rFonts w:asciiTheme="minorHAnsi" w:hAnsiTheme="minorHAnsi" w:cstheme="minorHAnsi"/>
        </w:rPr>
        <w:t>).</w:t>
      </w:r>
      <w:r w:rsidR="00312446" w:rsidRPr="0013782F">
        <w:rPr>
          <w:rFonts w:asciiTheme="minorHAnsi" w:hAnsiTheme="minorHAnsi" w:cstheme="minorHAnsi"/>
        </w:rPr>
        <w:t xml:space="preserve"> The aggregate balance of the </w:t>
      </w:r>
      <w:r w:rsidRPr="0013782F">
        <w:rPr>
          <w:rFonts w:asciiTheme="minorHAnsi" w:hAnsiTheme="minorHAnsi" w:cstheme="minorHAnsi"/>
        </w:rPr>
        <w:t xml:space="preserve">Central Bureau of Statistics </w:t>
      </w:r>
      <w:r w:rsidR="00312446" w:rsidRPr="0013782F">
        <w:rPr>
          <w:rFonts w:asciiTheme="minorHAnsi" w:hAnsiTheme="minorHAnsi" w:cstheme="minorHAnsi"/>
        </w:rPr>
        <w:t xml:space="preserve">Business Tendency Survey for </w:t>
      </w:r>
      <w:r w:rsidRPr="0013782F">
        <w:rPr>
          <w:rFonts w:asciiTheme="minorHAnsi" w:hAnsiTheme="minorHAnsi" w:cstheme="minorHAnsi"/>
        </w:rPr>
        <w:t>September</w:t>
      </w:r>
      <w:r w:rsidR="00312446" w:rsidRPr="0013782F">
        <w:rPr>
          <w:rFonts w:asciiTheme="minorHAnsi" w:hAnsiTheme="minorHAnsi" w:cstheme="minorHAnsi"/>
        </w:rPr>
        <w:t xml:space="preserve"> </w:t>
      </w:r>
      <w:r w:rsidRPr="0013782F">
        <w:rPr>
          <w:rFonts w:asciiTheme="minorHAnsi" w:hAnsiTheme="minorHAnsi" w:cstheme="minorHAnsi"/>
        </w:rPr>
        <w:t xml:space="preserve">remains </w:t>
      </w:r>
      <w:r w:rsidR="00312446" w:rsidRPr="0013782F">
        <w:rPr>
          <w:rFonts w:asciiTheme="minorHAnsi" w:hAnsiTheme="minorHAnsi" w:cstheme="minorHAnsi"/>
        </w:rPr>
        <w:t xml:space="preserve">lower than </w:t>
      </w:r>
      <w:r w:rsidR="003345FF" w:rsidRPr="0013782F">
        <w:rPr>
          <w:rFonts w:asciiTheme="minorHAnsi" w:hAnsiTheme="minorHAnsi" w:cstheme="minorHAnsi"/>
        </w:rPr>
        <w:t>before the war</w:t>
      </w:r>
      <w:r w:rsidRPr="0013782F">
        <w:rPr>
          <w:rFonts w:asciiTheme="minorHAnsi" w:hAnsiTheme="minorHAnsi" w:cstheme="minorHAnsi"/>
        </w:rPr>
        <w:t xml:space="preserve"> (</w:t>
      </w:r>
      <w:r w:rsidRPr="0013782F">
        <w:rPr>
          <w:rFonts w:asciiTheme="minorHAnsi" w:hAnsiTheme="minorHAnsi" w:cstheme="minorHAnsi"/>
          <w:b/>
          <w:bCs/>
        </w:rPr>
        <w:t>Figure 1</w:t>
      </w:r>
      <w:r w:rsidR="00640058" w:rsidRPr="0013782F">
        <w:rPr>
          <w:rFonts w:asciiTheme="minorHAnsi" w:hAnsiTheme="minorHAnsi" w:cstheme="minorHAnsi"/>
          <w:b/>
          <w:bCs/>
        </w:rPr>
        <w:t>0</w:t>
      </w:r>
      <w:r w:rsidR="00820E0F" w:rsidRPr="0013782F">
        <w:rPr>
          <w:rFonts w:asciiTheme="minorHAnsi" w:hAnsiTheme="minorHAnsi" w:cstheme="minorHAnsi"/>
        </w:rPr>
        <w:t>), although it</w:t>
      </w:r>
      <w:r w:rsidRPr="0013782F">
        <w:rPr>
          <w:rFonts w:asciiTheme="minorHAnsi" w:hAnsiTheme="minorHAnsi" w:cstheme="minorHAnsi"/>
        </w:rPr>
        <w:t xml:space="preserve"> reflected expectations of improvement in the coming months.  The rate of companies in the services and manufacturing industries that reported a moderate or severe constraint in activity due to a shortage of equipment and raw materials increased, and remained higher than before the war (</w:t>
      </w:r>
      <w:r w:rsidRPr="0013782F">
        <w:rPr>
          <w:rFonts w:asciiTheme="minorHAnsi" w:hAnsiTheme="minorHAnsi" w:cstheme="minorHAnsi"/>
          <w:b/>
          <w:bCs/>
        </w:rPr>
        <w:t>Figure</w:t>
      </w:r>
      <w:r w:rsidR="00640058" w:rsidRPr="0013782F">
        <w:rPr>
          <w:rFonts w:asciiTheme="minorHAnsi" w:hAnsiTheme="minorHAnsi" w:cstheme="minorHAnsi"/>
          <w:b/>
          <w:bCs/>
        </w:rPr>
        <w:t>s</w:t>
      </w:r>
      <w:r w:rsidRPr="0013782F">
        <w:rPr>
          <w:rFonts w:asciiTheme="minorHAnsi" w:hAnsiTheme="minorHAnsi" w:cstheme="minorHAnsi"/>
          <w:b/>
          <w:bCs/>
        </w:rPr>
        <w:t xml:space="preserve"> 23</w:t>
      </w:r>
      <w:r w:rsidR="00640058" w:rsidRPr="0013782F">
        <w:rPr>
          <w:rFonts w:asciiTheme="minorHAnsi" w:hAnsiTheme="minorHAnsi" w:cstheme="minorHAnsi"/>
          <w:b/>
          <w:bCs/>
        </w:rPr>
        <w:t>–24</w:t>
      </w:r>
      <w:r w:rsidRPr="0013782F">
        <w:rPr>
          <w:rFonts w:asciiTheme="minorHAnsi" w:hAnsiTheme="minorHAnsi" w:cstheme="minorHAnsi"/>
        </w:rPr>
        <w:t>)</w:t>
      </w:r>
      <w:r w:rsidR="003345FF" w:rsidRPr="0013782F">
        <w:rPr>
          <w:rFonts w:asciiTheme="minorHAnsi" w:hAnsiTheme="minorHAnsi" w:cstheme="minorHAnsi"/>
        </w:rPr>
        <w:t>.</w:t>
      </w:r>
      <w:r w:rsidRPr="0013782F">
        <w:rPr>
          <w:rFonts w:asciiTheme="minorHAnsi" w:hAnsiTheme="minorHAnsi" w:cstheme="minorHAnsi"/>
        </w:rPr>
        <w:t xml:space="preserve">  Foreign trade data indicate an increase in goods and services exports (</w:t>
      </w:r>
      <w:r w:rsidRPr="0013782F">
        <w:rPr>
          <w:rFonts w:asciiTheme="minorHAnsi" w:hAnsiTheme="minorHAnsi" w:cstheme="minorHAnsi"/>
          <w:b/>
          <w:bCs/>
        </w:rPr>
        <w:t>Figure 19</w:t>
      </w:r>
      <w:r w:rsidRPr="0013782F">
        <w:rPr>
          <w:rFonts w:asciiTheme="minorHAnsi" w:hAnsiTheme="minorHAnsi" w:cstheme="minorHAnsi"/>
        </w:rPr>
        <w:t xml:space="preserve">).  Goods imports have recovered gradually in the first three quarters of the year, and the volume of consumption goods imports is about 7 percent higher than it was before the war. </w:t>
      </w:r>
      <w:r w:rsidR="00820E0F" w:rsidRPr="0013782F">
        <w:rPr>
          <w:rFonts w:asciiTheme="minorHAnsi" w:hAnsiTheme="minorHAnsi" w:cstheme="minorHAnsi"/>
        </w:rPr>
        <w:t>In contrast, the import of raw materials and the import of investment products are lower than their prewar levels.</w:t>
      </w:r>
    </w:p>
    <w:p w:rsidR="00A72A29" w:rsidRPr="0013782F" w:rsidRDefault="00A72A29" w:rsidP="006075EE">
      <w:pPr>
        <w:jc w:val="both"/>
        <w:rPr>
          <w:rFonts w:asciiTheme="minorHAnsi" w:hAnsiTheme="minorHAnsi" w:cstheme="minorHAnsi"/>
        </w:rPr>
      </w:pPr>
    </w:p>
    <w:p w:rsidR="00244C15" w:rsidRPr="0013782F" w:rsidRDefault="00086CE6" w:rsidP="00820E0F">
      <w:pPr>
        <w:ind w:right="265"/>
        <w:jc w:val="both"/>
        <w:rPr>
          <w:rFonts w:asciiTheme="minorHAnsi" w:hAnsiTheme="minorHAnsi" w:cstheme="minorHAnsi"/>
        </w:rPr>
      </w:pPr>
      <w:r w:rsidRPr="0013782F">
        <w:rPr>
          <w:rFonts w:asciiTheme="minorHAnsi" w:hAnsiTheme="minorHAnsi" w:cstheme="minorHAnsi"/>
        </w:rPr>
        <w:t xml:space="preserve">The cumulative deficit in the government budget </w:t>
      </w:r>
      <w:r w:rsidR="00820E0F" w:rsidRPr="0013782F">
        <w:rPr>
          <w:rFonts w:asciiTheme="minorHAnsi" w:hAnsiTheme="minorHAnsi" w:cstheme="minorHAnsi"/>
        </w:rPr>
        <w:t>between January and August totaled</w:t>
      </w:r>
      <w:r w:rsidR="00E17FE1" w:rsidRPr="0013782F">
        <w:rPr>
          <w:rFonts w:asciiTheme="minorHAnsi" w:hAnsiTheme="minorHAnsi" w:cstheme="minorHAnsi"/>
        </w:rPr>
        <w:t xml:space="preserve"> 8.</w:t>
      </w:r>
      <w:r w:rsidR="00820E0F" w:rsidRPr="0013782F">
        <w:rPr>
          <w:rFonts w:asciiTheme="minorHAnsi" w:hAnsiTheme="minorHAnsi" w:cstheme="minorHAnsi"/>
        </w:rPr>
        <w:t>3</w:t>
      </w:r>
      <w:r w:rsidR="00E17FE1" w:rsidRPr="0013782F">
        <w:rPr>
          <w:rFonts w:asciiTheme="minorHAnsi" w:hAnsiTheme="minorHAnsi" w:cstheme="minorHAnsi"/>
        </w:rPr>
        <w:t xml:space="preserve"> percent of GDP. </w:t>
      </w:r>
    </w:p>
    <w:p w:rsidR="00244C15" w:rsidRPr="0013782F" w:rsidRDefault="00244C15" w:rsidP="006075EE">
      <w:pPr>
        <w:ind w:right="265"/>
        <w:jc w:val="both"/>
        <w:rPr>
          <w:rFonts w:asciiTheme="minorHAnsi" w:hAnsiTheme="minorHAnsi" w:cstheme="minorHAnsi"/>
        </w:rPr>
      </w:pPr>
    </w:p>
    <w:p w:rsidR="008A0DA3" w:rsidRPr="0013782F" w:rsidRDefault="00820E0F" w:rsidP="00640058">
      <w:pPr>
        <w:ind w:right="265"/>
        <w:jc w:val="both"/>
        <w:rPr>
          <w:rFonts w:asciiTheme="minorHAnsi" w:hAnsiTheme="minorHAnsi" w:cstheme="minorHAnsi"/>
        </w:rPr>
      </w:pPr>
      <w:r w:rsidRPr="0013782F">
        <w:rPr>
          <w:rFonts w:asciiTheme="minorHAnsi" w:hAnsiTheme="minorHAnsi" w:cstheme="minorHAnsi"/>
        </w:rPr>
        <w:t xml:space="preserve">The labor market remains tight, mainly in view of supply limitations.  The participation rate continues to decline, while the employment rate is stable.  The employment rate among those aged 15 and older was stable, at 60.9 percent in August, and the broad unemployment rate remained low in August, at 3.2 percent </w:t>
      </w:r>
      <w:r w:rsidR="008A0DA3" w:rsidRPr="0013782F">
        <w:rPr>
          <w:rFonts w:asciiTheme="minorHAnsi" w:hAnsiTheme="minorHAnsi" w:cstheme="minorHAnsi"/>
        </w:rPr>
        <w:t>(seasonally adjusted</w:t>
      </w:r>
      <w:r w:rsidRPr="0013782F">
        <w:rPr>
          <w:rFonts w:asciiTheme="minorHAnsi" w:hAnsiTheme="minorHAnsi" w:cstheme="minorHAnsi"/>
        </w:rPr>
        <w:t xml:space="preserve">, </w:t>
      </w:r>
      <w:r w:rsidRPr="0013782F">
        <w:rPr>
          <w:rFonts w:asciiTheme="minorHAnsi" w:hAnsiTheme="minorHAnsi" w:cstheme="minorHAnsi"/>
          <w:b/>
          <w:bCs/>
        </w:rPr>
        <w:t xml:space="preserve">Figure </w:t>
      </w:r>
      <w:r w:rsidR="00640058" w:rsidRPr="0013782F">
        <w:rPr>
          <w:rFonts w:asciiTheme="minorHAnsi" w:hAnsiTheme="minorHAnsi" w:cstheme="minorHAnsi"/>
          <w:b/>
          <w:bCs/>
        </w:rPr>
        <w:t>1</w:t>
      </w:r>
      <w:r w:rsidRPr="0013782F">
        <w:rPr>
          <w:rFonts w:asciiTheme="minorHAnsi" w:hAnsiTheme="minorHAnsi" w:cstheme="minorHAnsi"/>
          <w:b/>
          <w:bCs/>
        </w:rPr>
        <w:t>2</w:t>
      </w:r>
      <w:r w:rsidR="008A0DA3" w:rsidRPr="0013782F">
        <w:rPr>
          <w:rFonts w:asciiTheme="minorHAnsi" w:hAnsiTheme="minorHAnsi" w:cstheme="minorHAnsi"/>
        </w:rPr>
        <w:t xml:space="preserve">). </w:t>
      </w:r>
      <w:r w:rsidR="003C7B49" w:rsidRPr="0013782F">
        <w:rPr>
          <w:rFonts w:asciiTheme="minorHAnsi" w:hAnsiTheme="minorHAnsi" w:cstheme="minorHAnsi"/>
        </w:rPr>
        <w:t xml:space="preserve">The job vacancy rate </w:t>
      </w:r>
      <w:r w:rsidRPr="0013782F">
        <w:rPr>
          <w:rFonts w:asciiTheme="minorHAnsi" w:hAnsiTheme="minorHAnsi" w:cstheme="minorHAnsi"/>
        </w:rPr>
        <w:t>declined in August</w:t>
      </w:r>
      <w:r w:rsidR="003C7B49" w:rsidRPr="0013782F">
        <w:rPr>
          <w:rFonts w:asciiTheme="minorHAnsi" w:hAnsiTheme="minorHAnsi" w:cstheme="minorHAnsi"/>
        </w:rPr>
        <w:t xml:space="preserve">, </w:t>
      </w:r>
      <w:r w:rsidRPr="0013782F">
        <w:rPr>
          <w:rFonts w:asciiTheme="minorHAnsi" w:hAnsiTheme="minorHAnsi" w:cstheme="minorHAnsi"/>
        </w:rPr>
        <w:t>but remains above its prewar level (</w:t>
      </w:r>
      <w:r w:rsidRPr="0013782F">
        <w:rPr>
          <w:rFonts w:asciiTheme="minorHAnsi" w:hAnsiTheme="minorHAnsi" w:cstheme="minorHAnsi"/>
          <w:b/>
          <w:bCs/>
        </w:rPr>
        <w:t>Figure 14</w:t>
      </w:r>
      <w:r w:rsidRPr="0013782F">
        <w:rPr>
          <w:rFonts w:asciiTheme="minorHAnsi" w:hAnsiTheme="minorHAnsi" w:cstheme="minorHAnsi"/>
        </w:rPr>
        <w:t xml:space="preserve">). In addition, according to the </w:t>
      </w:r>
      <w:r w:rsidR="00961935" w:rsidRPr="0013782F">
        <w:rPr>
          <w:rFonts w:asciiTheme="minorHAnsi" w:hAnsiTheme="minorHAnsi" w:cstheme="minorHAnsi"/>
        </w:rPr>
        <w:t xml:space="preserve">Central Bureau of Statistics </w:t>
      </w:r>
      <w:r w:rsidRPr="0013782F">
        <w:rPr>
          <w:rFonts w:asciiTheme="minorHAnsi" w:hAnsiTheme="minorHAnsi" w:cstheme="minorHAnsi"/>
        </w:rPr>
        <w:t xml:space="preserve">Business Tendency Survey, the constraint on expanding activity </w:t>
      </w:r>
      <w:r w:rsidRPr="0013782F">
        <w:rPr>
          <w:rFonts w:asciiTheme="minorHAnsi" w:hAnsiTheme="minorHAnsi" w:cstheme="minorHAnsi"/>
        </w:rPr>
        <w:lastRenderedPageBreak/>
        <w:t>due to difficulty in hiring workers (moderate or severe) declined in September in most industries, but remained higher than before the war (</w:t>
      </w:r>
      <w:r w:rsidRPr="0013782F">
        <w:rPr>
          <w:rFonts w:asciiTheme="minorHAnsi" w:hAnsiTheme="minorHAnsi" w:cstheme="minorHAnsi"/>
          <w:b/>
          <w:bCs/>
        </w:rPr>
        <w:t>Figure 2</w:t>
      </w:r>
      <w:r w:rsidR="00640058" w:rsidRPr="0013782F">
        <w:rPr>
          <w:rFonts w:asciiTheme="minorHAnsi" w:hAnsiTheme="minorHAnsi" w:cstheme="minorHAnsi"/>
          <w:b/>
          <w:bCs/>
        </w:rPr>
        <w:t>5</w:t>
      </w:r>
      <w:r w:rsidRPr="0013782F">
        <w:rPr>
          <w:rFonts w:asciiTheme="minorHAnsi" w:hAnsiTheme="minorHAnsi" w:cstheme="minorHAnsi"/>
        </w:rPr>
        <w:t>).  Nominal wages continue to increase, although at a slightly more moderate pace, and real wages remain consistent with the long-term trend</w:t>
      </w:r>
      <w:r w:rsidR="003C7B49" w:rsidRPr="0013782F">
        <w:rPr>
          <w:rFonts w:asciiTheme="minorHAnsi" w:hAnsiTheme="minorHAnsi" w:cstheme="minorHAnsi"/>
        </w:rPr>
        <w:t xml:space="preserve"> </w:t>
      </w:r>
      <w:r w:rsidR="003C7B49" w:rsidRPr="0013782F">
        <w:rPr>
          <w:rFonts w:asciiTheme="minorHAnsi" w:hAnsiTheme="minorHAnsi" w:cstheme="minorHAnsi"/>
          <w:b/>
          <w:bCs/>
        </w:rPr>
        <w:t xml:space="preserve">(Figure </w:t>
      </w:r>
      <w:r w:rsidR="00B53C5C" w:rsidRPr="0013782F">
        <w:rPr>
          <w:rFonts w:asciiTheme="minorHAnsi" w:hAnsiTheme="minorHAnsi" w:cstheme="minorHAnsi"/>
          <w:b/>
          <w:bCs/>
        </w:rPr>
        <w:t>1</w:t>
      </w:r>
      <w:r w:rsidRPr="0013782F">
        <w:rPr>
          <w:rFonts w:asciiTheme="minorHAnsi" w:hAnsiTheme="minorHAnsi" w:cstheme="minorHAnsi"/>
          <w:b/>
          <w:bCs/>
        </w:rPr>
        <w:t>3</w:t>
      </w:r>
      <w:r w:rsidR="003C7B49" w:rsidRPr="0013782F">
        <w:rPr>
          <w:rFonts w:asciiTheme="minorHAnsi" w:hAnsiTheme="minorHAnsi" w:cstheme="minorHAnsi"/>
          <w:b/>
          <w:bCs/>
        </w:rPr>
        <w:t>)</w:t>
      </w:r>
      <w:r w:rsidR="003C7B49" w:rsidRPr="0013782F">
        <w:rPr>
          <w:rFonts w:asciiTheme="minorHAnsi" w:hAnsiTheme="minorHAnsi" w:cstheme="minorHAnsi"/>
        </w:rPr>
        <w:t xml:space="preserve">. </w:t>
      </w:r>
    </w:p>
    <w:p w:rsidR="0044662E" w:rsidRPr="0013782F" w:rsidRDefault="0044662E" w:rsidP="006075EE">
      <w:pPr>
        <w:ind w:right="265"/>
        <w:jc w:val="both"/>
        <w:rPr>
          <w:rFonts w:asciiTheme="minorHAnsi" w:hAnsiTheme="minorHAnsi" w:cstheme="minorHAnsi"/>
        </w:rPr>
      </w:pPr>
    </w:p>
    <w:p w:rsidR="0044662E" w:rsidRPr="0013782F" w:rsidRDefault="00820E0F" w:rsidP="00854CD9">
      <w:pPr>
        <w:ind w:right="265"/>
        <w:jc w:val="both"/>
        <w:rPr>
          <w:rFonts w:asciiTheme="minorHAnsi" w:hAnsiTheme="minorHAnsi" w:cstheme="minorHAnsi"/>
        </w:rPr>
      </w:pPr>
      <w:r w:rsidRPr="0013782F">
        <w:rPr>
          <w:rFonts w:asciiTheme="minorHAnsi" w:hAnsiTheme="minorHAnsi" w:cstheme="minorHAnsi"/>
        </w:rPr>
        <w:t>Activity in the construction industry is recovering gradually, but limitations on activity in the industry in view of the war remain significant (</w:t>
      </w:r>
      <w:r w:rsidRPr="0013782F">
        <w:rPr>
          <w:rFonts w:asciiTheme="minorHAnsi" w:hAnsiTheme="minorHAnsi" w:cstheme="minorHAnsi"/>
          <w:b/>
          <w:bCs/>
        </w:rPr>
        <w:t>Figure 15</w:t>
      </w:r>
      <w:r w:rsidRPr="0013782F">
        <w:rPr>
          <w:rFonts w:asciiTheme="minorHAnsi" w:hAnsiTheme="minorHAnsi" w:cstheme="minorHAnsi"/>
        </w:rPr>
        <w:t>).</w:t>
      </w:r>
      <w:r w:rsidR="0044662E" w:rsidRPr="0013782F">
        <w:rPr>
          <w:rFonts w:asciiTheme="minorHAnsi" w:hAnsiTheme="minorHAnsi" w:cstheme="minorHAnsi"/>
        </w:rPr>
        <w:t xml:space="preserve"> </w:t>
      </w:r>
      <w:r w:rsidR="009A55FE" w:rsidRPr="0013782F">
        <w:rPr>
          <w:rFonts w:asciiTheme="minorHAnsi" w:hAnsiTheme="minorHAnsi" w:cstheme="minorHAnsi"/>
        </w:rPr>
        <w:t xml:space="preserve">Home </w:t>
      </w:r>
      <w:r w:rsidR="00976530" w:rsidRPr="0013782F">
        <w:rPr>
          <w:rFonts w:asciiTheme="minorHAnsi" w:hAnsiTheme="minorHAnsi" w:cstheme="minorHAnsi"/>
        </w:rPr>
        <w:t>price</w:t>
      </w:r>
      <w:r w:rsidR="0063277D" w:rsidRPr="0013782F">
        <w:rPr>
          <w:rFonts w:asciiTheme="minorHAnsi" w:hAnsiTheme="minorHAnsi" w:cstheme="minorHAnsi"/>
        </w:rPr>
        <w:t>s</w:t>
      </w:r>
      <w:r w:rsidR="00976530" w:rsidRPr="0013782F">
        <w:rPr>
          <w:rFonts w:asciiTheme="minorHAnsi" w:hAnsiTheme="minorHAnsi" w:cstheme="minorHAnsi"/>
        </w:rPr>
        <w:t xml:space="preserve"> continued </w:t>
      </w:r>
      <w:r w:rsidRPr="0013782F">
        <w:rPr>
          <w:rFonts w:asciiTheme="minorHAnsi" w:hAnsiTheme="minorHAnsi" w:cstheme="minorHAnsi"/>
        </w:rPr>
        <w:t>their rapid upward trend</w:t>
      </w:r>
      <w:r w:rsidR="00976530" w:rsidRPr="0013782F">
        <w:rPr>
          <w:rFonts w:asciiTheme="minorHAnsi" w:hAnsiTheme="minorHAnsi" w:cstheme="minorHAnsi"/>
        </w:rPr>
        <w:t xml:space="preserve">, and </w:t>
      </w:r>
      <w:r w:rsidR="00CC034A" w:rsidRPr="0013782F">
        <w:rPr>
          <w:rFonts w:asciiTheme="minorHAnsi" w:hAnsiTheme="minorHAnsi" w:cstheme="minorHAnsi"/>
        </w:rPr>
        <w:t xml:space="preserve">the rate </w:t>
      </w:r>
      <w:r w:rsidRPr="0013782F">
        <w:rPr>
          <w:rFonts w:asciiTheme="minorHAnsi" w:hAnsiTheme="minorHAnsi" w:cstheme="minorHAnsi"/>
        </w:rPr>
        <w:t xml:space="preserve">of increase in the past year </w:t>
      </w:r>
      <w:r w:rsidR="00976530" w:rsidRPr="0013782F">
        <w:rPr>
          <w:rFonts w:asciiTheme="minorHAnsi" w:hAnsiTheme="minorHAnsi" w:cstheme="minorHAnsi"/>
        </w:rPr>
        <w:t xml:space="preserve">is </w:t>
      </w:r>
      <w:r w:rsidRPr="0013782F">
        <w:rPr>
          <w:rFonts w:asciiTheme="minorHAnsi" w:hAnsiTheme="minorHAnsi" w:cstheme="minorHAnsi"/>
        </w:rPr>
        <w:t>5.8</w:t>
      </w:r>
      <w:r w:rsidR="00976530" w:rsidRPr="0013782F">
        <w:rPr>
          <w:rFonts w:asciiTheme="minorHAnsi" w:hAnsiTheme="minorHAnsi" w:cstheme="minorHAnsi"/>
        </w:rPr>
        <w:t xml:space="preserve"> percent</w:t>
      </w:r>
      <w:r w:rsidR="004960DF" w:rsidRPr="0013782F">
        <w:rPr>
          <w:rFonts w:asciiTheme="minorHAnsi" w:hAnsiTheme="minorHAnsi" w:cstheme="minorHAnsi"/>
        </w:rPr>
        <w:t xml:space="preserve"> </w:t>
      </w:r>
      <w:r w:rsidR="004960DF" w:rsidRPr="0013782F">
        <w:rPr>
          <w:rFonts w:asciiTheme="minorHAnsi" w:hAnsiTheme="minorHAnsi" w:cstheme="minorHAnsi"/>
          <w:b/>
          <w:bCs/>
        </w:rPr>
        <w:t xml:space="preserve">(Figure </w:t>
      </w:r>
      <w:r w:rsidR="00640058" w:rsidRPr="0013782F">
        <w:rPr>
          <w:rFonts w:asciiTheme="minorHAnsi" w:hAnsiTheme="minorHAnsi" w:cstheme="minorHAnsi"/>
          <w:b/>
          <w:bCs/>
        </w:rPr>
        <w:t>16</w:t>
      </w:r>
      <w:r w:rsidR="004960DF" w:rsidRPr="0013782F">
        <w:rPr>
          <w:rFonts w:asciiTheme="minorHAnsi" w:hAnsiTheme="minorHAnsi" w:cstheme="minorHAnsi"/>
          <w:b/>
          <w:bCs/>
        </w:rPr>
        <w:t>)</w:t>
      </w:r>
      <w:r w:rsidR="00976530" w:rsidRPr="0013782F">
        <w:rPr>
          <w:rFonts w:asciiTheme="minorHAnsi" w:hAnsiTheme="minorHAnsi" w:cstheme="minorHAnsi"/>
        </w:rPr>
        <w:t xml:space="preserve">. </w:t>
      </w:r>
      <w:r w:rsidRPr="0013782F">
        <w:rPr>
          <w:rFonts w:asciiTheme="minorHAnsi" w:hAnsiTheme="minorHAnsi" w:cstheme="minorHAnsi"/>
        </w:rPr>
        <w:t>According to the Central Bureau of Statistics, building starts declined by 6 percent in the second quarter, relative to the first quarter, while building completions declined by 17 percent. In addition, the number of building permits issued in the second quarter declined by 4 percent compared to the previous quarter.  In August, new mortgage borrowing totaled NIS 8.4 billion (</w:t>
      </w:r>
      <w:r w:rsidRPr="0013782F">
        <w:rPr>
          <w:rFonts w:asciiTheme="minorHAnsi" w:hAnsiTheme="minorHAnsi" w:cstheme="minorHAnsi"/>
          <w:b/>
          <w:bCs/>
        </w:rPr>
        <w:t xml:space="preserve">Figure </w:t>
      </w:r>
      <w:r w:rsidR="00640058" w:rsidRPr="0013782F">
        <w:rPr>
          <w:rFonts w:asciiTheme="minorHAnsi" w:hAnsiTheme="minorHAnsi" w:cstheme="minorHAnsi"/>
          <w:b/>
          <w:bCs/>
        </w:rPr>
        <w:t>17</w:t>
      </w:r>
      <w:r w:rsidRPr="0013782F">
        <w:rPr>
          <w:rFonts w:asciiTheme="minorHAnsi" w:hAnsiTheme="minorHAnsi" w:cstheme="minorHAnsi"/>
        </w:rPr>
        <w:t xml:space="preserve">).  The </w:t>
      </w:r>
      <w:r w:rsidR="001F0E1E" w:rsidRPr="0013782F">
        <w:rPr>
          <w:rFonts w:asciiTheme="minorHAnsi" w:hAnsiTheme="minorHAnsi" w:cstheme="minorHAnsi"/>
        </w:rPr>
        <w:t xml:space="preserve">pace of increase in rental prices remained relatively stable at 2.6 percent.  However, for </w:t>
      </w:r>
      <w:r w:rsidR="00854CD9" w:rsidRPr="0013782F">
        <w:rPr>
          <w:rFonts w:asciiTheme="minorHAnsi" w:hAnsiTheme="minorHAnsi" w:cstheme="minorHAnsi"/>
        </w:rPr>
        <w:t>rentals</w:t>
      </w:r>
      <w:r w:rsidR="001F0E1E" w:rsidRPr="0013782F">
        <w:rPr>
          <w:rFonts w:asciiTheme="minorHAnsi" w:hAnsiTheme="minorHAnsi" w:cstheme="minorHAnsi"/>
        </w:rPr>
        <w:t xml:space="preserve"> in which the tenant changed, there was an increase of 5.3 percent in rents.</w:t>
      </w:r>
    </w:p>
    <w:p w:rsidR="008A0DA3" w:rsidRPr="0013782F" w:rsidRDefault="008A0DA3" w:rsidP="006075EE">
      <w:pPr>
        <w:ind w:right="265"/>
        <w:jc w:val="both"/>
        <w:rPr>
          <w:rFonts w:asciiTheme="minorHAnsi" w:hAnsiTheme="minorHAnsi" w:cstheme="minorHAnsi"/>
        </w:rPr>
      </w:pPr>
    </w:p>
    <w:p w:rsidR="005D299B" w:rsidRPr="0013782F" w:rsidRDefault="000E6DF7" w:rsidP="00640058">
      <w:pPr>
        <w:ind w:right="265"/>
        <w:jc w:val="both"/>
        <w:rPr>
          <w:rFonts w:asciiTheme="minorHAnsi" w:hAnsiTheme="minorHAnsi" w:cstheme="minorHAnsi"/>
        </w:rPr>
      </w:pPr>
      <w:r w:rsidRPr="0013782F">
        <w:rPr>
          <w:rFonts w:asciiTheme="minorHAnsi" w:hAnsiTheme="minorHAnsi" w:cstheme="minorHAnsi"/>
        </w:rPr>
        <w:t xml:space="preserve">In the capital market, </w:t>
      </w:r>
      <w:r w:rsidR="00EC2508" w:rsidRPr="0013782F">
        <w:rPr>
          <w:rFonts w:asciiTheme="minorHAnsi" w:hAnsiTheme="minorHAnsi" w:cstheme="minorHAnsi"/>
        </w:rPr>
        <w:t xml:space="preserve">domestic </w:t>
      </w:r>
      <w:r w:rsidRPr="0013782F">
        <w:rPr>
          <w:rFonts w:asciiTheme="minorHAnsi" w:hAnsiTheme="minorHAnsi" w:cstheme="minorHAnsi"/>
        </w:rPr>
        <w:t xml:space="preserve">equity indices </w:t>
      </w:r>
      <w:r w:rsidR="006C73A9" w:rsidRPr="0013782F">
        <w:rPr>
          <w:rFonts w:asciiTheme="minorHAnsi" w:hAnsiTheme="minorHAnsi" w:cstheme="minorHAnsi"/>
        </w:rPr>
        <w:t>remained virtually unchanged</w:t>
      </w:r>
      <w:r w:rsidR="00AE2FAA" w:rsidRPr="0013782F">
        <w:rPr>
          <w:rFonts w:asciiTheme="minorHAnsi" w:hAnsiTheme="minorHAnsi" w:cstheme="minorHAnsi"/>
        </w:rPr>
        <w:t xml:space="preserve"> during the reviewed period</w:t>
      </w:r>
      <w:r w:rsidR="006C73A9" w:rsidRPr="0013782F">
        <w:rPr>
          <w:rFonts w:asciiTheme="minorHAnsi" w:hAnsiTheme="minorHAnsi" w:cstheme="minorHAnsi"/>
        </w:rPr>
        <w:t>, compared with increases in most of the main global equity indices (</w:t>
      </w:r>
      <w:r w:rsidR="006C73A9" w:rsidRPr="0013782F">
        <w:rPr>
          <w:rFonts w:asciiTheme="minorHAnsi" w:hAnsiTheme="minorHAnsi" w:cstheme="minorHAnsi"/>
          <w:b/>
          <w:bCs/>
        </w:rPr>
        <w:t>Figure 3</w:t>
      </w:r>
      <w:r w:rsidR="00640058" w:rsidRPr="0013782F">
        <w:rPr>
          <w:rFonts w:asciiTheme="minorHAnsi" w:hAnsiTheme="minorHAnsi" w:cstheme="minorHAnsi"/>
          <w:b/>
          <w:bCs/>
        </w:rPr>
        <w:t>2</w:t>
      </w:r>
      <w:r w:rsidR="006C73A9" w:rsidRPr="0013782F">
        <w:rPr>
          <w:rFonts w:asciiTheme="minorHAnsi" w:hAnsiTheme="minorHAnsi" w:cstheme="minorHAnsi"/>
        </w:rPr>
        <w:t>)</w:t>
      </w:r>
      <w:r w:rsidR="00171A9A" w:rsidRPr="0013782F">
        <w:rPr>
          <w:rFonts w:asciiTheme="minorHAnsi" w:hAnsiTheme="minorHAnsi" w:cstheme="minorHAnsi"/>
        </w:rPr>
        <w:t>.</w:t>
      </w:r>
      <w:r w:rsidR="00AE2FAA" w:rsidRPr="0013782F">
        <w:rPr>
          <w:rFonts w:asciiTheme="minorHAnsi" w:hAnsiTheme="minorHAnsi" w:cstheme="minorHAnsi"/>
        </w:rPr>
        <w:t xml:space="preserve"> </w:t>
      </w:r>
      <w:r w:rsidR="006C73A9" w:rsidRPr="0013782F">
        <w:rPr>
          <w:rFonts w:asciiTheme="minorHAnsi" w:hAnsiTheme="minorHAnsi" w:cstheme="minorHAnsi"/>
        </w:rPr>
        <w:t>T</w:t>
      </w:r>
      <w:r w:rsidRPr="0013782F">
        <w:rPr>
          <w:rFonts w:asciiTheme="minorHAnsi" w:hAnsiTheme="minorHAnsi" w:cstheme="minorHAnsi"/>
        </w:rPr>
        <w:t xml:space="preserve">he </w:t>
      </w:r>
      <w:r w:rsidR="006C73A9" w:rsidRPr="0013782F">
        <w:rPr>
          <w:rFonts w:asciiTheme="minorHAnsi" w:hAnsiTheme="minorHAnsi" w:cstheme="minorHAnsi"/>
        </w:rPr>
        <w:t xml:space="preserve">cumulative </w:t>
      </w:r>
      <w:r w:rsidRPr="0013782F">
        <w:rPr>
          <w:rFonts w:asciiTheme="minorHAnsi" w:hAnsiTheme="minorHAnsi" w:cstheme="minorHAnsi"/>
        </w:rPr>
        <w:t xml:space="preserve">underperformance </w:t>
      </w:r>
      <w:r w:rsidR="000A57F1" w:rsidRPr="0013782F">
        <w:rPr>
          <w:rFonts w:asciiTheme="minorHAnsi" w:hAnsiTheme="minorHAnsi" w:cstheme="minorHAnsi"/>
        </w:rPr>
        <w:t xml:space="preserve">of the domestic </w:t>
      </w:r>
      <w:r w:rsidR="000E64FA" w:rsidRPr="0013782F">
        <w:rPr>
          <w:rFonts w:asciiTheme="minorHAnsi" w:hAnsiTheme="minorHAnsi" w:cstheme="minorHAnsi"/>
        </w:rPr>
        <w:t xml:space="preserve">equities </w:t>
      </w:r>
      <w:r w:rsidR="000A57F1" w:rsidRPr="0013782F">
        <w:rPr>
          <w:rFonts w:asciiTheme="minorHAnsi" w:hAnsiTheme="minorHAnsi" w:cstheme="minorHAnsi"/>
        </w:rPr>
        <w:t xml:space="preserve">market </w:t>
      </w:r>
      <w:r w:rsidRPr="0013782F">
        <w:rPr>
          <w:rFonts w:asciiTheme="minorHAnsi" w:hAnsiTheme="minorHAnsi" w:cstheme="minorHAnsi"/>
        </w:rPr>
        <w:t>relative to the</w:t>
      </w:r>
      <w:r w:rsidR="000A57F1" w:rsidRPr="0013782F">
        <w:rPr>
          <w:rFonts w:asciiTheme="minorHAnsi" w:hAnsiTheme="minorHAnsi" w:cstheme="minorHAnsi"/>
        </w:rPr>
        <w:t xml:space="preserve"> global market since</w:t>
      </w:r>
      <w:r w:rsidRPr="0013782F">
        <w:rPr>
          <w:rFonts w:asciiTheme="minorHAnsi" w:hAnsiTheme="minorHAnsi" w:cstheme="minorHAnsi"/>
        </w:rPr>
        <w:t xml:space="preserve"> </w:t>
      </w:r>
      <w:r w:rsidR="00171A9A" w:rsidRPr="0013782F">
        <w:rPr>
          <w:rFonts w:asciiTheme="minorHAnsi" w:hAnsiTheme="minorHAnsi" w:cstheme="minorHAnsi"/>
        </w:rPr>
        <w:t xml:space="preserve">the </w:t>
      </w:r>
      <w:r w:rsidR="002C1FDC" w:rsidRPr="0013782F">
        <w:rPr>
          <w:rFonts w:asciiTheme="minorHAnsi" w:hAnsiTheme="minorHAnsi" w:cstheme="minorHAnsi"/>
        </w:rPr>
        <w:t xml:space="preserve">start </w:t>
      </w:r>
      <w:r w:rsidR="00EC2508" w:rsidRPr="0013782F">
        <w:rPr>
          <w:rFonts w:asciiTheme="minorHAnsi" w:hAnsiTheme="minorHAnsi" w:cstheme="minorHAnsi"/>
        </w:rPr>
        <w:t xml:space="preserve">of the war </w:t>
      </w:r>
      <w:r w:rsidRPr="0013782F">
        <w:rPr>
          <w:rFonts w:asciiTheme="minorHAnsi" w:hAnsiTheme="minorHAnsi" w:cstheme="minorHAnsi"/>
        </w:rPr>
        <w:t xml:space="preserve">remains significant. </w:t>
      </w:r>
      <w:r w:rsidR="006C73A9" w:rsidRPr="0013782F">
        <w:rPr>
          <w:rFonts w:asciiTheme="minorHAnsi" w:hAnsiTheme="minorHAnsi" w:cstheme="minorHAnsi"/>
        </w:rPr>
        <w:t>G</w:t>
      </w:r>
      <w:r w:rsidR="00EC2508" w:rsidRPr="0013782F">
        <w:rPr>
          <w:rFonts w:asciiTheme="minorHAnsi" w:hAnsiTheme="minorHAnsi" w:cstheme="minorHAnsi"/>
        </w:rPr>
        <w:t>overnment bond</w:t>
      </w:r>
      <w:r w:rsidR="006C73A9" w:rsidRPr="0013782F">
        <w:rPr>
          <w:rFonts w:asciiTheme="minorHAnsi" w:hAnsiTheme="minorHAnsi" w:cstheme="minorHAnsi"/>
        </w:rPr>
        <w:t xml:space="preserve"> </w:t>
      </w:r>
      <w:r w:rsidR="00EC2508" w:rsidRPr="0013782F">
        <w:rPr>
          <w:rFonts w:asciiTheme="minorHAnsi" w:hAnsiTheme="minorHAnsi" w:cstheme="minorHAnsi"/>
        </w:rPr>
        <w:t xml:space="preserve">yields </w:t>
      </w:r>
      <w:r w:rsidR="006C73A9" w:rsidRPr="0013782F">
        <w:rPr>
          <w:rFonts w:asciiTheme="minorHAnsi" w:hAnsiTheme="minorHAnsi" w:cstheme="minorHAnsi"/>
        </w:rPr>
        <w:t>increased</w:t>
      </w:r>
      <w:r w:rsidR="00EC2508" w:rsidRPr="0013782F">
        <w:rPr>
          <w:rFonts w:asciiTheme="minorHAnsi" w:hAnsiTheme="minorHAnsi" w:cstheme="minorHAnsi"/>
        </w:rPr>
        <w:t xml:space="preserve">. </w:t>
      </w:r>
      <w:r w:rsidR="006C73A9" w:rsidRPr="0013782F">
        <w:rPr>
          <w:rFonts w:asciiTheme="minorHAnsi" w:hAnsiTheme="minorHAnsi" w:cstheme="minorHAnsi"/>
        </w:rPr>
        <w:t>Corporate bond spreads remained virtually unchanged (</w:t>
      </w:r>
      <w:r w:rsidR="006C73A9" w:rsidRPr="0013782F">
        <w:rPr>
          <w:rFonts w:asciiTheme="minorHAnsi" w:hAnsiTheme="minorHAnsi" w:cstheme="minorHAnsi"/>
          <w:b/>
          <w:bCs/>
        </w:rPr>
        <w:t xml:space="preserve">Figure </w:t>
      </w:r>
      <w:r w:rsidR="00640058" w:rsidRPr="0013782F">
        <w:rPr>
          <w:rFonts w:asciiTheme="minorHAnsi" w:hAnsiTheme="minorHAnsi" w:cstheme="minorHAnsi"/>
          <w:b/>
          <w:bCs/>
        </w:rPr>
        <w:t>29</w:t>
      </w:r>
      <w:r w:rsidR="006C73A9" w:rsidRPr="0013782F">
        <w:rPr>
          <w:rFonts w:asciiTheme="minorHAnsi" w:hAnsiTheme="minorHAnsi" w:cstheme="minorHAnsi"/>
        </w:rPr>
        <w:t xml:space="preserve">). During the reviewed period, the Moody’s ratings agency </w:t>
      </w:r>
      <w:r w:rsidR="00A35AAB" w:rsidRPr="0013782F">
        <w:rPr>
          <w:rFonts w:asciiTheme="minorHAnsi" w:hAnsiTheme="minorHAnsi" w:cstheme="minorHAnsi"/>
        </w:rPr>
        <w:t>downgrade</w:t>
      </w:r>
      <w:r w:rsidR="006C73A9" w:rsidRPr="0013782F">
        <w:rPr>
          <w:rFonts w:asciiTheme="minorHAnsi" w:hAnsiTheme="minorHAnsi" w:cstheme="minorHAnsi"/>
        </w:rPr>
        <w:t xml:space="preserve">d Israel’s credit rating by two </w:t>
      </w:r>
      <w:r w:rsidR="00854CD9" w:rsidRPr="0013782F">
        <w:rPr>
          <w:rFonts w:asciiTheme="minorHAnsi" w:hAnsiTheme="minorHAnsi" w:cstheme="minorHAnsi"/>
        </w:rPr>
        <w:t>notches</w:t>
      </w:r>
      <w:r w:rsidR="006C73A9" w:rsidRPr="0013782F">
        <w:rPr>
          <w:rFonts w:asciiTheme="minorHAnsi" w:hAnsiTheme="minorHAnsi" w:cstheme="minorHAnsi"/>
        </w:rPr>
        <w:t xml:space="preserve">, and the S&amp;P ratings agency </w:t>
      </w:r>
      <w:r w:rsidR="00A35AAB" w:rsidRPr="0013782F">
        <w:rPr>
          <w:rFonts w:asciiTheme="minorHAnsi" w:hAnsiTheme="minorHAnsi" w:cstheme="minorHAnsi"/>
        </w:rPr>
        <w:t>downgraded</w:t>
      </w:r>
      <w:r w:rsidR="006C73A9" w:rsidRPr="0013782F">
        <w:rPr>
          <w:rFonts w:asciiTheme="minorHAnsi" w:hAnsiTheme="minorHAnsi" w:cstheme="minorHAnsi"/>
        </w:rPr>
        <w:t xml:space="preserve"> Israel’s credit rating by one </w:t>
      </w:r>
      <w:r w:rsidR="00854CD9" w:rsidRPr="0013782F">
        <w:rPr>
          <w:rFonts w:asciiTheme="minorHAnsi" w:hAnsiTheme="minorHAnsi" w:cstheme="minorHAnsi"/>
        </w:rPr>
        <w:t>notch</w:t>
      </w:r>
      <w:r w:rsidR="006C73A9" w:rsidRPr="0013782F">
        <w:rPr>
          <w:rFonts w:asciiTheme="minorHAnsi" w:hAnsiTheme="minorHAnsi" w:cstheme="minorHAnsi"/>
        </w:rPr>
        <w:t xml:space="preserve">.  Both agencies maintained a negative outlook for Israel’s rating.  Israel’s risk premium, as </w:t>
      </w:r>
      <w:r w:rsidR="00AE0DC2" w:rsidRPr="0013782F">
        <w:rPr>
          <w:rFonts w:asciiTheme="minorHAnsi" w:hAnsiTheme="minorHAnsi" w:cstheme="minorHAnsi"/>
        </w:rPr>
        <w:t xml:space="preserve">measured by the </w:t>
      </w:r>
      <w:r w:rsidR="006C73A9" w:rsidRPr="0013782F">
        <w:rPr>
          <w:rFonts w:asciiTheme="minorHAnsi" w:hAnsiTheme="minorHAnsi" w:cstheme="minorHAnsi"/>
        </w:rPr>
        <w:t>5-year CDS spread, increased to a record high of 165 points during the reviewed period, and the spread between dollar-denominated Israeli government bonds and US Treasury bills widened slightly and remains high (</w:t>
      </w:r>
      <w:r w:rsidR="006C73A9" w:rsidRPr="0013782F">
        <w:rPr>
          <w:rFonts w:asciiTheme="minorHAnsi" w:hAnsiTheme="minorHAnsi" w:cstheme="minorHAnsi"/>
          <w:b/>
          <w:bCs/>
        </w:rPr>
        <w:t>Figure 2</w:t>
      </w:r>
      <w:r w:rsidR="00640058" w:rsidRPr="0013782F">
        <w:rPr>
          <w:rFonts w:asciiTheme="minorHAnsi" w:hAnsiTheme="minorHAnsi" w:cstheme="minorHAnsi"/>
          <w:b/>
          <w:bCs/>
        </w:rPr>
        <w:t>8</w:t>
      </w:r>
      <w:r w:rsidR="006C73A9" w:rsidRPr="0013782F">
        <w:rPr>
          <w:rFonts w:asciiTheme="minorHAnsi" w:hAnsiTheme="minorHAnsi" w:cstheme="minorHAnsi"/>
        </w:rPr>
        <w:t>)</w:t>
      </w:r>
      <w:r w:rsidR="00AE0DC2" w:rsidRPr="0013782F">
        <w:rPr>
          <w:rFonts w:asciiTheme="minorHAnsi" w:hAnsiTheme="minorHAnsi" w:cstheme="minorHAnsi"/>
        </w:rPr>
        <w:t>.</w:t>
      </w:r>
      <w:r w:rsidR="006C73A9" w:rsidRPr="0013782F">
        <w:rPr>
          <w:rFonts w:asciiTheme="minorHAnsi" w:hAnsiTheme="minorHAnsi" w:cstheme="minorHAnsi"/>
        </w:rPr>
        <w:t xml:space="preserve">  Outstanding business and consumer credit continues to grow, although at a </w:t>
      </w:r>
      <w:proofErr w:type="spellStart"/>
      <w:r w:rsidR="006C73A9" w:rsidRPr="0013782F">
        <w:rPr>
          <w:rFonts w:asciiTheme="minorHAnsi" w:hAnsiTheme="minorHAnsi" w:cstheme="minorHAnsi"/>
        </w:rPr>
        <w:t>lower</w:t>
      </w:r>
      <w:proofErr w:type="spellEnd"/>
      <w:r w:rsidR="006C73A9" w:rsidRPr="0013782F">
        <w:rPr>
          <w:rFonts w:asciiTheme="minorHAnsi" w:hAnsiTheme="minorHAnsi" w:cstheme="minorHAnsi"/>
        </w:rPr>
        <w:t xml:space="preserve"> pace than before the war.</w:t>
      </w:r>
    </w:p>
    <w:p w:rsidR="000308DE" w:rsidRPr="0013782F" w:rsidRDefault="000308DE" w:rsidP="006075EE">
      <w:pPr>
        <w:ind w:right="265"/>
        <w:jc w:val="both"/>
        <w:rPr>
          <w:rFonts w:asciiTheme="minorHAnsi" w:hAnsiTheme="minorHAnsi" w:cstheme="minorHAnsi"/>
        </w:rPr>
      </w:pPr>
    </w:p>
    <w:p w:rsidR="00B5030C" w:rsidRPr="0013782F" w:rsidRDefault="00B5030C" w:rsidP="00640058">
      <w:pPr>
        <w:ind w:right="265"/>
        <w:jc w:val="both"/>
        <w:rPr>
          <w:rFonts w:asciiTheme="minorHAnsi" w:hAnsiTheme="minorHAnsi" w:cstheme="minorHAnsi"/>
        </w:rPr>
      </w:pPr>
      <w:r w:rsidRPr="0013782F">
        <w:rPr>
          <w:rFonts w:asciiTheme="minorHAnsi" w:hAnsiTheme="minorHAnsi" w:cstheme="minorHAnsi"/>
        </w:rPr>
        <w:t xml:space="preserve">The increase in geopolitical tension in the Middle East has so far had a moderate effect on the global financial markets, while the prices of oil and natural gas </w:t>
      </w:r>
      <w:r w:rsidR="00961935" w:rsidRPr="0013782F">
        <w:rPr>
          <w:rFonts w:asciiTheme="minorHAnsi" w:hAnsiTheme="minorHAnsi" w:cstheme="minorHAnsi"/>
        </w:rPr>
        <w:t>recently</w:t>
      </w:r>
      <w:r w:rsidRPr="0013782F">
        <w:rPr>
          <w:rFonts w:asciiTheme="minorHAnsi" w:hAnsiTheme="minorHAnsi" w:cstheme="minorHAnsi"/>
        </w:rPr>
        <w:t xml:space="preserve"> increased.  The global purchasing </w:t>
      </w:r>
      <w:proofErr w:type="gramStart"/>
      <w:r w:rsidRPr="0013782F">
        <w:rPr>
          <w:rFonts w:asciiTheme="minorHAnsi" w:hAnsiTheme="minorHAnsi" w:cstheme="minorHAnsi"/>
        </w:rPr>
        <w:t>managers</w:t>
      </w:r>
      <w:proofErr w:type="gramEnd"/>
      <w:r w:rsidRPr="0013782F">
        <w:rPr>
          <w:rFonts w:asciiTheme="minorHAnsi" w:hAnsiTheme="minorHAnsi" w:cstheme="minorHAnsi"/>
        </w:rPr>
        <w:t xml:space="preserve"> indices for September indicated expansion in the services sector and continued contraction in the manufacturing sector.  World trade was relatively stable.  Economic growth data published during the reviewed period in the US were surprisingly good, and indicated a growth path that was slightly higher than the long-term trend.  In the eurozone, second quarter growth was slightly lower than expected, with the German economy </w:t>
      </w:r>
      <w:r w:rsidR="00096C47" w:rsidRPr="0013782F">
        <w:rPr>
          <w:rFonts w:asciiTheme="minorHAnsi" w:hAnsiTheme="minorHAnsi" w:cstheme="minorHAnsi"/>
        </w:rPr>
        <w:t>particularly negative.  In China, second quarter growth was lower than forecast, and activity remained noticeably weak in the third quarter as well.  Inflation trends indicate continued convergence toward the central bank targets.  In the US, the August CPI increased by 0.2 percent moderating the annual inflation rate to 2.5 percent.  The Core CPI increased by 0.3 percent in August, with the annual pace of increase remaining unchanged at 3.2 percent.  Inflation in the eurozone declined to 1.8 percent in September, with the main decline coming from the energy component.  The monetary easing among central banks in the advanced economies continued, with the Federal Reserve lowering its interest rate by 50 basis points and revising its interest rate forecasts from June downward for both 2024 and 2025.  The ECB continued its path of lowering the interest rate, with a 25 basis point reduction (</w:t>
      </w:r>
      <w:r w:rsidR="00096C47" w:rsidRPr="0013782F">
        <w:rPr>
          <w:rFonts w:asciiTheme="minorHAnsi" w:hAnsiTheme="minorHAnsi" w:cstheme="minorHAnsi"/>
          <w:b/>
          <w:bCs/>
        </w:rPr>
        <w:t xml:space="preserve">Figure </w:t>
      </w:r>
      <w:r w:rsidR="00640058" w:rsidRPr="0013782F">
        <w:rPr>
          <w:rFonts w:asciiTheme="minorHAnsi" w:hAnsiTheme="minorHAnsi" w:cstheme="minorHAnsi"/>
          <w:b/>
          <w:bCs/>
        </w:rPr>
        <w:t>39</w:t>
      </w:r>
      <w:r w:rsidR="00096C47" w:rsidRPr="0013782F">
        <w:rPr>
          <w:rFonts w:asciiTheme="minorHAnsi" w:hAnsiTheme="minorHAnsi" w:cstheme="minorHAnsi"/>
        </w:rPr>
        <w:t>).  This trend of continued interest rate reductions is expected to continue in the coming year.</w:t>
      </w:r>
    </w:p>
    <w:p w:rsidR="00B5030C" w:rsidRPr="0013782F" w:rsidRDefault="00B5030C" w:rsidP="006075EE">
      <w:pPr>
        <w:ind w:right="265"/>
        <w:jc w:val="both"/>
        <w:rPr>
          <w:rFonts w:asciiTheme="minorHAnsi" w:hAnsiTheme="minorHAnsi" w:cstheme="minorHAnsi"/>
        </w:rPr>
      </w:pPr>
    </w:p>
    <w:p w:rsidR="006472BD" w:rsidRPr="0013782F" w:rsidRDefault="006472BD" w:rsidP="006075EE">
      <w:pPr>
        <w:jc w:val="both"/>
        <w:rPr>
          <w:rFonts w:asciiTheme="minorHAnsi" w:hAnsiTheme="minorHAnsi" w:cstheme="minorHAnsi"/>
        </w:rPr>
      </w:pPr>
    </w:p>
    <w:p w:rsidR="00AD12BC" w:rsidRPr="0013782F" w:rsidRDefault="00AD12BC" w:rsidP="006075EE">
      <w:pPr>
        <w:jc w:val="both"/>
        <w:rPr>
          <w:rFonts w:asciiTheme="minorHAnsi" w:hAnsiTheme="minorHAnsi" w:cstheme="minorHAnsi"/>
        </w:rPr>
      </w:pPr>
    </w:p>
    <w:p w:rsidR="00AD12BC" w:rsidRPr="0013782F" w:rsidRDefault="00AD12BC" w:rsidP="006075EE">
      <w:pPr>
        <w:jc w:val="both"/>
        <w:rPr>
          <w:rFonts w:asciiTheme="minorHAnsi" w:hAnsiTheme="minorHAnsi" w:cstheme="minorHAnsi"/>
        </w:rPr>
      </w:pPr>
    </w:p>
    <w:p w:rsidR="00D26730" w:rsidRPr="0013782F" w:rsidRDefault="00D26730" w:rsidP="00ED5371">
      <w:pPr>
        <w:jc w:val="both"/>
        <w:rPr>
          <w:rFonts w:asciiTheme="minorHAnsi" w:hAnsiTheme="minorHAnsi" w:cstheme="minorHAnsi"/>
        </w:rPr>
      </w:pPr>
      <w:r w:rsidRPr="0013782F">
        <w:rPr>
          <w:rFonts w:asciiTheme="minorHAnsi" w:hAnsiTheme="minorHAnsi" w:cstheme="minorHAnsi"/>
        </w:rPr>
        <w:t xml:space="preserve">The minutes of the monetary discussions prior to this interest rate decision will be published on </w:t>
      </w:r>
      <w:r w:rsidR="00096C47" w:rsidRPr="0013782F">
        <w:rPr>
          <w:rFonts w:asciiTheme="minorHAnsi" w:hAnsiTheme="minorHAnsi" w:cstheme="minorHAnsi"/>
        </w:rPr>
        <w:t>October 2</w:t>
      </w:r>
      <w:r w:rsidR="00ED5371" w:rsidRPr="0013782F">
        <w:rPr>
          <w:rFonts w:asciiTheme="minorHAnsi" w:hAnsiTheme="minorHAnsi" w:cstheme="minorHAnsi"/>
        </w:rPr>
        <w:t>2</w:t>
      </w:r>
      <w:r w:rsidR="003511FA" w:rsidRPr="0013782F">
        <w:rPr>
          <w:rFonts w:asciiTheme="minorHAnsi" w:hAnsiTheme="minorHAnsi" w:cstheme="minorHAnsi"/>
        </w:rPr>
        <w:t xml:space="preserve">, </w:t>
      </w:r>
      <w:r w:rsidR="00B16D92" w:rsidRPr="0013782F">
        <w:rPr>
          <w:rFonts w:asciiTheme="minorHAnsi" w:hAnsiTheme="minorHAnsi" w:cstheme="minorHAnsi"/>
        </w:rPr>
        <w:t>2024</w:t>
      </w:r>
      <w:r w:rsidRPr="0013782F">
        <w:rPr>
          <w:rFonts w:asciiTheme="minorHAnsi" w:hAnsiTheme="minorHAnsi" w:cstheme="minorHAnsi"/>
        </w:rPr>
        <w:t xml:space="preserve">. The next decision regarding the interest rate will be published on </w:t>
      </w:r>
      <w:r w:rsidR="00096C47" w:rsidRPr="0013782F">
        <w:rPr>
          <w:rFonts w:asciiTheme="minorHAnsi" w:hAnsiTheme="minorHAnsi" w:cstheme="minorHAnsi"/>
        </w:rPr>
        <w:t>Monday November 25</w:t>
      </w:r>
      <w:r w:rsidR="00C615F3" w:rsidRPr="0013782F">
        <w:rPr>
          <w:rFonts w:asciiTheme="minorHAnsi" w:hAnsiTheme="minorHAnsi" w:cstheme="minorHAnsi"/>
        </w:rPr>
        <w:t>.</w:t>
      </w:r>
    </w:p>
    <w:p w:rsidR="00B21E55" w:rsidRPr="0013782F" w:rsidRDefault="00B21E55" w:rsidP="006075EE">
      <w:pPr>
        <w:jc w:val="both"/>
        <w:rPr>
          <w:rFonts w:asciiTheme="minorHAnsi" w:hAnsiTheme="minorHAnsi" w:cstheme="minorHAnsi"/>
        </w:rPr>
      </w:pPr>
    </w:p>
    <w:p w:rsidR="00B21E55" w:rsidRPr="0013782F" w:rsidRDefault="00B21E55" w:rsidP="006075EE">
      <w:pPr>
        <w:jc w:val="both"/>
        <w:rPr>
          <w:rFonts w:asciiTheme="minorHAnsi" w:hAnsiTheme="minorHAnsi" w:cstheme="minorHAnsi"/>
        </w:rPr>
      </w:pPr>
    </w:p>
    <w:p w:rsidR="00B21E55" w:rsidRPr="0013782F" w:rsidRDefault="00B21E55" w:rsidP="006075EE">
      <w:pPr>
        <w:jc w:val="both"/>
        <w:rPr>
          <w:rFonts w:asciiTheme="minorHAnsi" w:hAnsiTheme="minorHAnsi" w:cstheme="minorHAnsi"/>
        </w:rPr>
      </w:pPr>
      <w:r w:rsidRPr="0013782F">
        <w:rPr>
          <w:rFonts w:asciiTheme="minorHAnsi" w:hAnsiTheme="minorHAnsi" w:cstheme="minorHAnsi"/>
        </w:rPr>
        <w:t>Interest rate decision dates for 2024 and 2025 are available at:</w:t>
      </w:r>
    </w:p>
    <w:p w:rsidR="00606830" w:rsidRPr="0013782F" w:rsidRDefault="00606830" w:rsidP="006075EE">
      <w:pPr>
        <w:spacing w:after="120" w:line="360" w:lineRule="auto"/>
        <w:jc w:val="both"/>
        <w:rPr>
          <w:rStyle w:val="Hyperlink"/>
          <w:rFonts w:asciiTheme="minorHAnsi" w:hAnsiTheme="minorHAnsi" w:cstheme="minorHAnsi"/>
        </w:rPr>
      </w:pPr>
      <w:r w:rsidRPr="0013782F">
        <w:rPr>
          <w:rStyle w:val="Hyperlink"/>
          <w:rFonts w:asciiTheme="minorHAnsi" w:hAnsiTheme="minorHAnsi" w:cstheme="minorHAnsi"/>
        </w:rPr>
        <w:t>https://www.boi.org.il/en/economic-roles/monetary-policy/interest-rate-announcement-dates-2024/</w:t>
      </w:r>
    </w:p>
    <w:p w:rsidR="00606830" w:rsidRPr="0013782F" w:rsidRDefault="00606830" w:rsidP="006075EE">
      <w:pPr>
        <w:spacing w:after="120" w:line="360" w:lineRule="auto"/>
        <w:jc w:val="both"/>
        <w:rPr>
          <w:rFonts w:asciiTheme="minorHAnsi" w:hAnsiTheme="minorHAnsi" w:cstheme="minorHAnsi"/>
          <w:rtl/>
        </w:rPr>
      </w:pPr>
    </w:p>
    <w:p w:rsidR="00B21E55" w:rsidRPr="0013782F" w:rsidRDefault="00B21E55" w:rsidP="00DA2D37">
      <w:pPr>
        <w:jc w:val="both"/>
        <w:rPr>
          <w:rFonts w:asciiTheme="minorHAnsi" w:hAnsiTheme="minorHAnsi" w:cstheme="minorHAnsi"/>
          <w:rtl/>
        </w:rPr>
      </w:pPr>
    </w:p>
    <w:sectPr w:rsidR="00B21E55" w:rsidRPr="0013782F" w:rsidSect="008A464C">
      <w:headerReference w:type="first" r:id="rId9"/>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BF" w:rsidRDefault="00C70CBF" w:rsidP="006A415B">
      <w:r>
        <w:separator/>
      </w:r>
    </w:p>
  </w:endnote>
  <w:endnote w:type="continuationSeparator" w:id="0">
    <w:p w:rsidR="00C70CBF" w:rsidRDefault="00C70CBF"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BF" w:rsidRDefault="00C70CBF" w:rsidP="006A415B">
      <w:r>
        <w:separator/>
      </w:r>
    </w:p>
  </w:footnote>
  <w:footnote w:type="continuationSeparator" w:id="0">
    <w:p w:rsidR="00C70CBF" w:rsidRDefault="00C70CBF"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5B" w:rsidRDefault="006A415B" w:rsidP="006A415B">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1"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4"/>
  </w:num>
  <w:num w:numId="5">
    <w:abstractNumId w:val="1"/>
  </w:num>
  <w:num w:numId="6">
    <w:abstractNumId w:val="11"/>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73A"/>
    <w:rsid w:val="000769A8"/>
    <w:rsid w:val="000819C4"/>
    <w:rsid w:val="00081DD4"/>
    <w:rsid w:val="0008265B"/>
    <w:rsid w:val="00083540"/>
    <w:rsid w:val="00084BF8"/>
    <w:rsid w:val="000851CE"/>
    <w:rsid w:val="000857A0"/>
    <w:rsid w:val="000860E5"/>
    <w:rsid w:val="00086CE6"/>
    <w:rsid w:val="00086DD2"/>
    <w:rsid w:val="00087055"/>
    <w:rsid w:val="00087A89"/>
    <w:rsid w:val="0009033A"/>
    <w:rsid w:val="00090ABE"/>
    <w:rsid w:val="00091510"/>
    <w:rsid w:val="00091D07"/>
    <w:rsid w:val="00093CBA"/>
    <w:rsid w:val="00093E16"/>
    <w:rsid w:val="00094DC7"/>
    <w:rsid w:val="00096C47"/>
    <w:rsid w:val="000970A9"/>
    <w:rsid w:val="0009726C"/>
    <w:rsid w:val="000975E0"/>
    <w:rsid w:val="000A02E0"/>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90F"/>
    <w:rsid w:val="000E6DF7"/>
    <w:rsid w:val="000E77BF"/>
    <w:rsid w:val="000E7C33"/>
    <w:rsid w:val="000E7F9B"/>
    <w:rsid w:val="000F00D9"/>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3782F"/>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452"/>
    <w:rsid w:val="00230BCF"/>
    <w:rsid w:val="0023129F"/>
    <w:rsid w:val="00231C91"/>
    <w:rsid w:val="00232305"/>
    <w:rsid w:val="00233242"/>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6644"/>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24A5"/>
    <w:rsid w:val="003A2DEE"/>
    <w:rsid w:val="003A31E7"/>
    <w:rsid w:val="003A329C"/>
    <w:rsid w:val="003A5885"/>
    <w:rsid w:val="003A6413"/>
    <w:rsid w:val="003A67E8"/>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FBD"/>
    <w:rsid w:val="00447D98"/>
    <w:rsid w:val="004509EB"/>
    <w:rsid w:val="00451259"/>
    <w:rsid w:val="00451D5D"/>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2F11"/>
    <w:rsid w:val="004845A4"/>
    <w:rsid w:val="00485AFA"/>
    <w:rsid w:val="0048603E"/>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C06DE"/>
    <w:rsid w:val="004C0809"/>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8F7"/>
    <w:rsid w:val="005B4F92"/>
    <w:rsid w:val="005B6E03"/>
    <w:rsid w:val="005C245E"/>
    <w:rsid w:val="005C36E7"/>
    <w:rsid w:val="005C426F"/>
    <w:rsid w:val="005C4360"/>
    <w:rsid w:val="005D07A1"/>
    <w:rsid w:val="005D0B28"/>
    <w:rsid w:val="005D1C73"/>
    <w:rsid w:val="005D1D68"/>
    <w:rsid w:val="005D257C"/>
    <w:rsid w:val="005D299B"/>
    <w:rsid w:val="005D2B90"/>
    <w:rsid w:val="005D331D"/>
    <w:rsid w:val="005D3750"/>
    <w:rsid w:val="005D3898"/>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3DC"/>
    <w:rsid w:val="00645835"/>
    <w:rsid w:val="00645A0E"/>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3A9"/>
    <w:rsid w:val="006C74F0"/>
    <w:rsid w:val="006D0AB3"/>
    <w:rsid w:val="006D0F2C"/>
    <w:rsid w:val="006D1284"/>
    <w:rsid w:val="006D18B5"/>
    <w:rsid w:val="006D2216"/>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2066"/>
    <w:rsid w:val="0072226A"/>
    <w:rsid w:val="00722EB7"/>
    <w:rsid w:val="0072302E"/>
    <w:rsid w:val="00724025"/>
    <w:rsid w:val="00724351"/>
    <w:rsid w:val="00724452"/>
    <w:rsid w:val="00725D4F"/>
    <w:rsid w:val="0072792C"/>
    <w:rsid w:val="0073084D"/>
    <w:rsid w:val="00730D72"/>
    <w:rsid w:val="00731365"/>
    <w:rsid w:val="007328B8"/>
    <w:rsid w:val="0073301E"/>
    <w:rsid w:val="007336D4"/>
    <w:rsid w:val="007343B7"/>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61935"/>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6E2"/>
    <w:rsid w:val="00984545"/>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646"/>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21BC"/>
    <w:rsid w:val="00AC221E"/>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ECB"/>
    <w:rsid w:val="00AE72C5"/>
    <w:rsid w:val="00AE7482"/>
    <w:rsid w:val="00AE7A3F"/>
    <w:rsid w:val="00AF040C"/>
    <w:rsid w:val="00AF0D66"/>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1E55"/>
    <w:rsid w:val="00B22A42"/>
    <w:rsid w:val="00B23900"/>
    <w:rsid w:val="00B241E7"/>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6E60"/>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100"/>
    <w:rsid w:val="00CC55D1"/>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923"/>
    <w:rsid w:val="00E732DB"/>
    <w:rsid w:val="00E73E6C"/>
    <w:rsid w:val="00E74B34"/>
    <w:rsid w:val="00E74F4D"/>
    <w:rsid w:val="00E762F8"/>
    <w:rsid w:val="00E76692"/>
    <w:rsid w:val="00E81C62"/>
    <w:rsid w:val="00E83EC0"/>
    <w:rsid w:val="00E84781"/>
    <w:rsid w:val="00E84B02"/>
    <w:rsid w:val="00E901FE"/>
    <w:rsid w:val="00E9188F"/>
    <w:rsid w:val="00E91AB9"/>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508"/>
    <w:rsid w:val="00EC2606"/>
    <w:rsid w:val="00EC2AD6"/>
    <w:rsid w:val="00EC2E6D"/>
    <w:rsid w:val="00EC31C8"/>
    <w:rsid w:val="00EC43CA"/>
    <w:rsid w:val="00EC4B58"/>
    <w:rsid w:val="00EC5556"/>
    <w:rsid w:val="00ED0833"/>
    <w:rsid w:val="00ED1877"/>
    <w:rsid w:val="00ED3261"/>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517"/>
    <w:rsid w:val="00F219A9"/>
    <w:rsid w:val="00F22008"/>
    <w:rsid w:val="00F221E8"/>
    <w:rsid w:val="00F23297"/>
    <w:rsid w:val="00F2678C"/>
    <w:rsid w:val="00F271F0"/>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24411E"/>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571234916">
      <w:bodyDiv w:val="1"/>
      <w:marLeft w:val="0"/>
      <w:marRight w:val="0"/>
      <w:marTop w:val="0"/>
      <w:marBottom w:val="0"/>
      <w:divBdr>
        <w:top w:val="none" w:sz="0" w:space="0" w:color="auto"/>
        <w:left w:val="none" w:sz="0" w:space="0" w:color="auto"/>
        <w:bottom w:val="none" w:sz="0" w:space="0" w:color="auto"/>
        <w:right w:val="none" w:sz="0" w:space="0" w:color="auto"/>
      </w:divBdr>
    </w:div>
    <w:div w:id="7157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9BC95D-4931-4307-8FB2-532126CA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2257</Words>
  <Characters>11287</Characters>
  <Application>Microsoft Office Word</Application>
  <DocSecurity>4</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לירון דהן</cp:lastModifiedBy>
  <cp:revision>2</cp:revision>
  <cp:lastPrinted>2020-01-09T11:09:00Z</cp:lastPrinted>
  <dcterms:created xsi:type="dcterms:W3CDTF">2024-10-09T12:23:00Z</dcterms:created>
  <dcterms:modified xsi:type="dcterms:W3CDTF">2024-10-09T12:23:00Z</dcterms:modified>
</cp:coreProperties>
</file>