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2C2859" w:rsidRPr="00895458" w:rsidTr="003427A7">
        <w:trPr>
          <w:cantSplit/>
        </w:trPr>
        <w:tc>
          <w:tcPr>
            <w:tcW w:w="3392" w:type="dxa"/>
            <w:tcBorders>
              <w:top w:val="nil"/>
              <w:left w:val="nil"/>
              <w:bottom w:val="nil"/>
              <w:right w:val="nil"/>
            </w:tcBorders>
            <w:vAlign w:val="center"/>
          </w:tcPr>
          <w:p w:rsidR="002C2859" w:rsidRPr="006702C1" w:rsidRDefault="002C2859" w:rsidP="003427A7">
            <w:pPr>
              <w:spacing w:line="360" w:lineRule="auto"/>
              <w:jc w:val="center"/>
              <w:rPr>
                <w:rFonts w:cs="David"/>
                <w:b/>
                <w:bCs/>
                <w:sz w:val="24"/>
                <w:szCs w:val="24"/>
              </w:rPr>
            </w:pPr>
            <w:bookmarkStart w:id="0" w:name="_GoBack"/>
            <w:bookmarkEnd w:id="0"/>
            <w:r w:rsidRPr="006702C1">
              <w:rPr>
                <w:rFonts w:cs="David"/>
                <w:b/>
                <w:bCs/>
                <w:sz w:val="24"/>
                <w:szCs w:val="24"/>
                <w:rtl/>
              </w:rPr>
              <w:t>בנק ישראל</w:t>
            </w:r>
          </w:p>
          <w:p w:rsidR="002C2859" w:rsidRPr="006702C1" w:rsidRDefault="002C2859" w:rsidP="003427A7">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2C2859" w:rsidRPr="006702C1" w:rsidRDefault="002C2859" w:rsidP="003427A7">
            <w:pPr>
              <w:jc w:val="center"/>
              <w:rPr>
                <w:sz w:val="24"/>
                <w:szCs w:val="24"/>
              </w:rPr>
            </w:pPr>
            <w:r>
              <w:rPr>
                <w:noProof/>
              </w:rPr>
              <w:drawing>
                <wp:inline distT="0" distB="0" distL="0" distR="0" wp14:anchorId="461DA414" wp14:editId="7A2C6BC1">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2C2859" w:rsidRPr="007563E4" w:rsidRDefault="002C2859" w:rsidP="00A06185">
            <w:pPr>
              <w:spacing w:line="480" w:lineRule="auto"/>
              <w:jc w:val="right"/>
              <w:rPr>
                <w:rFonts w:cs="David"/>
                <w:sz w:val="24"/>
                <w:szCs w:val="24"/>
                <w:highlight w:val="yellow"/>
                <w:rtl/>
              </w:rPr>
            </w:pPr>
            <w:r w:rsidRPr="00895458">
              <w:rPr>
                <w:rFonts w:cs="David" w:hint="eastAsia"/>
                <w:sz w:val="24"/>
                <w:szCs w:val="24"/>
                <w:highlight w:val="yellow"/>
                <w:rtl/>
              </w:rPr>
              <w:t>‏</w:t>
            </w:r>
            <w:r w:rsidRPr="00D807E3">
              <w:rPr>
                <w:rFonts w:cs="David"/>
                <w:sz w:val="24"/>
                <w:szCs w:val="24"/>
                <w:rtl/>
              </w:rPr>
              <w:t xml:space="preserve">ירושלים, </w:t>
            </w:r>
            <w:r w:rsidR="0060399F">
              <w:rPr>
                <w:rFonts w:cs="David" w:hint="eastAsia"/>
                <w:sz w:val="24"/>
                <w:szCs w:val="24"/>
                <w:rtl/>
              </w:rPr>
              <w:t>‏</w:t>
            </w:r>
            <w:r w:rsidR="00A06185">
              <w:rPr>
                <w:rFonts w:cs="David" w:hint="eastAsia"/>
                <w:sz w:val="24"/>
                <w:szCs w:val="24"/>
                <w:rtl/>
              </w:rPr>
              <w:t>י</w:t>
            </w:r>
            <w:r w:rsidR="00A06185">
              <w:rPr>
                <w:rFonts w:cs="David" w:hint="cs"/>
                <w:sz w:val="24"/>
                <w:szCs w:val="24"/>
                <w:rtl/>
              </w:rPr>
              <w:t xml:space="preserve">"ז </w:t>
            </w:r>
            <w:r w:rsidR="0060399F">
              <w:rPr>
                <w:rFonts w:cs="David"/>
                <w:sz w:val="24"/>
                <w:szCs w:val="24"/>
                <w:rtl/>
              </w:rPr>
              <w:t>אלול, תשפ"ב</w:t>
            </w:r>
          </w:p>
          <w:p w:rsidR="002C2859" w:rsidRPr="00895458" w:rsidRDefault="002C2859" w:rsidP="00A06185">
            <w:pPr>
              <w:spacing w:line="480" w:lineRule="auto"/>
              <w:jc w:val="right"/>
              <w:rPr>
                <w:rFonts w:cs="David"/>
                <w:sz w:val="24"/>
                <w:szCs w:val="24"/>
                <w:highlight w:val="yellow"/>
              </w:rPr>
            </w:pPr>
            <w:r w:rsidRPr="007563E4">
              <w:rPr>
                <w:rFonts w:cs="David" w:hint="eastAsia"/>
                <w:sz w:val="24"/>
                <w:szCs w:val="24"/>
                <w:highlight w:val="yellow"/>
                <w:rtl/>
              </w:rPr>
              <w:t>‏‏</w:t>
            </w:r>
            <w:r w:rsidRPr="007563E4">
              <w:rPr>
                <w:rFonts w:cs="David" w:hint="cs"/>
                <w:sz w:val="24"/>
                <w:szCs w:val="24"/>
                <w:highlight w:val="yellow"/>
                <w:rtl/>
              </w:rPr>
              <w:t>‏‏</w:t>
            </w:r>
            <w:r w:rsidRPr="007563E4">
              <w:rPr>
                <w:rFonts w:cs="David" w:hint="eastAsia"/>
                <w:sz w:val="24"/>
                <w:szCs w:val="24"/>
                <w:highlight w:val="yellow"/>
                <w:rtl/>
              </w:rPr>
              <w:t>‏</w:t>
            </w:r>
            <w:r w:rsidR="00A06185">
              <w:rPr>
                <w:rFonts w:cs="David" w:hint="cs"/>
                <w:sz w:val="24"/>
                <w:szCs w:val="24"/>
                <w:rtl/>
              </w:rPr>
              <w:t xml:space="preserve">13 </w:t>
            </w:r>
            <w:r w:rsidR="0060399F">
              <w:rPr>
                <w:rFonts w:cs="David" w:hint="cs"/>
                <w:sz w:val="24"/>
                <w:szCs w:val="24"/>
                <w:rtl/>
              </w:rPr>
              <w:t>בספטמבר</w:t>
            </w:r>
            <w:r w:rsidRPr="00E23C4C">
              <w:rPr>
                <w:rFonts w:cs="David"/>
                <w:sz w:val="24"/>
                <w:szCs w:val="24"/>
                <w:rtl/>
              </w:rPr>
              <w:t>, 202</w:t>
            </w:r>
            <w:r>
              <w:rPr>
                <w:rFonts w:cs="David" w:hint="cs"/>
                <w:sz w:val="24"/>
                <w:szCs w:val="24"/>
                <w:rtl/>
              </w:rPr>
              <w:t>2</w:t>
            </w:r>
          </w:p>
        </w:tc>
      </w:tr>
    </w:tbl>
    <w:p w:rsidR="002C2859" w:rsidRPr="004233FA" w:rsidRDefault="002C2859" w:rsidP="002C2859">
      <w:pPr>
        <w:spacing w:line="360" w:lineRule="auto"/>
        <w:rPr>
          <w:rFonts w:cs="David"/>
          <w:sz w:val="24"/>
          <w:szCs w:val="24"/>
          <w:rtl/>
        </w:rPr>
      </w:pPr>
    </w:p>
    <w:p w:rsidR="002C2859" w:rsidRDefault="002C2859" w:rsidP="002C2859">
      <w:pPr>
        <w:spacing w:line="360" w:lineRule="auto"/>
        <w:rPr>
          <w:rFonts w:cs="David"/>
          <w:sz w:val="24"/>
          <w:szCs w:val="24"/>
          <w:rtl/>
        </w:rPr>
      </w:pPr>
      <w:r w:rsidRPr="008259C0">
        <w:rPr>
          <w:rFonts w:cs="David" w:hint="cs"/>
          <w:sz w:val="24"/>
          <w:szCs w:val="24"/>
          <w:rtl/>
        </w:rPr>
        <w:t>הודעה לעיתונות:</w:t>
      </w:r>
    </w:p>
    <w:p w:rsidR="00B64CD4" w:rsidRPr="00B64CD4" w:rsidRDefault="00B64CD4" w:rsidP="00BD5681">
      <w:pPr>
        <w:jc w:val="center"/>
        <w:rPr>
          <w:rFonts w:ascii="David" w:hAnsi="David" w:cs="David"/>
          <w:b/>
          <w:bCs/>
          <w:sz w:val="28"/>
          <w:szCs w:val="28"/>
          <w:rtl/>
        </w:rPr>
      </w:pPr>
      <w:r w:rsidRPr="00B64CD4">
        <w:rPr>
          <w:rFonts w:ascii="David" w:hAnsi="David" w:cs="David"/>
          <w:b/>
          <w:bCs/>
          <w:sz w:val="28"/>
          <w:szCs w:val="28"/>
          <w:rtl/>
        </w:rPr>
        <w:t>הדיווח התקופתי אודות מחירי השירותים הבנקאיים הנפוצים למשקי הבית</w:t>
      </w:r>
      <w:r w:rsidR="00BD5681">
        <w:rPr>
          <w:rFonts w:ascii="David" w:hAnsi="David" w:cs="David" w:hint="cs"/>
          <w:b/>
          <w:bCs/>
          <w:sz w:val="28"/>
          <w:szCs w:val="28"/>
          <w:rtl/>
        </w:rPr>
        <w:t xml:space="preserve">, </w:t>
      </w:r>
      <w:r w:rsidRPr="00B64CD4">
        <w:rPr>
          <w:rFonts w:ascii="David" w:hAnsi="David" w:cs="David" w:hint="cs"/>
          <w:b/>
          <w:bCs/>
          <w:sz w:val="28"/>
          <w:szCs w:val="28"/>
          <w:rtl/>
        </w:rPr>
        <w:t>לשנת 2021</w:t>
      </w:r>
    </w:p>
    <w:p w:rsidR="00B64CD4" w:rsidRPr="002C2859" w:rsidRDefault="00B64CD4" w:rsidP="002C2859">
      <w:pPr>
        <w:jc w:val="center"/>
        <w:rPr>
          <w:rFonts w:ascii="David" w:hAnsi="David" w:cs="David"/>
          <w:b/>
          <w:bCs/>
          <w:sz w:val="32"/>
          <w:szCs w:val="32"/>
          <w:rtl/>
        </w:rPr>
      </w:pPr>
    </w:p>
    <w:p w:rsidR="0029628D" w:rsidRPr="0029628D" w:rsidRDefault="0029628D" w:rsidP="00BD5681">
      <w:pPr>
        <w:pStyle w:val="a6"/>
        <w:spacing w:line="360" w:lineRule="auto"/>
        <w:ind w:left="5"/>
        <w:rPr>
          <w:rFonts w:ascii="David" w:hAnsi="David" w:cs="David"/>
          <w:sz w:val="24"/>
          <w:szCs w:val="24"/>
        </w:rPr>
      </w:pPr>
      <w:r w:rsidRPr="0029628D">
        <w:rPr>
          <w:rFonts w:ascii="David" w:hAnsi="David" w:cs="David"/>
          <w:sz w:val="24"/>
          <w:szCs w:val="24"/>
          <w:rtl/>
        </w:rPr>
        <w:t xml:space="preserve">הפיקוח על הבנקים מגיש היום לוועדת הכלכלה של הכנסת את </w:t>
      </w:r>
      <w:r w:rsidR="00A06185">
        <w:rPr>
          <w:rFonts w:ascii="David" w:hAnsi="David" w:cs="David" w:hint="cs"/>
          <w:b/>
          <w:bCs/>
          <w:sz w:val="24"/>
          <w:szCs w:val="24"/>
          <w:rtl/>
        </w:rPr>
        <w:t>*</w:t>
      </w:r>
      <w:r w:rsidRPr="0029628D">
        <w:rPr>
          <w:rFonts w:ascii="David" w:hAnsi="David" w:cs="David"/>
          <w:b/>
          <w:bCs/>
          <w:sz w:val="24"/>
          <w:szCs w:val="24"/>
          <w:rtl/>
        </w:rPr>
        <w:t xml:space="preserve">הדיווח התקופתי </w:t>
      </w:r>
      <w:r w:rsidR="00BD5681">
        <w:rPr>
          <w:rFonts w:ascii="David" w:hAnsi="David" w:cs="David" w:hint="cs"/>
          <w:b/>
          <w:bCs/>
          <w:sz w:val="24"/>
          <w:szCs w:val="24"/>
          <w:rtl/>
        </w:rPr>
        <w:t xml:space="preserve">לשנת </w:t>
      </w:r>
      <w:r w:rsidRPr="0029628D">
        <w:rPr>
          <w:rFonts w:ascii="David" w:hAnsi="David" w:cs="David"/>
          <w:b/>
          <w:bCs/>
          <w:sz w:val="24"/>
          <w:szCs w:val="24"/>
          <w:rtl/>
        </w:rPr>
        <w:t>2021 אודות מחירי השירותים הבנקאיים הנפוצים למשקי הבית.</w:t>
      </w:r>
      <w:r w:rsidR="00A06185">
        <w:rPr>
          <w:rFonts w:ascii="David" w:hAnsi="David" w:cs="David" w:hint="cs"/>
          <w:b/>
          <w:bCs/>
          <w:sz w:val="24"/>
          <w:szCs w:val="24"/>
          <w:rtl/>
        </w:rPr>
        <w:t>*</w:t>
      </w:r>
      <w:r w:rsidRPr="0029628D">
        <w:rPr>
          <w:rFonts w:ascii="David" w:hAnsi="David" w:cs="David"/>
          <w:b/>
          <w:bCs/>
          <w:sz w:val="24"/>
          <w:szCs w:val="24"/>
          <w:rtl/>
        </w:rPr>
        <w:t xml:space="preserve"> </w:t>
      </w:r>
      <w:r w:rsidRPr="0029628D">
        <w:rPr>
          <w:rFonts w:ascii="David" w:hAnsi="David" w:cs="David"/>
          <w:sz w:val="24"/>
          <w:szCs w:val="24"/>
          <w:rtl/>
        </w:rPr>
        <w:t>הדוח מבוסס על דיווח התאגידים הבנקאיים וחברות כרטיסי האשראי על עמלות שנגבו במהלך שנת 2021.</w:t>
      </w:r>
    </w:p>
    <w:p w:rsidR="00296218" w:rsidRPr="00296218" w:rsidRDefault="00A06185" w:rsidP="000D6418">
      <w:pPr>
        <w:pStyle w:val="a7"/>
        <w:spacing w:line="360" w:lineRule="auto"/>
        <w:ind w:left="5"/>
        <w:rPr>
          <w:rFonts w:ascii="David" w:hAnsi="David" w:cs="David"/>
          <w:sz w:val="24"/>
          <w:szCs w:val="24"/>
          <w:rtl/>
        </w:rPr>
      </w:pPr>
      <w:r>
        <w:rPr>
          <w:rFonts w:ascii="David" w:hAnsi="David" w:cs="David" w:hint="cs"/>
          <w:b/>
          <w:bCs/>
          <w:sz w:val="24"/>
          <w:szCs w:val="24"/>
          <w:rtl/>
        </w:rPr>
        <w:t>*</w:t>
      </w:r>
      <w:r w:rsidR="0029628D" w:rsidRPr="0029628D">
        <w:rPr>
          <w:rFonts w:ascii="David" w:hAnsi="David" w:cs="David"/>
          <w:b/>
          <w:bCs/>
          <w:sz w:val="24"/>
          <w:szCs w:val="24"/>
          <w:rtl/>
        </w:rPr>
        <w:t>המפקח על הבנקים, מר יאיר אבידן:</w:t>
      </w:r>
      <w:r>
        <w:rPr>
          <w:rFonts w:ascii="David" w:hAnsi="David" w:cs="David" w:hint="cs"/>
          <w:b/>
          <w:bCs/>
          <w:sz w:val="24"/>
          <w:szCs w:val="24"/>
          <w:rtl/>
        </w:rPr>
        <w:t>*</w:t>
      </w:r>
      <w:r w:rsidR="0029628D" w:rsidRPr="0029628D">
        <w:rPr>
          <w:rFonts w:ascii="David" w:hAnsi="David" w:cs="David"/>
          <w:b/>
          <w:bCs/>
          <w:sz w:val="24"/>
          <w:szCs w:val="24"/>
          <w:rtl/>
        </w:rPr>
        <w:t xml:space="preserve"> </w:t>
      </w:r>
      <w:r w:rsidR="0029628D" w:rsidRPr="0029628D">
        <w:rPr>
          <w:rFonts w:ascii="David" w:hAnsi="David" w:cs="David"/>
          <w:sz w:val="24"/>
          <w:szCs w:val="24"/>
          <w:rtl/>
        </w:rPr>
        <w:t>"</w:t>
      </w:r>
      <w:r w:rsidR="000D6418">
        <w:rPr>
          <w:rFonts w:ascii="David" w:hAnsi="David" w:cs="David" w:hint="cs"/>
          <w:sz w:val="24"/>
          <w:szCs w:val="24"/>
          <w:rtl/>
        </w:rPr>
        <w:t xml:space="preserve">אגב הדיווח לוועדה, </w:t>
      </w:r>
      <w:r w:rsidR="00296218" w:rsidRPr="00296218">
        <w:rPr>
          <w:rFonts w:ascii="David" w:hAnsi="David" w:cs="David"/>
          <w:sz w:val="24"/>
          <w:szCs w:val="24"/>
          <w:rtl/>
        </w:rPr>
        <w:t xml:space="preserve">ברצוני לעדכן כי בימים אלו הוכנסו לפיקוח מספר שירותי עו"ש בסיסיים, במטרה  לאפשר לציבור לצרוך שירותים בנקאיים חיוניים ובסיסיים אלו, הן בסניפי הבנקים והן בערוצים הדיגיטליים השונים, במחיר הוגן. </w:t>
      </w:r>
    </w:p>
    <w:p w:rsidR="00296218" w:rsidRPr="00296218" w:rsidRDefault="00296218" w:rsidP="00296218">
      <w:pPr>
        <w:pStyle w:val="a7"/>
        <w:spacing w:line="360" w:lineRule="auto"/>
        <w:ind w:left="5"/>
        <w:rPr>
          <w:rFonts w:ascii="David" w:hAnsi="David" w:cs="David"/>
          <w:sz w:val="24"/>
          <w:szCs w:val="24"/>
          <w:rtl/>
        </w:rPr>
      </w:pPr>
      <w:r w:rsidRPr="00296218">
        <w:rPr>
          <w:rFonts w:ascii="David" w:hAnsi="David" w:cs="David"/>
          <w:sz w:val="24"/>
          <w:szCs w:val="24"/>
          <w:rtl/>
        </w:rPr>
        <w:t>כבר היום שירות "מסלול בסיסי" הינו שירות מפוקח שמאפשר קבלת חבילת שירותים בסיסיים במחיר מוזל של עד 10 ₪. כעת החלטנו להכניס לפיקוח 4 שירותי חשבון עובר ושב נוספים: "פעולה על ידי פקיד", "פעולה בערוץ ישיר", "מסלול מורחב" ו"מסלול מורחב פלוס". משמעות הטלת הפיקוח היא קיבוע של רמת המחירים הקיימת והיא נועדה להבטיח שמחירי שירותים אלו לא יעלו.</w:t>
      </w:r>
    </w:p>
    <w:p w:rsidR="00296218" w:rsidRPr="00296218" w:rsidRDefault="00296218" w:rsidP="00296218">
      <w:pPr>
        <w:pStyle w:val="a7"/>
        <w:spacing w:line="360" w:lineRule="auto"/>
        <w:ind w:left="5"/>
        <w:rPr>
          <w:rFonts w:ascii="David" w:hAnsi="David" w:cs="David"/>
          <w:sz w:val="24"/>
          <w:szCs w:val="24"/>
          <w:rtl/>
        </w:rPr>
      </w:pPr>
      <w:r w:rsidRPr="00296218">
        <w:rPr>
          <w:rFonts w:ascii="David" w:hAnsi="David" w:cs="David"/>
          <w:sz w:val="24"/>
          <w:szCs w:val="24"/>
          <w:rtl/>
        </w:rPr>
        <w:t>צעד זה הינו נדבך נוסף בראייה הכוללת של הפיקוח אשר שמה דגש על הצבת הלקוח במרכז ועל העברת הכוח ללקוח. במסגרת זו אני שב וקורא לציבור לעשות שימוש בערוצים ישירים ובאמצעים דיגיטליים שהם זולים יותר מביצוע פעולות באמצעות פקיד, ולבחון את כדאיות שירות המסלולים עבורם, ובכך לחסוך בעלויות.</w:t>
      </w:r>
    </w:p>
    <w:p w:rsidR="0029628D" w:rsidRPr="0029628D" w:rsidRDefault="00296218" w:rsidP="00296218">
      <w:pPr>
        <w:pStyle w:val="a7"/>
        <w:spacing w:line="360" w:lineRule="auto"/>
        <w:ind w:left="5"/>
        <w:rPr>
          <w:rFonts w:ascii="David" w:hAnsi="David" w:cs="David"/>
          <w:sz w:val="24"/>
          <w:szCs w:val="24"/>
          <w:rtl/>
        </w:rPr>
      </w:pPr>
      <w:r w:rsidRPr="00296218">
        <w:rPr>
          <w:rFonts w:ascii="David" w:hAnsi="David" w:cs="David"/>
          <w:sz w:val="24"/>
          <w:szCs w:val="24"/>
          <w:rtl/>
        </w:rPr>
        <w:t xml:space="preserve">כמו כן, בימים אלה בהם אנו חווים עליה ביוקר המחייה במגוון רחב של שירותים ומוצרים. אני קורא למערכת הבנקאית לנקוט ביתר רגישות, בפרט בעיסוק בנושאים צרכניים שהינם בלב הרגישות הציבורית, כדוגמת מחירי השירותים הבנקאיים ולהתאים את גובה העמלות לערך שהלקוח מפיק מהשירות הניתן לו, בגינן הן נגבות. על המערכת הבנקאית להמשיך ולדאוג במגוון דרכים לאוכלוסיות שעלולות לגלות קשיים בתפעול האמצעים הישירים, כדי לשמור על רמת שירות גבוהה גם עבורן. במטרה לסייע בצרכנות נבונה מצד לקוחותיה, המערכת הבנקאית נדרשת להמשיך בתהליך פישוט השירותים והמוצרים </w:t>
      </w:r>
      <w:proofErr w:type="spellStart"/>
      <w:r w:rsidRPr="00296218">
        <w:rPr>
          <w:rFonts w:ascii="David" w:hAnsi="David" w:cs="David"/>
          <w:sz w:val="24"/>
          <w:szCs w:val="24"/>
          <w:rtl/>
        </w:rPr>
        <w:t>והנגשתם</w:t>
      </w:r>
      <w:proofErr w:type="spellEnd"/>
      <w:r w:rsidRPr="00296218">
        <w:rPr>
          <w:rFonts w:ascii="David" w:hAnsi="David" w:cs="David"/>
          <w:sz w:val="24"/>
          <w:szCs w:val="24"/>
          <w:rtl/>
        </w:rPr>
        <w:t>, לצד מתן יכולת נאותה להשוואת מאפייני ומחירי המוצרים והשירותים השונים.</w:t>
      </w:r>
      <w:r w:rsidR="0029628D" w:rsidRPr="0029628D">
        <w:rPr>
          <w:rFonts w:ascii="David" w:hAnsi="David" w:cs="David"/>
          <w:sz w:val="24"/>
          <w:szCs w:val="24"/>
          <w:rtl/>
        </w:rPr>
        <w:t>"</w:t>
      </w:r>
    </w:p>
    <w:p w:rsidR="0029628D" w:rsidRDefault="0029628D" w:rsidP="0029628D">
      <w:pPr>
        <w:pStyle w:val="a6"/>
        <w:spacing w:line="360" w:lineRule="auto"/>
        <w:ind w:left="5"/>
        <w:rPr>
          <w:rStyle w:val="a8"/>
          <w:rFonts w:ascii="David" w:hAnsi="David" w:cs="David"/>
          <w:sz w:val="24"/>
          <w:szCs w:val="24"/>
          <w:rtl/>
        </w:rPr>
      </w:pPr>
      <w:r w:rsidRPr="0029628D">
        <w:rPr>
          <w:rStyle w:val="a8"/>
          <w:rFonts w:ascii="David" w:hAnsi="David" w:cs="David"/>
          <w:sz w:val="24"/>
          <w:szCs w:val="24"/>
          <w:rtl/>
        </w:rPr>
        <w:t>להלן עיקרי הדוח:</w:t>
      </w:r>
    </w:p>
    <w:p w:rsidR="00296218" w:rsidRPr="00296218" w:rsidRDefault="00296218" w:rsidP="00296218">
      <w:pPr>
        <w:numPr>
          <w:ilvl w:val="0"/>
          <w:numId w:val="1"/>
        </w:numPr>
        <w:tabs>
          <w:tab w:val="left" w:pos="374"/>
        </w:tabs>
        <w:spacing w:after="0" w:line="360" w:lineRule="auto"/>
        <w:ind w:left="271" w:hanging="266"/>
        <w:jc w:val="both"/>
        <w:rPr>
          <w:rFonts w:ascii="David" w:hAnsi="David" w:cs="David"/>
          <w:sz w:val="24"/>
          <w:szCs w:val="24"/>
        </w:rPr>
      </w:pPr>
      <w:r w:rsidRPr="00296218">
        <w:rPr>
          <w:rFonts w:ascii="David" w:hAnsi="David" w:cs="David"/>
          <w:sz w:val="24"/>
          <w:szCs w:val="24"/>
          <w:rtl/>
        </w:rPr>
        <w:t xml:space="preserve">בשנת 2021 נמשכה מגמת הירידה ביחס סך ההכנסות מעמלות לנכסי המערכת הבנקאית. מגמת ירידה זו החלה לאחר הרפורמה בשנת 2008, ועד היום נרשמה ירידה בשיעור מצטבר של כ-47%. ירידה זו מיוחסת, בין היתר, למכלול המצטבר של פעולות הפיקוח בנושאי עמלות בשנים </w:t>
      </w:r>
      <w:r w:rsidRPr="00296218">
        <w:rPr>
          <w:rFonts w:ascii="David" w:hAnsi="David" w:cs="David"/>
          <w:sz w:val="24"/>
          <w:szCs w:val="24"/>
          <w:rtl/>
        </w:rPr>
        <w:lastRenderedPageBreak/>
        <w:t>האחרונות.</w:t>
      </w:r>
      <w:r w:rsidRPr="00296218" w:rsidDel="002C4CD8">
        <w:rPr>
          <w:rFonts w:ascii="David" w:hAnsi="David" w:cs="David"/>
          <w:sz w:val="24"/>
          <w:szCs w:val="24"/>
          <w:rtl/>
        </w:rPr>
        <w:t xml:space="preserve"> </w:t>
      </w:r>
      <w:r w:rsidRPr="00296218">
        <w:rPr>
          <w:rFonts w:ascii="David" w:hAnsi="David" w:cs="David"/>
          <w:sz w:val="24"/>
          <w:szCs w:val="24"/>
          <w:rtl/>
        </w:rPr>
        <w:t xml:space="preserve">הירידה בשנת 2021 ממשיכה מגמה זו, אך גם מושפעת במידה רבה ממשבר נגיף הקורונה אשר המשיך לתת את אותותיו בפעילות המשק ומשקי הבית במחצית השנה הראשונה. </w:t>
      </w:r>
    </w:p>
    <w:p w:rsidR="00296218" w:rsidRPr="00296218" w:rsidRDefault="00296218" w:rsidP="00296218">
      <w:pPr>
        <w:pStyle w:val="a7"/>
        <w:numPr>
          <w:ilvl w:val="0"/>
          <w:numId w:val="2"/>
        </w:numPr>
        <w:tabs>
          <w:tab w:val="left" w:pos="374"/>
          <w:tab w:val="left" w:pos="567"/>
          <w:tab w:val="left" w:pos="1134"/>
          <w:tab w:val="left" w:pos="1814"/>
          <w:tab w:val="left" w:pos="2665"/>
        </w:tabs>
        <w:spacing w:before="0" w:after="0" w:line="360" w:lineRule="auto"/>
        <w:ind w:left="271" w:hanging="266"/>
        <w:rPr>
          <w:rFonts w:ascii="David" w:hAnsi="David" w:cs="David"/>
          <w:sz w:val="24"/>
          <w:szCs w:val="24"/>
        </w:rPr>
      </w:pPr>
      <w:r w:rsidRPr="00296218">
        <w:rPr>
          <w:rFonts w:ascii="David" w:hAnsi="David" w:cs="David"/>
          <w:sz w:val="24"/>
          <w:szCs w:val="24"/>
          <w:rtl/>
        </w:rPr>
        <w:t xml:space="preserve">העלות הממוצעת של ניהול העו"ש והחזקת כרטיסי חיוב לחשבון בשנת 2021 מורכבת מ: </w:t>
      </w:r>
    </w:p>
    <w:p w:rsidR="004D56C9" w:rsidRDefault="00296218" w:rsidP="00296218">
      <w:pPr>
        <w:numPr>
          <w:ilvl w:val="0"/>
          <w:numId w:val="3"/>
        </w:numPr>
        <w:spacing w:after="0" w:line="360" w:lineRule="auto"/>
        <w:ind w:left="579" w:hanging="308"/>
        <w:jc w:val="both"/>
        <w:rPr>
          <w:rFonts w:ascii="David" w:hAnsi="David" w:cs="David"/>
          <w:sz w:val="24"/>
          <w:szCs w:val="24"/>
        </w:rPr>
      </w:pPr>
      <w:r w:rsidRPr="00296218">
        <w:rPr>
          <w:rFonts w:ascii="David" w:hAnsi="David" w:cs="David"/>
          <w:sz w:val="24"/>
          <w:szCs w:val="24"/>
          <w:rtl/>
        </w:rPr>
        <w:t xml:space="preserve">עלות ניהול העו"ש - הסתכמה ב-10.8 ₪, ירידה של כ-4.7% בהשוואה ל-2020 הנובעת בעיקר מירידה של כ-17% בכמות פעולות של החזרת חיוב מסיבת "אין כיסוי מספיק" (בשל החזרת שיק, הוראת קבע או הרשאה לחיוב חשבון). </w:t>
      </w:r>
    </w:p>
    <w:p w:rsidR="00296218" w:rsidRPr="00296218" w:rsidRDefault="00296218" w:rsidP="00296218">
      <w:pPr>
        <w:numPr>
          <w:ilvl w:val="0"/>
          <w:numId w:val="3"/>
        </w:numPr>
        <w:spacing w:after="0" w:line="360" w:lineRule="auto"/>
        <w:ind w:left="579" w:hanging="308"/>
        <w:jc w:val="both"/>
        <w:rPr>
          <w:rFonts w:ascii="David" w:hAnsi="David" w:cs="David"/>
          <w:sz w:val="24"/>
          <w:szCs w:val="24"/>
        </w:rPr>
      </w:pPr>
      <w:r w:rsidRPr="00296218">
        <w:rPr>
          <w:rFonts w:ascii="David" w:hAnsi="David" w:cs="David"/>
          <w:sz w:val="24"/>
          <w:szCs w:val="24"/>
          <w:rtl/>
        </w:rPr>
        <w:t xml:space="preserve">כמו כן, המשיכה מגמת המעבר לביצוע פעולות </w:t>
      </w:r>
      <w:proofErr w:type="spellStart"/>
      <w:r w:rsidRPr="00296218">
        <w:rPr>
          <w:rFonts w:ascii="David" w:hAnsi="David" w:cs="David"/>
          <w:sz w:val="24"/>
          <w:szCs w:val="24"/>
          <w:rtl/>
        </w:rPr>
        <w:t>בדיגיטל</w:t>
      </w:r>
      <w:proofErr w:type="spellEnd"/>
      <w:r w:rsidRPr="00296218">
        <w:rPr>
          <w:rFonts w:ascii="David" w:hAnsi="David" w:cs="David"/>
          <w:sz w:val="24"/>
          <w:szCs w:val="24"/>
          <w:rtl/>
        </w:rPr>
        <w:t>, שתורמת גם היא להוזלת העלות. בעשור האחרון ירדה עלות ניהול העו"ש מ-20.4 ₪  ל-10.8 ₪, שינוי המשקף ירידה בשיעור של 47% אחוזים.</w:t>
      </w:r>
    </w:p>
    <w:p w:rsidR="00296218" w:rsidRPr="00296218" w:rsidRDefault="00296218" w:rsidP="00296218">
      <w:pPr>
        <w:pStyle w:val="a7"/>
        <w:numPr>
          <w:ilvl w:val="0"/>
          <w:numId w:val="3"/>
        </w:numPr>
        <w:spacing w:before="0" w:after="0" w:line="360" w:lineRule="auto"/>
        <w:ind w:left="579" w:hanging="308"/>
        <w:rPr>
          <w:rFonts w:ascii="David" w:hAnsi="David" w:cs="David"/>
          <w:sz w:val="24"/>
          <w:szCs w:val="24"/>
        </w:rPr>
      </w:pPr>
      <w:r w:rsidRPr="00296218">
        <w:rPr>
          <w:rFonts w:ascii="David" w:hAnsi="David" w:cs="David"/>
          <w:sz w:val="24"/>
          <w:szCs w:val="24"/>
          <w:rtl/>
        </w:rPr>
        <w:t>עלות כרטיסי חיוב - הסתכמה ב-13.8 ₪, עלייה</w:t>
      </w:r>
      <w:r w:rsidRPr="00296218">
        <w:rPr>
          <w:rFonts w:ascii="David" w:hAnsi="David" w:cs="David"/>
          <w:b/>
          <w:bCs/>
          <w:sz w:val="24"/>
          <w:szCs w:val="24"/>
          <w:rtl/>
        </w:rPr>
        <w:t xml:space="preserve"> </w:t>
      </w:r>
      <w:r w:rsidRPr="00296218">
        <w:rPr>
          <w:rFonts w:ascii="David" w:hAnsi="David" w:cs="David"/>
          <w:sz w:val="24"/>
          <w:szCs w:val="24"/>
          <w:rtl/>
        </w:rPr>
        <w:t>של</w:t>
      </w:r>
      <w:r w:rsidRPr="00296218">
        <w:rPr>
          <w:rFonts w:ascii="David" w:hAnsi="David" w:cs="David"/>
          <w:b/>
          <w:bCs/>
          <w:sz w:val="24"/>
          <w:szCs w:val="24"/>
          <w:rtl/>
        </w:rPr>
        <w:t xml:space="preserve"> </w:t>
      </w:r>
      <w:r w:rsidRPr="00296218">
        <w:rPr>
          <w:rFonts w:ascii="David" w:hAnsi="David" w:cs="David"/>
          <w:sz w:val="24"/>
          <w:szCs w:val="24"/>
          <w:rtl/>
        </w:rPr>
        <w:t>כ-7.7% בהשוואה ל-2020. העלייה נבעה בעיקר מגידול בהכנסות מעמלות עסקאות ומשיכות במט"ח, זאת עקב חזרת המשק לשגרה מסוימת בהשוואה לתקופה המקבילה אשתקד שבה פרץ משבר הקורונה.</w:t>
      </w:r>
    </w:p>
    <w:p w:rsidR="004D56C9" w:rsidRDefault="004D56C9" w:rsidP="00296218">
      <w:pPr>
        <w:spacing w:after="0" w:line="360" w:lineRule="auto"/>
        <w:ind w:left="299"/>
        <w:rPr>
          <w:rFonts w:ascii="David" w:hAnsi="David" w:cs="David"/>
          <w:sz w:val="24"/>
          <w:szCs w:val="24"/>
          <w:rtl/>
        </w:rPr>
      </w:pPr>
    </w:p>
    <w:p w:rsidR="00296218" w:rsidRPr="00296218" w:rsidRDefault="00296218" w:rsidP="00296218">
      <w:pPr>
        <w:spacing w:after="0" w:line="360" w:lineRule="auto"/>
        <w:ind w:left="299"/>
        <w:rPr>
          <w:rFonts w:ascii="David" w:hAnsi="David" w:cs="David"/>
          <w:sz w:val="24"/>
          <w:szCs w:val="24"/>
        </w:rPr>
      </w:pPr>
      <w:r w:rsidRPr="00296218">
        <w:rPr>
          <w:rFonts w:ascii="David" w:hAnsi="David" w:cs="David"/>
          <w:sz w:val="24"/>
          <w:szCs w:val="24"/>
          <w:rtl/>
        </w:rPr>
        <w:t xml:space="preserve">בסך הכל עלתה העלות הממוצעת של ניהול העו"ש והחזקת כרטיסי חיוב לחשבון בשיעור של כ-1.9% ביחס לעלות הממוצעת בשנת 2020 והיא עומדת כעת על 24.6 ₪ לחודש. עלות זו ירדה בכ-8.6% ביחס לעלות ב-2019, לפני פרוץ משבר נגיף הקורונה, עת עמדה על 26.9 ₪. </w:t>
      </w:r>
    </w:p>
    <w:p w:rsidR="00296218" w:rsidRPr="00296218" w:rsidRDefault="00296218" w:rsidP="0029628D">
      <w:pPr>
        <w:pStyle w:val="a6"/>
        <w:spacing w:line="360" w:lineRule="auto"/>
        <w:ind w:left="5"/>
        <w:rPr>
          <w:rStyle w:val="a8"/>
          <w:rFonts w:ascii="David" w:hAnsi="David" w:cs="David"/>
          <w:sz w:val="24"/>
          <w:szCs w:val="24"/>
          <w:rtl/>
        </w:rPr>
      </w:pPr>
    </w:p>
    <w:sectPr w:rsidR="00296218" w:rsidRPr="00296218" w:rsidSect="00B051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7B" w:rsidRDefault="0046347B" w:rsidP="00E32548">
      <w:pPr>
        <w:spacing w:after="0" w:line="240" w:lineRule="auto"/>
      </w:pPr>
      <w:r>
        <w:separator/>
      </w:r>
    </w:p>
  </w:endnote>
  <w:endnote w:type="continuationSeparator" w:id="0">
    <w:p w:rsidR="0046347B" w:rsidRDefault="0046347B" w:rsidP="00E3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sistant Light">
    <w:altName w:val="Courier New"/>
    <w:charset w:val="00"/>
    <w:family w:val="auto"/>
    <w:pitch w:val="variable"/>
    <w:sig w:usb0="00000000" w:usb1="40000000" w:usb2="00000000" w:usb3="00000000" w:csb0="0000002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48" w:rsidRDefault="00E3254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48" w:rsidRDefault="00E32548">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48" w:rsidRDefault="00E325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7B" w:rsidRDefault="0046347B" w:rsidP="00E32548">
      <w:pPr>
        <w:spacing w:after="0" w:line="240" w:lineRule="auto"/>
      </w:pPr>
      <w:r>
        <w:separator/>
      </w:r>
    </w:p>
  </w:footnote>
  <w:footnote w:type="continuationSeparator" w:id="0">
    <w:p w:rsidR="0046347B" w:rsidRDefault="0046347B" w:rsidP="00E3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48" w:rsidRDefault="00E3254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48" w:rsidRDefault="00E32548">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48" w:rsidRDefault="00E3254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434"/>
    <w:multiLevelType w:val="hybridMultilevel"/>
    <w:tmpl w:val="5D4CAA7A"/>
    <w:lvl w:ilvl="0" w:tplc="AD74C2A8">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D0E6509"/>
    <w:multiLevelType w:val="hybridMultilevel"/>
    <w:tmpl w:val="6288839A"/>
    <w:lvl w:ilvl="0" w:tplc="1E785CA4">
      <w:start w:val="3"/>
      <w:numFmt w:val="bullet"/>
      <w:lvlText w:val="-"/>
      <w:lvlJc w:val="left"/>
      <w:pPr>
        <w:ind w:left="3600" w:hanging="360"/>
      </w:pPr>
      <w:rPr>
        <w:rFonts w:ascii="Assistant Light" w:eastAsia="Calibri" w:hAnsi="Assistant Light" w:cs="Assistant Light"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59"/>
    <w:rsid w:val="000D6418"/>
    <w:rsid w:val="001619C0"/>
    <w:rsid w:val="00193AAE"/>
    <w:rsid w:val="001E5709"/>
    <w:rsid w:val="002017EA"/>
    <w:rsid w:val="00296218"/>
    <w:rsid w:val="0029628D"/>
    <w:rsid w:val="002C2859"/>
    <w:rsid w:val="002E3C74"/>
    <w:rsid w:val="003330D6"/>
    <w:rsid w:val="00343B21"/>
    <w:rsid w:val="0046347B"/>
    <w:rsid w:val="004B603F"/>
    <w:rsid w:val="004D56C9"/>
    <w:rsid w:val="005665D2"/>
    <w:rsid w:val="0060399F"/>
    <w:rsid w:val="00720798"/>
    <w:rsid w:val="007B4FC9"/>
    <w:rsid w:val="007B6392"/>
    <w:rsid w:val="008205F6"/>
    <w:rsid w:val="008758BC"/>
    <w:rsid w:val="008C0A8A"/>
    <w:rsid w:val="00A06185"/>
    <w:rsid w:val="00A06B31"/>
    <w:rsid w:val="00A2559A"/>
    <w:rsid w:val="00AB6A68"/>
    <w:rsid w:val="00AF7186"/>
    <w:rsid w:val="00B051F9"/>
    <w:rsid w:val="00B64CD4"/>
    <w:rsid w:val="00BD5681"/>
    <w:rsid w:val="00C4295A"/>
    <w:rsid w:val="00CB789A"/>
    <w:rsid w:val="00DB0D9D"/>
    <w:rsid w:val="00E32548"/>
    <w:rsid w:val="00E608BE"/>
    <w:rsid w:val="00FF5F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8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709"/>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E5709"/>
    <w:rPr>
      <w:rFonts w:ascii="Tahoma" w:hAnsi="Tahoma" w:cs="Tahoma"/>
      <w:sz w:val="18"/>
      <w:szCs w:val="18"/>
    </w:rPr>
  </w:style>
  <w:style w:type="character" w:customStyle="1" w:styleId="a5">
    <w:name w:val="ללא מרווח תו"/>
    <w:basedOn w:val="a0"/>
    <w:link w:val="a6"/>
    <w:uiPriority w:val="1"/>
    <w:locked/>
    <w:rsid w:val="00B64CD4"/>
    <w:rPr>
      <w:rFonts w:ascii="Assistant Light" w:hAnsi="Assistant Light" w:cs="Assistant Light"/>
    </w:rPr>
  </w:style>
  <w:style w:type="paragraph" w:styleId="a6">
    <w:name w:val="No Spacing"/>
    <w:basedOn w:val="a"/>
    <w:link w:val="a5"/>
    <w:uiPriority w:val="1"/>
    <w:qFormat/>
    <w:rsid w:val="00B64CD4"/>
    <w:pPr>
      <w:spacing w:after="0" w:line="240" w:lineRule="auto"/>
      <w:jc w:val="both"/>
    </w:pPr>
    <w:rPr>
      <w:rFonts w:ascii="Assistant Light" w:hAnsi="Assistant Light" w:cs="Assistant Light"/>
    </w:rPr>
  </w:style>
  <w:style w:type="paragraph" w:styleId="a7">
    <w:name w:val="List Paragraph"/>
    <w:basedOn w:val="a"/>
    <w:uiPriority w:val="34"/>
    <w:qFormat/>
    <w:rsid w:val="00B64CD4"/>
    <w:pPr>
      <w:spacing w:before="240" w:after="400" w:line="252" w:lineRule="auto"/>
      <w:ind w:left="720"/>
      <w:contextualSpacing/>
      <w:jc w:val="both"/>
    </w:pPr>
    <w:rPr>
      <w:rFonts w:ascii="Calibri" w:hAnsi="Calibri" w:cs="Calibri"/>
    </w:rPr>
  </w:style>
  <w:style w:type="character" w:styleId="a8">
    <w:name w:val="Intense Emphasis"/>
    <w:basedOn w:val="a0"/>
    <w:uiPriority w:val="21"/>
    <w:qFormat/>
    <w:rsid w:val="00B64CD4"/>
  </w:style>
  <w:style w:type="paragraph" w:styleId="a9">
    <w:name w:val="header"/>
    <w:basedOn w:val="a"/>
    <w:link w:val="aa"/>
    <w:uiPriority w:val="99"/>
    <w:unhideWhenUsed/>
    <w:rsid w:val="00E32548"/>
    <w:pPr>
      <w:tabs>
        <w:tab w:val="center" w:pos="4153"/>
        <w:tab w:val="right" w:pos="8306"/>
      </w:tabs>
      <w:spacing w:after="0" w:line="240" w:lineRule="auto"/>
    </w:pPr>
  </w:style>
  <w:style w:type="character" w:customStyle="1" w:styleId="aa">
    <w:name w:val="כותרת עליונה תו"/>
    <w:basedOn w:val="a0"/>
    <w:link w:val="a9"/>
    <w:uiPriority w:val="99"/>
    <w:rsid w:val="00E32548"/>
  </w:style>
  <w:style w:type="paragraph" w:styleId="ab">
    <w:name w:val="footer"/>
    <w:basedOn w:val="a"/>
    <w:link w:val="ac"/>
    <w:uiPriority w:val="99"/>
    <w:unhideWhenUsed/>
    <w:rsid w:val="00E32548"/>
    <w:pPr>
      <w:tabs>
        <w:tab w:val="center" w:pos="4153"/>
        <w:tab w:val="right" w:pos="8306"/>
      </w:tabs>
      <w:spacing w:after="0" w:line="240" w:lineRule="auto"/>
    </w:pPr>
  </w:style>
  <w:style w:type="character" w:customStyle="1" w:styleId="ac">
    <w:name w:val="כותרת תחתונה תו"/>
    <w:basedOn w:val="a0"/>
    <w:link w:val="ab"/>
    <w:uiPriority w:val="99"/>
    <w:rsid w:val="00E3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81489">
      <w:bodyDiv w:val="1"/>
      <w:marLeft w:val="0"/>
      <w:marRight w:val="0"/>
      <w:marTop w:val="0"/>
      <w:marBottom w:val="0"/>
      <w:divBdr>
        <w:top w:val="none" w:sz="0" w:space="0" w:color="auto"/>
        <w:left w:val="none" w:sz="0" w:space="0" w:color="auto"/>
        <w:bottom w:val="none" w:sz="0" w:space="0" w:color="auto"/>
        <w:right w:val="none" w:sz="0" w:space="0" w:color="auto"/>
      </w:divBdr>
    </w:div>
    <w:div w:id="922573090">
      <w:bodyDiv w:val="1"/>
      <w:marLeft w:val="0"/>
      <w:marRight w:val="0"/>
      <w:marTop w:val="0"/>
      <w:marBottom w:val="0"/>
      <w:divBdr>
        <w:top w:val="none" w:sz="0" w:space="0" w:color="auto"/>
        <w:left w:val="none" w:sz="0" w:space="0" w:color="auto"/>
        <w:bottom w:val="none" w:sz="0" w:space="0" w:color="auto"/>
        <w:right w:val="none" w:sz="0" w:space="0" w:color="auto"/>
      </w:divBdr>
    </w:div>
    <w:div w:id="19642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7DE43D4-0FC9-42B6-810B-9E8F84F0E5E4}"/>
</file>

<file path=customXml/itemProps2.xml><?xml version="1.0" encoding="utf-8"?>
<ds:datastoreItem xmlns:ds="http://schemas.openxmlformats.org/officeDocument/2006/customXml" ds:itemID="{F4EBDA75-DD00-4BC9-ABEC-857112446EF0}"/>
</file>

<file path=customXml/itemProps3.xml><?xml version="1.0" encoding="utf-8"?>
<ds:datastoreItem xmlns:ds="http://schemas.openxmlformats.org/officeDocument/2006/customXml" ds:itemID="{33DC5181-86AB-4883-887E-6AAEF72009FA}"/>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2632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2022-09-13T06:09:00Z</dcterms:created>
  <dcterms:modified xsi:type="dcterms:W3CDTF">2022-09-13T06:12:00Z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