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Tr="00BD3170">
        <w:trPr>
          <w:tblHeader/>
          <w:jc w:val="center"/>
        </w:trPr>
        <w:tc>
          <w:tcPr>
            <w:tcW w:w="2840" w:type="dxa"/>
            <w:vAlign w:val="center"/>
            <w:hideMark/>
          </w:tcPr>
          <w:p w:rsidR="0098040A" w:rsidRDefault="0098040A" w:rsidP="00BD3170">
            <w:pPr>
              <w:bidi/>
              <w:spacing w:line="360" w:lineRule="auto"/>
              <w:jc w:val="center"/>
              <w:rPr>
                <w:rFonts w:ascii="David" w:hAnsi="David" w:cs="David"/>
                <w:b/>
                <w:bCs/>
                <w:sz w:val="24"/>
                <w:szCs w:val="24"/>
              </w:rPr>
            </w:pPr>
            <w:r>
              <w:rPr>
                <w:rFonts w:ascii="David" w:hAnsi="David" w:cs="David"/>
                <w:b/>
                <w:bCs/>
                <w:sz w:val="24"/>
                <w:szCs w:val="24"/>
                <w:rtl/>
              </w:rPr>
              <w:t>בנק ישראל</w:t>
            </w:r>
          </w:p>
          <w:p w:rsidR="0098040A" w:rsidRDefault="0098040A" w:rsidP="00BD3170">
            <w:pPr>
              <w:bidi/>
              <w:spacing w:line="360" w:lineRule="auto"/>
              <w:ind w:right="-101"/>
              <w:jc w:val="center"/>
              <w:rPr>
                <w:rFonts w:ascii="David" w:hAnsi="David" w:cs="David"/>
                <w:sz w:val="24"/>
                <w:szCs w:val="24"/>
              </w:rPr>
            </w:pPr>
            <w:r>
              <w:rPr>
                <w:rFonts w:ascii="David" w:hAnsi="David" w:cs="David"/>
                <w:sz w:val="24"/>
                <w:szCs w:val="24"/>
                <w:rtl/>
              </w:rPr>
              <w:t>דוברות והסברה כלכלית</w:t>
            </w:r>
          </w:p>
        </w:tc>
        <w:tc>
          <w:tcPr>
            <w:tcW w:w="2596" w:type="dxa"/>
            <w:hideMark/>
          </w:tcPr>
          <w:p w:rsidR="0098040A" w:rsidRDefault="0098040A" w:rsidP="00BD3170">
            <w:pPr>
              <w:bidi/>
              <w:spacing w:line="276" w:lineRule="auto"/>
              <w:jc w:val="center"/>
              <w:rPr>
                <w:rFonts w:ascii="David" w:hAnsi="David" w:cs="David"/>
                <w:sz w:val="24"/>
                <w:szCs w:val="24"/>
              </w:rPr>
            </w:pPr>
            <w:r>
              <w:rPr>
                <w:rFonts w:ascii="David" w:hAnsi="David" w:cs="David"/>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Default="0098040A" w:rsidP="008A7635">
            <w:pPr>
              <w:bidi/>
              <w:spacing w:line="480" w:lineRule="auto"/>
              <w:jc w:val="right"/>
              <w:rPr>
                <w:rFonts w:ascii="David" w:hAnsi="David" w:cs="David"/>
                <w:sz w:val="24"/>
                <w:szCs w:val="24"/>
              </w:rPr>
            </w:pPr>
            <w:r>
              <w:rPr>
                <w:rFonts w:ascii="David" w:hAnsi="David" w:cs="David"/>
                <w:sz w:val="24"/>
                <w:szCs w:val="24"/>
                <w:rtl/>
              </w:rPr>
              <w:t>‏ירושלים,</w:t>
            </w:r>
            <w:r w:rsidR="008A7635">
              <w:rPr>
                <w:rFonts w:ascii="David" w:hAnsi="David" w:cs="David" w:hint="cs"/>
                <w:sz w:val="24"/>
                <w:szCs w:val="24"/>
                <w:rtl/>
              </w:rPr>
              <w:t xml:space="preserve"> </w:t>
            </w:r>
            <w:r>
              <w:rPr>
                <w:rFonts w:ascii="David" w:hAnsi="David" w:cs="David" w:hint="cs"/>
                <w:sz w:val="24"/>
                <w:szCs w:val="24"/>
                <w:rtl/>
              </w:rPr>
              <w:t>י"א</w:t>
            </w:r>
            <w:r>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תשרי, תשפ"ג</w:t>
            </w:r>
          </w:p>
          <w:p w:rsidR="0098040A" w:rsidRDefault="0098040A" w:rsidP="0098040A">
            <w:pPr>
              <w:bidi/>
              <w:spacing w:line="480" w:lineRule="auto"/>
              <w:jc w:val="right"/>
              <w:rPr>
                <w:rFonts w:ascii="David" w:hAnsi="David" w:cs="David"/>
                <w:sz w:val="24"/>
                <w:szCs w:val="24"/>
              </w:rPr>
            </w:pPr>
            <w:r>
              <w:rPr>
                <w:rFonts w:ascii="David" w:hAnsi="David" w:cs="David"/>
                <w:sz w:val="24"/>
                <w:szCs w:val="24"/>
                <w:rtl/>
              </w:rPr>
              <w:t>‏‏</w:t>
            </w:r>
            <w:r>
              <w:rPr>
                <w:rFonts w:ascii="David" w:hAnsi="David" w:cs="David" w:hint="cs"/>
                <w:sz w:val="24"/>
                <w:szCs w:val="24"/>
                <w:rtl/>
              </w:rPr>
              <w:t>6</w:t>
            </w:r>
            <w:r>
              <w:rPr>
                <w:rFonts w:ascii="David" w:hAnsi="David" w:cs="David"/>
                <w:sz w:val="24"/>
                <w:szCs w:val="24"/>
                <w:rtl/>
              </w:rPr>
              <w:t xml:space="preserve"> ב</w:t>
            </w:r>
            <w:r>
              <w:rPr>
                <w:rFonts w:ascii="David" w:hAnsi="David" w:cs="David" w:hint="cs"/>
                <w:sz w:val="24"/>
                <w:szCs w:val="24"/>
                <w:rtl/>
              </w:rPr>
              <w:t>אוקטוב</w:t>
            </w:r>
            <w:r>
              <w:rPr>
                <w:rFonts w:ascii="David" w:hAnsi="David" w:cs="David"/>
                <w:sz w:val="24"/>
                <w:szCs w:val="24"/>
                <w:rtl/>
              </w:rPr>
              <w:t>ר 2022</w:t>
            </w:r>
          </w:p>
        </w:tc>
      </w:tr>
    </w:tbl>
    <w:p w:rsidR="0098040A" w:rsidRDefault="0098040A" w:rsidP="0098040A">
      <w:pPr>
        <w:bidi/>
        <w:spacing w:before="240" w:line="360" w:lineRule="auto"/>
        <w:ind w:right="-102"/>
        <w:rPr>
          <w:rFonts w:ascii="David" w:hAnsi="David" w:cs="David"/>
          <w:sz w:val="24"/>
          <w:szCs w:val="24"/>
        </w:rPr>
      </w:pPr>
      <w:r>
        <w:rPr>
          <w:rFonts w:ascii="David" w:hAnsi="David" w:cs="David"/>
          <w:sz w:val="24"/>
          <w:szCs w:val="24"/>
          <w:rtl/>
        </w:rPr>
        <w:t>הודעה לעיתונות:</w:t>
      </w:r>
    </w:p>
    <w:p w:rsidR="0098040A" w:rsidRDefault="0098040A" w:rsidP="00DF52F8">
      <w:pPr>
        <w:jc w:val="right"/>
      </w:pPr>
    </w:p>
    <w:p w:rsidR="00DF52F8" w:rsidRDefault="00DF52F8" w:rsidP="00DF52F8">
      <w:pPr>
        <w:jc w:val="right"/>
      </w:pPr>
    </w:p>
    <w:p w:rsidR="00DF52F8" w:rsidRPr="00DF52F8" w:rsidRDefault="00DF52F8" w:rsidP="00DF52F8">
      <w:pPr>
        <w:jc w:val="right"/>
      </w:pPr>
    </w:p>
    <w:p w:rsidR="00DF52F8" w:rsidRPr="00322C7F" w:rsidRDefault="00DF52F8" w:rsidP="00DF52F8">
      <w:pPr>
        <w:spacing w:line="360" w:lineRule="auto"/>
        <w:ind w:left="-942" w:right="-851"/>
        <w:jc w:val="center"/>
        <w:rPr>
          <w:rFonts w:cs="David"/>
          <w:b/>
          <w:bCs/>
          <w:sz w:val="24"/>
          <w:szCs w:val="24"/>
        </w:rPr>
      </w:pPr>
      <w:r w:rsidRPr="00322C7F">
        <w:rPr>
          <w:rFonts w:cs="David" w:hint="cs"/>
          <w:b/>
          <w:bCs/>
          <w:sz w:val="28"/>
          <w:szCs w:val="28"/>
          <w:rtl/>
        </w:rPr>
        <w:t>פגישת הוועדה המוניטרית בבנק ישראל עם החזאים הפיננסיים</w:t>
      </w:r>
    </w:p>
    <w:p w:rsidR="00DF52F8" w:rsidRDefault="00DF52F8" w:rsidP="00DF52F8">
      <w:pPr>
        <w:spacing w:line="360" w:lineRule="auto"/>
        <w:ind w:left="-942" w:right="-851"/>
        <w:jc w:val="right"/>
        <w:rPr>
          <w:rFonts w:cs="David"/>
          <w:sz w:val="24"/>
          <w:szCs w:val="24"/>
          <w:rtl/>
        </w:rPr>
      </w:pPr>
    </w:p>
    <w:p w:rsidR="00DF52F8" w:rsidRDefault="00DF52F8" w:rsidP="00DF52F8">
      <w:pPr>
        <w:spacing w:line="360" w:lineRule="auto"/>
        <w:ind w:left="-942" w:right="-1134"/>
        <w:jc w:val="right"/>
        <w:rPr>
          <w:rFonts w:cs="David"/>
          <w:sz w:val="24"/>
          <w:szCs w:val="24"/>
          <w:rtl/>
        </w:rPr>
      </w:pPr>
      <w:r>
        <w:rPr>
          <w:rFonts w:cs="David" w:hint="cs"/>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DF52F8" w:rsidRDefault="00DF52F8" w:rsidP="00DF52F8">
      <w:pPr>
        <w:spacing w:line="360" w:lineRule="auto"/>
        <w:ind w:right="-1134"/>
        <w:jc w:val="right"/>
        <w:rPr>
          <w:rFonts w:cs="David"/>
          <w:sz w:val="24"/>
          <w:szCs w:val="24"/>
          <w:rtl/>
        </w:rPr>
      </w:pPr>
    </w:p>
    <w:p w:rsidR="00E56689" w:rsidRDefault="00E56689" w:rsidP="00DF52F8">
      <w:pPr>
        <w:spacing w:line="360" w:lineRule="auto"/>
        <w:ind w:right="-1134"/>
        <w:jc w:val="right"/>
        <w:rPr>
          <w:rFonts w:cs="David"/>
          <w:sz w:val="24"/>
          <w:szCs w:val="24"/>
        </w:rPr>
      </w:pPr>
    </w:p>
    <w:p w:rsidR="00E56689" w:rsidRPr="00E56689" w:rsidRDefault="00E56689" w:rsidP="00E56689">
      <w:pPr>
        <w:spacing w:line="360" w:lineRule="auto"/>
        <w:ind w:right="-1134"/>
        <w:jc w:val="right"/>
        <w:rPr>
          <w:rFonts w:cs="David"/>
          <w:sz w:val="24"/>
          <w:szCs w:val="24"/>
          <w:rtl/>
        </w:rPr>
      </w:pPr>
      <w:r w:rsidRPr="00E56689">
        <w:rPr>
          <w:rFonts w:cs="David" w:hint="cs"/>
          <w:sz w:val="24"/>
          <w:szCs w:val="24"/>
          <w:rtl/>
        </w:rPr>
        <w:t xml:space="preserve">פרופ' ירון פתח את המפגש והתייחס להתפתחויות הכלכליות השונות. </w:t>
      </w:r>
    </w:p>
    <w:p w:rsidR="00E56689" w:rsidRDefault="00E56689" w:rsidP="00DF52F8">
      <w:pPr>
        <w:spacing w:line="360" w:lineRule="auto"/>
        <w:ind w:right="-1134"/>
        <w:jc w:val="right"/>
        <w:rPr>
          <w:rFonts w:cs="David"/>
          <w:sz w:val="24"/>
          <w:szCs w:val="24"/>
        </w:rPr>
      </w:pPr>
    </w:p>
    <w:p w:rsidR="00DF52F8" w:rsidRPr="00571FDA" w:rsidRDefault="00E940AA" w:rsidP="00E940AA">
      <w:pPr>
        <w:spacing w:line="360" w:lineRule="auto"/>
        <w:ind w:left="-942" w:right="-1134"/>
        <w:jc w:val="right"/>
        <w:rPr>
          <w:rFonts w:cs="David"/>
          <w:sz w:val="24"/>
          <w:szCs w:val="24"/>
          <w:rtl/>
        </w:rPr>
      </w:pPr>
      <w:r>
        <w:rPr>
          <w:rFonts w:cs="David" w:hint="cs"/>
          <w:sz w:val="24"/>
          <w:szCs w:val="24"/>
          <w:rtl/>
        </w:rPr>
        <w:t xml:space="preserve">ד"ר </w:t>
      </w:r>
      <w:r w:rsidR="00E56689">
        <w:rPr>
          <w:rFonts w:cs="David" w:hint="cs"/>
          <w:sz w:val="24"/>
          <w:szCs w:val="24"/>
          <w:rtl/>
        </w:rPr>
        <w:t>אסנת זהר</w:t>
      </w:r>
      <w:r w:rsidR="00DF52F8">
        <w:rPr>
          <w:rFonts w:cs="David" w:hint="cs"/>
          <w:sz w:val="24"/>
          <w:szCs w:val="24"/>
          <w:rtl/>
        </w:rPr>
        <w:t>,</w:t>
      </w:r>
      <w:r w:rsidR="00DF52F8" w:rsidRPr="00571FDA">
        <w:rPr>
          <w:rFonts w:cs="David" w:hint="cs"/>
          <w:sz w:val="24"/>
          <w:szCs w:val="24"/>
          <w:rtl/>
        </w:rPr>
        <w:t xml:space="preserve"> </w:t>
      </w:r>
      <w:r>
        <w:rPr>
          <w:rFonts w:cs="David" w:hint="cs"/>
          <w:sz w:val="24"/>
          <w:szCs w:val="24"/>
          <w:rtl/>
        </w:rPr>
        <w:t>מ</w:t>
      </w:r>
      <w:bookmarkStart w:id="0" w:name="_GoBack"/>
      <w:bookmarkEnd w:id="0"/>
      <w:r w:rsidR="00DF52F8">
        <w:rPr>
          <w:rFonts w:cs="David" w:hint="cs"/>
          <w:sz w:val="24"/>
          <w:szCs w:val="24"/>
          <w:rtl/>
        </w:rPr>
        <w:t>חטיבת המחקר, הציג</w:t>
      </w:r>
      <w:r w:rsidR="00DD65A2">
        <w:rPr>
          <w:rFonts w:cs="David" w:hint="cs"/>
          <w:sz w:val="24"/>
          <w:szCs w:val="24"/>
          <w:rtl/>
        </w:rPr>
        <w:t>ה</w:t>
      </w:r>
      <w:r w:rsidR="00DF52F8">
        <w:rPr>
          <w:rFonts w:cs="David" w:hint="cs"/>
          <w:sz w:val="24"/>
          <w:szCs w:val="24"/>
          <w:rtl/>
        </w:rPr>
        <w:t xml:space="preserve"> והסביר</w:t>
      </w:r>
      <w:r w:rsidR="00DD65A2">
        <w:rPr>
          <w:rFonts w:cs="David" w:hint="cs"/>
          <w:sz w:val="24"/>
          <w:szCs w:val="24"/>
          <w:rtl/>
        </w:rPr>
        <w:t>ה</w:t>
      </w:r>
      <w:r w:rsidR="00DF52F8">
        <w:rPr>
          <w:rFonts w:cs="David" w:hint="cs"/>
          <w:sz w:val="24"/>
          <w:szCs w:val="24"/>
          <w:rtl/>
        </w:rPr>
        <w:t xml:space="preserve"> </w:t>
      </w:r>
      <w:r w:rsidR="00DF52F8" w:rsidRPr="00571FDA">
        <w:rPr>
          <w:rFonts w:cs="David" w:hint="cs"/>
          <w:sz w:val="24"/>
          <w:szCs w:val="24"/>
          <w:rtl/>
        </w:rPr>
        <w:t xml:space="preserve">את הערכת חטיבת המחקר כפי שהיא </w:t>
      </w:r>
      <w:r w:rsidR="00DF52F8">
        <w:rPr>
          <w:rFonts w:cs="David" w:hint="cs"/>
          <w:sz w:val="24"/>
          <w:szCs w:val="24"/>
          <w:rtl/>
        </w:rPr>
        <w:t>נערכה ו</w:t>
      </w:r>
      <w:r w:rsidR="00DF52F8" w:rsidRPr="00571FDA">
        <w:rPr>
          <w:rFonts w:cs="David" w:hint="cs"/>
          <w:sz w:val="24"/>
          <w:szCs w:val="24"/>
          <w:rtl/>
        </w:rPr>
        <w:t xml:space="preserve">פורסמה לציבור </w:t>
      </w:r>
      <w:r w:rsidR="00DF52F8">
        <w:rPr>
          <w:rFonts w:cs="David" w:hint="cs"/>
          <w:sz w:val="24"/>
          <w:szCs w:val="24"/>
          <w:rtl/>
        </w:rPr>
        <w:t>ב-</w:t>
      </w:r>
      <w:r w:rsidR="00E56689">
        <w:rPr>
          <w:rFonts w:cs="David" w:hint="cs"/>
          <w:sz w:val="24"/>
          <w:szCs w:val="24"/>
          <w:rtl/>
        </w:rPr>
        <w:t>3 באוקטובר</w:t>
      </w:r>
      <w:r w:rsidR="00DF52F8">
        <w:rPr>
          <w:rFonts w:cs="David" w:hint="cs"/>
          <w:sz w:val="24"/>
          <w:szCs w:val="24"/>
          <w:rtl/>
        </w:rPr>
        <w:t xml:space="preserve"> 2022, </w:t>
      </w:r>
      <w:r w:rsidR="00DF52F8" w:rsidRPr="00571FDA">
        <w:rPr>
          <w:rFonts w:cs="David" w:hint="cs"/>
          <w:sz w:val="24"/>
          <w:szCs w:val="24"/>
          <w:rtl/>
        </w:rPr>
        <w:t xml:space="preserve">במקביל להודעת הריבית האחרונה. </w:t>
      </w:r>
    </w:p>
    <w:p w:rsidR="00DF52F8" w:rsidRPr="00571FDA" w:rsidRDefault="00DF52F8" w:rsidP="00DF52F8">
      <w:pPr>
        <w:spacing w:line="360" w:lineRule="auto"/>
        <w:ind w:left="-942" w:right="-1134"/>
        <w:jc w:val="right"/>
        <w:rPr>
          <w:rFonts w:cs="David"/>
          <w:sz w:val="24"/>
          <w:szCs w:val="24"/>
          <w:rtl/>
        </w:rPr>
      </w:pPr>
    </w:p>
    <w:p w:rsidR="00DF52F8" w:rsidRDefault="00DF52F8" w:rsidP="00DF52F8">
      <w:pPr>
        <w:spacing w:line="360" w:lineRule="auto"/>
        <w:ind w:left="-942" w:right="-1134"/>
        <w:jc w:val="right"/>
        <w:rPr>
          <w:rtl/>
        </w:rPr>
      </w:pPr>
      <w:r w:rsidRPr="00571FDA">
        <w:rPr>
          <w:rFonts w:cs="David" w:hint="cs"/>
          <w:sz w:val="24"/>
          <w:szCs w:val="24"/>
          <w:rtl/>
        </w:rPr>
        <w:t>החזאים התייחסו לדברים ומסרו את הערכותיהם לגבי ההתפתחויות.</w:t>
      </w:r>
    </w:p>
    <w:p w:rsidR="00DF52F8" w:rsidRPr="007E18EE" w:rsidRDefault="00DF52F8" w:rsidP="00DF52F8">
      <w:pPr>
        <w:pStyle w:val="a3"/>
        <w:spacing w:before="240" w:after="0" w:line="240" w:lineRule="auto"/>
        <w:ind w:left="0" w:right="-180" w:firstLine="0"/>
        <w:jc w:val="left"/>
        <w:rPr>
          <w:sz w:val="24"/>
        </w:rPr>
      </w:pPr>
    </w:p>
    <w:p w:rsidR="00DF52F8" w:rsidRPr="00DF52F8" w:rsidRDefault="00DF52F8" w:rsidP="00DF52F8">
      <w:pPr>
        <w:jc w:val="right"/>
      </w:pPr>
    </w:p>
    <w:p w:rsidR="00DF52F8" w:rsidRPr="00DF52F8" w:rsidRDefault="00DF52F8" w:rsidP="00DF52F8">
      <w:pPr>
        <w:jc w:val="right"/>
      </w:pPr>
    </w:p>
    <w:p w:rsidR="00DF52F8" w:rsidRDefault="00DF52F8" w:rsidP="00DF52F8">
      <w:pPr>
        <w:jc w:val="right"/>
      </w:pPr>
    </w:p>
    <w:p w:rsidR="00BA26A8" w:rsidRPr="00DF52F8" w:rsidRDefault="00BA26A8" w:rsidP="00DF52F8">
      <w:pPr>
        <w:jc w:val="right"/>
      </w:pPr>
    </w:p>
    <w:sectPr w:rsidR="00BA26A8" w:rsidRPr="00DF52F8" w:rsidSect="00E553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C7C73"/>
    <w:rsid w:val="0010339F"/>
    <w:rsid w:val="00124B07"/>
    <w:rsid w:val="001314C5"/>
    <w:rsid w:val="0013425B"/>
    <w:rsid w:val="00154733"/>
    <w:rsid w:val="0018141F"/>
    <w:rsid w:val="001815FD"/>
    <w:rsid w:val="001F1F21"/>
    <w:rsid w:val="001F7D01"/>
    <w:rsid w:val="00245574"/>
    <w:rsid w:val="002B029F"/>
    <w:rsid w:val="002B3DEA"/>
    <w:rsid w:val="003148C4"/>
    <w:rsid w:val="003B0C32"/>
    <w:rsid w:val="00467AFD"/>
    <w:rsid w:val="004B2E27"/>
    <w:rsid w:val="004B578E"/>
    <w:rsid w:val="004B7E5F"/>
    <w:rsid w:val="00537DE1"/>
    <w:rsid w:val="005813AC"/>
    <w:rsid w:val="005B5B0F"/>
    <w:rsid w:val="00615A4C"/>
    <w:rsid w:val="006B49EF"/>
    <w:rsid w:val="00762018"/>
    <w:rsid w:val="0079570B"/>
    <w:rsid w:val="007A53CE"/>
    <w:rsid w:val="007B42D3"/>
    <w:rsid w:val="007E14C5"/>
    <w:rsid w:val="008330F4"/>
    <w:rsid w:val="008563F7"/>
    <w:rsid w:val="00860E1A"/>
    <w:rsid w:val="00887F9E"/>
    <w:rsid w:val="008A7635"/>
    <w:rsid w:val="008C7D05"/>
    <w:rsid w:val="00934A8B"/>
    <w:rsid w:val="0098040A"/>
    <w:rsid w:val="00A23D88"/>
    <w:rsid w:val="00A670F4"/>
    <w:rsid w:val="00A82C59"/>
    <w:rsid w:val="00A96B61"/>
    <w:rsid w:val="00AD0E4F"/>
    <w:rsid w:val="00B05410"/>
    <w:rsid w:val="00B32FE1"/>
    <w:rsid w:val="00B87A51"/>
    <w:rsid w:val="00B93525"/>
    <w:rsid w:val="00BA26A8"/>
    <w:rsid w:val="00C054E3"/>
    <w:rsid w:val="00CD46B8"/>
    <w:rsid w:val="00CF2164"/>
    <w:rsid w:val="00CF28B5"/>
    <w:rsid w:val="00D9268A"/>
    <w:rsid w:val="00DD65A2"/>
    <w:rsid w:val="00DF52F8"/>
    <w:rsid w:val="00E17705"/>
    <w:rsid w:val="00E271D6"/>
    <w:rsid w:val="00E4318C"/>
    <w:rsid w:val="00E55323"/>
    <w:rsid w:val="00E56689"/>
    <w:rsid w:val="00E572B5"/>
    <w:rsid w:val="00E85E77"/>
    <w:rsid w:val="00E86F64"/>
    <w:rsid w:val="00E940AA"/>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9856"/>
  <w15:chartTrackingRefBased/>
  <w15:docId w15:val="{A1F2F468-F66A-4950-8770-2205105F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FE9C81D-7E7D-494A-8BAD-F6B3087574FF}"/>
</file>

<file path=customXml/itemProps2.xml><?xml version="1.0" encoding="utf-8"?>
<ds:datastoreItem xmlns:ds="http://schemas.openxmlformats.org/officeDocument/2006/customXml" ds:itemID="{FB766A2D-4198-471F-92C1-3E80079A12EB}"/>
</file>

<file path=customXml/itemProps3.xml><?xml version="1.0" encoding="utf-8"?>
<ds:datastoreItem xmlns:ds="http://schemas.openxmlformats.org/officeDocument/2006/customXml" ds:itemID="{1AC39533-49D4-48A0-9FC9-60E9702B948E}"/>
</file>

<file path=docProps/app.xml><?xml version="1.0" encoding="utf-8"?>
<Properties xmlns="http://schemas.openxmlformats.org/officeDocument/2006/extended-properties" xmlns:vt="http://schemas.openxmlformats.org/officeDocument/2006/docPropsVTypes">
  <Template>Normal.dotm</Template>
  <TotalTime>9</TotalTime>
  <Pages>1</Pages>
  <Words>115</Words>
  <Characters>579</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דהן</dc:creator>
  <cp:keywords/>
  <dc:description/>
  <cp:lastModifiedBy>לירון דהן</cp:lastModifiedBy>
  <cp:revision>9</cp:revision>
  <dcterms:created xsi:type="dcterms:W3CDTF">2022-10-06T06:54:00Z</dcterms:created>
  <dcterms:modified xsi:type="dcterms:W3CDTF">2022-10-06T10:28:00Z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