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B1" w:rsidRPr="00A6008A" w:rsidRDefault="00F565B1" w:rsidP="00F565B1">
      <w:pPr>
        <w:spacing w:line="360" w:lineRule="auto"/>
        <w:rPr>
          <w:rFonts w:ascii="David" w:hAnsi="David" w:cs="David" w:hint="cs"/>
          <w:sz w:val="24"/>
          <w:szCs w:val="24"/>
          <w:u w:val="single"/>
          <w:rtl/>
        </w:rPr>
      </w:pPr>
      <w:bookmarkStart w:id="0" w:name="_GoBack"/>
      <w:bookmarkEnd w:id="0"/>
    </w:p>
    <w:tbl>
      <w:tblPr>
        <w:tblpPr w:leftFromText="180" w:rightFromText="180" w:bottomFromText="200" w:horzAnchor="margin" w:tblpXSpec="center" w:tblpY="-540"/>
        <w:bidiVisual/>
        <w:tblW w:w="8520" w:type="dxa"/>
        <w:tblLayout w:type="fixed"/>
        <w:tblLook w:val="04A0" w:firstRow="1" w:lastRow="0" w:firstColumn="1" w:lastColumn="0" w:noHBand="0" w:noVBand="1"/>
      </w:tblPr>
      <w:tblGrid>
        <w:gridCol w:w="2840"/>
        <w:gridCol w:w="2596"/>
        <w:gridCol w:w="3084"/>
      </w:tblGrid>
      <w:tr w:rsidR="00F565B1" w:rsidRPr="00A6008A" w:rsidTr="002F1D06">
        <w:tc>
          <w:tcPr>
            <w:tcW w:w="2840" w:type="dxa"/>
            <w:vAlign w:val="center"/>
            <w:hideMark/>
          </w:tcPr>
          <w:p w:rsidR="00F565B1" w:rsidRPr="00A6008A" w:rsidRDefault="00F565B1" w:rsidP="002F1D06">
            <w:pPr>
              <w:spacing w:before="240" w:after="0" w:line="360" w:lineRule="auto"/>
              <w:rPr>
                <w:rFonts w:ascii="David" w:eastAsia="Times New Roman" w:hAnsi="David" w:cs="David"/>
                <w:b/>
                <w:bCs/>
                <w:sz w:val="24"/>
                <w:szCs w:val="24"/>
                <w:lang w:eastAsia="he-IL"/>
              </w:rPr>
            </w:pPr>
            <w:r w:rsidRPr="00A6008A">
              <w:rPr>
                <w:rFonts w:ascii="David" w:eastAsia="Times New Roman" w:hAnsi="David" w:cs="David"/>
                <w:b/>
                <w:bCs/>
                <w:sz w:val="24"/>
                <w:szCs w:val="24"/>
                <w:rtl/>
                <w:lang w:eastAsia="he-IL"/>
              </w:rPr>
              <w:t>בנק ישראל</w:t>
            </w:r>
          </w:p>
          <w:p w:rsidR="00F565B1" w:rsidRPr="00A6008A" w:rsidRDefault="00F565B1" w:rsidP="002F1D06">
            <w:pPr>
              <w:spacing w:before="240" w:after="0" w:line="360" w:lineRule="auto"/>
              <w:ind w:right="-101"/>
              <w:jc w:val="both"/>
              <w:rPr>
                <w:rFonts w:ascii="David" w:eastAsia="Times New Roman" w:hAnsi="David" w:cs="David"/>
                <w:sz w:val="24"/>
                <w:szCs w:val="24"/>
                <w:lang w:eastAsia="he-IL"/>
              </w:rPr>
            </w:pPr>
            <w:r w:rsidRPr="00A6008A">
              <w:rPr>
                <w:rFonts w:ascii="David" w:eastAsia="Times New Roman" w:hAnsi="David" w:cs="David"/>
                <w:sz w:val="24"/>
                <w:szCs w:val="24"/>
                <w:rtl/>
                <w:lang w:eastAsia="he-IL"/>
              </w:rPr>
              <w:t>דוברות והסברה כלכלית</w:t>
            </w:r>
          </w:p>
        </w:tc>
        <w:tc>
          <w:tcPr>
            <w:tcW w:w="2596" w:type="dxa"/>
            <w:hideMark/>
          </w:tcPr>
          <w:p w:rsidR="00F565B1" w:rsidRPr="00A6008A" w:rsidRDefault="00F565B1" w:rsidP="002F1D06">
            <w:pPr>
              <w:tabs>
                <w:tab w:val="right" w:pos="2380"/>
              </w:tabs>
              <w:spacing w:before="240" w:after="0" w:line="360" w:lineRule="auto"/>
              <w:jc w:val="both"/>
              <w:rPr>
                <w:rFonts w:ascii="David" w:eastAsia="Times New Roman" w:hAnsi="David" w:cs="David"/>
                <w:sz w:val="24"/>
                <w:szCs w:val="24"/>
                <w:lang w:eastAsia="he-IL"/>
              </w:rPr>
            </w:pPr>
            <w:r w:rsidRPr="00A6008A">
              <w:rPr>
                <w:rFonts w:ascii="David" w:eastAsia="Calibri" w:hAnsi="David" w:cs="David"/>
                <w:noProof/>
                <w:sz w:val="24"/>
                <w:szCs w:val="24"/>
              </w:rPr>
              <w:drawing>
                <wp:anchor distT="0" distB="0" distL="114300" distR="114300" simplePos="0" relativeHeight="251659264" behindDoc="0" locked="0" layoutInCell="1" allowOverlap="1" wp14:anchorId="05F3EB7A" wp14:editId="799D6342">
                  <wp:simplePos x="0" y="0"/>
                  <wp:positionH relativeFrom="column">
                    <wp:align>center</wp:align>
                  </wp:positionH>
                  <wp:positionV relativeFrom="paragraph">
                    <wp:posOffset>154940</wp:posOffset>
                  </wp:positionV>
                  <wp:extent cx="1050925" cy="1050925"/>
                  <wp:effectExtent l="0" t="0" r="0" b="0"/>
                  <wp:wrapSquare wrapText="bothSides"/>
                  <wp:docPr id="5" name="תמונה 5" descr="Logo Bank of Israel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 Bank of Israel 2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pic:spPr>
                      </pic:pic>
                    </a:graphicData>
                  </a:graphic>
                  <wp14:sizeRelH relativeFrom="margin">
                    <wp14:pctWidth>0</wp14:pctWidth>
                  </wp14:sizeRelH>
                  <wp14:sizeRelV relativeFrom="margin">
                    <wp14:pctHeight>0</wp14:pctHeight>
                  </wp14:sizeRelV>
                </wp:anchor>
              </w:drawing>
            </w:r>
            <w:r w:rsidRPr="00A6008A">
              <w:rPr>
                <w:rFonts w:ascii="David" w:eastAsia="Times New Roman" w:hAnsi="David" w:cs="David"/>
                <w:sz w:val="24"/>
                <w:szCs w:val="24"/>
                <w:lang w:eastAsia="he-IL"/>
              </w:rPr>
              <w:tab/>
            </w:r>
          </w:p>
        </w:tc>
        <w:tc>
          <w:tcPr>
            <w:tcW w:w="3084" w:type="dxa"/>
            <w:vAlign w:val="center"/>
            <w:hideMark/>
          </w:tcPr>
          <w:tbl>
            <w:tblPr>
              <w:bidiVisual/>
              <w:tblW w:w="0" w:type="auto"/>
              <w:jc w:val="center"/>
              <w:tblLayout w:type="fixed"/>
              <w:tblLook w:val="04A0" w:firstRow="1" w:lastRow="0" w:firstColumn="1" w:lastColumn="0" w:noHBand="0" w:noVBand="1"/>
            </w:tblPr>
            <w:tblGrid>
              <w:gridCol w:w="3084"/>
            </w:tblGrid>
            <w:tr w:rsidR="00F565B1" w:rsidRPr="00A6008A" w:rsidTr="002F1D06">
              <w:trPr>
                <w:jc w:val="center"/>
              </w:trPr>
              <w:tc>
                <w:tcPr>
                  <w:tcW w:w="3084" w:type="dxa"/>
                  <w:vAlign w:val="center"/>
                  <w:hideMark/>
                </w:tcPr>
                <w:p w:rsidR="00F565B1" w:rsidRPr="00A6008A" w:rsidRDefault="00F565B1" w:rsidP="00180C81">
                  <w:pPr>
                    <w:framePr w:hSpace="180" w:wrap="around" w:hAnchor="margin" w:xAlign="center" w:y="-540"/>
                    <w:spacing w:before="240" w:after="0" w:line="360" w:lineRule="auto"/>
                    <w:jc w:val="right"/>
                    <w:rPr>
                      <w:rFonts w:ascii="David" w:eastAsia="Times New Roman" w:hAnsi="David" w:cs="David"/>
                      <w:sz w:val="24"/>
                      <w:szCs w:val="24"/>
                      <w:lang w:eastAsia="he-IL"/>
                    </w:rPr>
                  </w:pPr>
                  <w:r w:rsidRPr="00A6008A">
                    <w:rPr>
                      <w:rFonts w:ascii="David" w:eastAsia="Times New Roman" w:hAnsi="David" w:cs="David"/>
                      <w:sz w:val="24"/>
                      <w:szCs w:val="24"/>
                      <w:rtl/>
                      <w:lang w:eastAsia="he-IL"/>
                    </w:rPr>
                    <w:t xml:space="preserve">‏ירושלים, </w:t>
                  </w:r>
                  <w:r>
                    <w:rPr>
                      <w:rFonts w:ascii="David" w:eastAsia="Times New Roman" w:hAnsi="David" w:cs="David" w:hint="cs"/>
                      <w:sz w:val="24"/>
                      <w:szCs w:val="24"/>
                      <w:rtl/>
                      <w:lang w:eastAsia="he-IL"/>
                    </w:rPr>
                    <w:t xml:space="preserve">י"א </w:t>
                  </w:r>
                  <w:r w:rsidRPr="00A6008A">
                    <w:rPr>
                      <w:rFonts w:ascii="David" w:eastAsia="Times New Roman" w:hAnsi="David" w:cs="David"/>
                      <w:sz w:val="24"/>
                      <w:szCs w:val="24"/>
                      <w:rtl/>
                      <w:lang w:eastAsia="he-IL"/>
                    </w:rPr>
                    <w:t>באב, תשפ"ב</w:t>
                  </w:r>
                </w:p>
                <w:p w:rsidR="00F565B1" w:rsidRPr="00A6008A" w:rsidRDefault="00F565B1" w:rsidP="00180C81">
                  <w:pPr>
                    <w:framePr w:hSpace="180" w:wrap="around" w:hAnchor="margin" w:xAlign="center" w:y="-540"/>
                    <w:spacing w:before="240" w:after="160" w:line="360" w:lineRule="auto"/>
                    <w:jc w:val="right"/>
                    <w:rPr>
                      <w:rFonts w:ascii="David" w:eastAsia="Times New Roman" w:hAnsi="David" w:cs="David"/>
                      <w:sz w:val="24"/>
                      <w:szCs w:val="24"/>
                      <w:lang w:eastAsia="he-IL"/>
                    </w:rPr>
                  </w:pPr>
                  <w:r w:rsidRPr="00A6008A">
                    <w:rPr>
                      <w:rFonts w:ascii="David" w:eastAsia="Times New Roman" w:hAnsi="David" w:cs="David"/>
                      <w:sz w:val="24"/>
                      <w:szCs w:val="24"/>
                      <w:rtl/>
                      <w:lang w:eastAsia="he-IL"/>
                    </w:rPr>
                    <w:t>‏0</w:t>
                  </w:r>
                  <w:r>
                    <w:rPr>
                      <w:rFonts w:ascii="David" w:eastAsia="Times New Roman" w:hAnsi="David" w:cs="David" w:hint="cs"/>
                      <w:sz w:val="24"/>
                      <w:szCs w:val="24"/>
                      <w:rtl/>
                      <w:lang w:eastAsia="he-IL"/>
                    </w:rPr>
                    <w:t>8</w:t>
                  </w:r>
                  <w:r w:rsidRPr="00A6008A">
                    <w:rPr>
                      <w:rFonts w:ascii="David" w:eastAsia="Times New Roman" w:hAnsi="David" w:cs="David"/>
                      <w:sz w:val="24"/>
                      <w:szCs w:val="24"/>
                      <w:rtl/>
                      <w:lang w:eastAsia="he-IL"/>
                    </w:rPr>
                    <w:t xml:space="preserve"> באוגוסט, 2022</w:t>
                  </w:r>
                </w:p>
              </w:tc>
            </w:tr>
          </w:tbl>
          <w:p w:rsidR="00F565B1" w:rsidRPr="00A6008A" w:rsidRDefault="00F565B1" w:rsidP="002F1D06">
            <w:pPr>
              <w:spacing w:after="0" w:line="360" w:lineRule="auto"/>
              <w:jc w:val="center"/>
              <w:rPr>
                <w:rFonts w:ascii="David" w:eastAsia="Calibri" w:hAnsi="David" w:cs="David"/>
                <w:sz w:val="24"/>
                <w:szCs w:val="24"/>
                <w:rtl/>
              </w:rPr>
            </w:pPr>
          </w:p>
        </w:tc>
      </w:tr>
    </w:tbl>
    <w:p w:rsidR="0002347F" w:rsidRPr="0027349E" w:rsidRDefault="00803AC1" w:rsidP="0002347F">
      <w:pPr>
        <w:rPr>
          <w:rFonts w:ascii="David" w:hAnsi="David" w:cs="David"/>
          <w:sz w:val="24"/>
          <w:szCs w:val="24"/>
          <w:rtl/>
        </w:rPr>
      </w:pPr>
      <w:r w:rsidRPr="0027349E">
        <w:rPr>
          <w:rFonts w:ascii="David" w:hAnsi="David" w:cs="David"/>
          <w:sz w:val="24"/>
          <w:szCs w:val="24"/>
          <w:rtl/>
        </w:rPr>
        <w:t>הודעה לעיתונות:</w:t>
      </w:r>
    </w:p>
    <w:p w:rsidR="00803AC1" w:rsidRPr="0027349E" w:rsidRDefault="00803AC1" w:rsidP="00D57B96">
      <w:pPr>
        <w:spacing w:line="360" w:lineRule="auto"/>
        <w:jc w:val="center"/>
        <w:rPr>
          <w:rFonts w:ascii="David" w:hAnsi="David" w:cs="David"/>
          <w:b/>
          <w:bCs/>
          <w:sz w:val="28"/>
          <w:szCs w:val="28"/>
          <w:rtl/>
        </w:rPr>
      </w:pPr>
      <w:r w:rsidRPr="0027349E">
        <w:rPr>
          <w:rFonts w:ascii="David" w:hAnsi="David" w:cs="David"/>
          <w:b/>
          <w:bCs/>
          <w:sz w:val="28"/>
          <w:szCs w:val="28"/>
          <w:rtl/>
        </w:rPr>
        <w:t xml:space="preserve">הערכת ההשלכות של הירידות בשווקי ההון על יציבות </w:t>
      </w:r>
      <w:r w:rsidR="00261803" w:rsidRPr="0027349E">
        <w:rPr>
          <w:rFonts w:ascii="David" w:hAnsi="David" w:cs="David"/>
          <w:b/>
          <w:bCs/>
          <w:sz w:val="28"/>
          <w:szCs w:val="28"/>
          <w:rtl/>
        </w:rPr>
        <w:t xml:space="preserve">מגזר </w:t>
      </w:r>
      <w:r w:rsidRPr="0027349E">
        <w:rPr>
          <w:rFonts w:ascii="David" w:hAnsi="David" w:cs="David"/>
          <w:b/>
          <w:bCs/>
          <w:sz w:val="28"/>
          <w:szCs w:val="28"/>
          <w:rtl/>
        </w:rPr>
        <w:t>ההייטק הישראלי</w:t>
      </w:r>
    </w:p>
    <w:p w:rsidR="00803AC1" w:rsidRPr="0027349E" w:rsidRDefault="00803AC1" w:rsidP="00F911DF">
      <w:pPr>
        <w:spacing w:line="360" w:lineRule="auto"/>
        <w:jc w:val="both"/>
        <w:rPr>
          <w:rFonts w:ascii="David" w:hAnsi="David" w:cs="David"/>
          <w:sz w:val="24"/>
          <w:szCs w:val="24"/>
          <w:rtl/>
        </w:rPr>
      </w:pPr>
      <w:r w:rsidRPr="0027349E">
        <w:rPr>
          <w:rFonts w:ascii="David" w:hAnsi="David" w:cs="David"/>
          <w:sz w:val="24"/>
          <w:szCs w:val="24"/>
          <w:rtl/>
        </w:rPr>
        <w:t>בנק ישראל מפרסם ניתוח</w:t>
      </w:r>
      <w:r w:rsidR="00F911DF" w:rsidRPr="0027349E">
        <w:rPr>
          <w:rFonts w:ascii="David" w:hAnsi="David" w:cs="David"/>
          <w:sz w:val="24"/>
          <w:szCs w:val="24"/>
          <w:rtl/>
        </w:rPr>
        <w:t>, שנעשה ע"י כלכלני חטיבת המחקר של הבנק,</w:t>
      </w:r>
      <w:r w:rsidRPr="0027349E">
        <w:rPr>
          <w:rFonts w:ascii="David" w:hAnsi="David" w:cs="David"/>
          <w:sz w:val="24"/>
          <w:szCs w:val="24"/>
          <w:rtl/>
        </w:rPr>
        <w:t xml:space="preserve"> אודות הערכת ההשלכות של הירידות בשווקי ההון על יציבות </w:t>
      </w:r>
      <w:r w:rsidR="00261803" w:rsidRPr="0027349E">
        <w:rPr>
          <w:rFonts w:ascii="David" w:hAnsi="David" w:cs="David"/>
          <w:sz w:val="24"/>
          <w:szCs w:val="24"/>
          <w:rtl/>
        </w:rPr>
        <w:t xml:space="preserve">מגזר </w:t>
      </w:r>
      <w:r w:rsidRPr="0027349E">
        <w:rPr>
          <w:rFonts w:ascii="David" w:hAnsi="David" w:cs="David"/>
          <w:sz w:val="24"/>
          <w:szCs w:val="24"/>
          <w:rtl/>
        </w:rPr>
        <w:t xml:space="preserve">ההייטק הישראלי. </w:t>
      </w:r>
    </w:p>
    <w:p w:rsidR="00803AC1" w:rsidRPr="0027349E" w:rsidRDefault="00803AC1" w:rsidP="00803AC1">
      <w:pPr>
        <w:spacing w:line="360" w:lineRule="auto"/>
        <w:jc w:val="both"/>
        <w:rPr>
          <w:rFonts w:ascii="David" w:hAnsi="David" w:cs="David"/>
          <w:sz w:val="24"/>
          <w:szCs w:val="24"/>
          <w:rtl/>
        </w:rPr>
      </w:pPr>
      <w:r w:rsidRPr="0027349E">
        <w:rPr>
          <w:rFonts w:ascii="David" w:hAnsi="David" w:cs="David"/>
          <w:sz w:val="24"/>
          <w:szCs w:val="24"/>
          <w:rtl/>
        </w:rPr>
        <w:t>להלן עיקרי הממצאים העולים מהניתוח, ומספר איורים מתוכו. הניתוח המלא מצורף להודעה זו.</w:t>
      </w:r>
    </w:p>
    <w:p w:rsidR="00803AC1" w:rsidRPr="0027349E" w:rsidRDefault="00803AC1" w:rsidP="00803AC1">
      <w:pPr>
        <w:pStyle w:val="a3"/>
        <w:numPr>
          <w:ilvl w:val="0"/>
          <w:numId w:val="1"/>
        </w:numPr>
        <w:spacing w:line="360" w:lineRule="auto"/>
        <w:ind w:left="357" w:hanging="357"/>
        <w:contextualSpacing w:val="0"/>
        <w:jc w:val="both"/>
        <w:rPr>
          <w:rFonts w:ascii="David" w:hAnsi="David" w:cs="David"/>
          <w:sz w:val="24"/>
          <w:szCs w:val="24"/>
        </w:rPr>
      </w:pPr>
      <w:r w:rsidRPr="0027349E">
        <w:rPr>
          <w:rFonts w:ascii="David" w:hAnsi="David" w:cs="David"/>
          <w:sz w:val="24"/>
          <w:szCs w:val="24"/>
          <w:rtl/>
        </w:rPr>
        <w:t>בשנת 2021 היו גיוסי ההון והערכות השווי של חברות ההייטק הישראליות מעל ומעבר למגמה ארוכת הטווח, ומספר שיא של חברות ישראליות הונפקו בבורסה. באותה השנה גם הוסיף לגדול במהירות הביקוש לעובדים בהייטק, ותקבולי המיסים</w:t>
      </w:r>
      <w:r w:rsidR="00795891" w:rsidRPr="0027349E">
        <w:rPr>
          <w:rFonts w:ascii="David" w:hAnsi="David" w:cs="David"/>
          <w:sz w:val="24"/>
          <w:szCs w:val="24"/>
          <w:rtl/>
        </w:rPr>
        <w:t xml:space="preserve"> הודות לפעילות המגזר</w:t>
      </w:r>
      <w:r w:rsidRPr="0027349E">
        <w:rPr>
          <w:rFonts w:ascii="David" w:hAnsi="David" w:cs="David"/>
          <w:sz w:val="24"/>
          <w:szCs w:val="24"/>
          <w:rtl/>
        </w:rPr>
        <w:t xml:space="preserve"> היו גבוהים.</w:t>
      </w:r>
    </w:p>
    <w:p w:rsidR="00803AC1" w:rsidRPr="0027349E" w:rsidRDefault="00803AC1" w:rsidP="00FA7BAF">
      <w:pPr>
        <w:numPr>
          <w:ilvl w:val="0"/>
          <w:numId w:val="1"/>
        </w:numPr>
        <w:spacing w:after="120" w:line="360" w:lineRule="auto"/>
        <w:jc w:val="both"/>
        <w:rPr>
          <w:rFonts w:ascii="David" w:hAnsi="David" w:cs="David"/>
          <w:sz w:val="24"/>
          <w:szCs w:val="24"/>
        </w:rPr>
      </w:pPr>
      <w:r w:rsidRPr="0027349E">
        <w:rPr>
          <w:rFonts w:ascii="David" w:hAnsi="David" w:cs="David"/>
          <w:sz w:val="24"/>
          <w:szCs w:val="24"/>
          <w:rtl/>
        </w:rPr>
        <w:t xml:space="preserve">בתחילת 2022 ירדו מדדי מניות הטכנולוגיה בישראל ובעולם ונחתכו הערכות השווי של חברות. מספר </w:t>
      </w:r>
      <w:r w:rsidR="00261803" w:rsidRPr="0027349E">
        <w:rPr>
          <w:rFonts w:ascii="David" w:hAnsi="David" w:cs="David"/>
          <w:sz w:val="24"/>
          <w:szCs w:val="24"/>
          <w:rtl/>
        </w:rPr>
        <w:t>ה</w:t>
      </w:r>
      <w:r w:rsidRPr="0027349E">
        <w:rPr>
          <w:rFonts w:ascii="David" w:hAnsi="David" w:cs="David"/>
          <w:sz w:val="24"/>
          <w:szCs w:val="24"/>
          <w:rtl/>
        </w:rPr>
        <w:t xml:space="preserve">הנפקות </w:t>
      </w:r>
      <w:r w:rsidR="00FA7BAF" w:rsidRPr="0027349E">
        <w:rPr>
          <w:rFonts w:ascii="David" w:hAnsi="David" w:cs="David"/>
          <w:sz w:val="24"/>
          <w:szCs w:val="24"/>
          <w:rtl/>
        </w:rPr>
        <w:t>ה</w:t>
      </w:r>
      <w:r w:rsidRPr="0027349E">
        <w:rPr>
          <w:rFonts w:ascii="David" w:hAnsi="David" w:cs="David"/>
          <w:sz w:val="24"/>
          <w:szCs w:val="24"/>
          <w:rtl/>
        </w:rPr>
        <w:t>ראשונות</w:t>
      </w:r>
      <w:r w:rsidR="00FA7BAF" w:rsidRPr="0027349E">
        <w:rPr>
          <w:rFonts w:ascii="David" w:hAnsi="David" w:cs="David"/>
          <w:sz w:val="24"/>
          <w:szCs w:val="24"/>
          <w:rtl/>
        </w:rPr>
        <w:t xml:space="preserve"> (</w:t>
      </w:r>
      <w:r w:rsidRPr="0027349E">
        <w:rPr>
          <w:rFonts w:ascii="David" w:hAnsi="David" w:cs="David"/>
          <w:sz w:val="24"/>
          <w:szCs w:val="24"/>
        </w:rPr>
        <w:t>IPO’s</w:t>
      </w:r>
      <w:r w:rsidRPr="0027349E">
        <w:rPr>
          <w:rFonts w:ascii="David" w:hAnsi="David" w:cs="David"/>
          <w:sz w:val="24"/>
          <w:szCs w:val="24"/>
          <w:rtl/>
        </w:rPr>
        <w:t xml:space="preserve">) ירד משמעותית. גיוסי ההון במחצית הראשונה של השנה </w:t>
      </w:r>
      <w:r w:rsidR="00501F19" w:rsidRPr="0027349E">
        <w:rPr>
          <w:rFonts w:ascii="David" w:hAnsi="David" w:cs="David"/>
          <w:sz w:val="24"/>
          <w:szCs w:val="24"/>
          <w:rtl/>
        </w:rPr>
        <w:t>היו</w:t>
      </w:r>
      <w:r w:rsidRPr="0027349E">
        <w:rPr>
          <w:rFonts w:ascii="David" w:hAnsi="David" w:cs="David"/>
          <w:sz w:val="24"/>
          <w:szCs w:val="24"/>
          <w:rtl/>
        </w:rPr>
        <w:t xml:space="preserve"> ברמה גבוהה יחסית לרוב השנים הקודמות, אך נמוכה משהיתה ב-2021, ויש צפי להמשך ההאטה.</w:t>
      </w:r>
    </w:p>
    <w:p w:rsidR="00803AC1" w:rsidRPr="0027349E" w:rsidRDefault="00803AC1" w:rsidP="00803AC1">
      <w:pPr>
        <w:numPr>
          <w:ilvl w:val="0"/>
          <w:numId w:val="1"/>
        </w:numPr>
        <w:spacing w:after="120" w:line="360" w:lineRule="auto"/>
        <w:jc w:val="both"/>
        <w:rPr>
          <w:rFonts w:ascii="David" w:hAnsi="David" w:cs="David"/>
          <w:sz w:val="24"/>
          <w:szCs w:val="24"/>
        </w:rPr>
      </w:pPr>
      <w:r w:rsidRPr="0027349E">
        <w:rPr>
          <w:rFonts w:ascii="David" w:hAnsi="David" w:cs="David"/>
          <w:sz w:val="24"/>
          <w:szCs w:val="24"/>
          <w:rtl/>
        </w:rPr>
        <w:t>ירידה חדה במחירי מניות הטכנולוגיה התרחשה גם במשבר הדוט-קום בתחילת שנות ה-2000, שהיה אירוע קיצון של פגיעה ממושכת בסקטור ההייטק. עם זאת, מגזר ההייטק הישראלי כיום הוא בוגר ומגוון יותר ממה שהיה אז. רק 11% מהמועסקים בהייטק כיום עובדים בחברות הזנק שנמצאות בסיכון הרב ביותר ל</w:t>
      </w:r>
      <w:r w:rsidR="00501F19" w:rsidRPr="0027349E">
        <w:rPr>
          <w:rFonts w:ascii="David" w:hAnsi="David" w:cs="David"/>
          <w:sz w:val="24"/>
          <w:szCs w:val="24"/>
          <w:rtl/>
        </w:rPr>
        <w:t>פגיעה ב</w:t>
      </w:r>
      <w:r w:rsidRPr="0027349E">
        <w:rPr>
          <w:rFonts w:ascii="David" w:hAnsi="David" w:cs="David"/>
          <w:sz w:val="24"/>
          <w:szCs w:val="24"/>
          <w:rtl/>
        </w:rPr>
        <w:t>פעילות</w:t>
      </w:r>
      <w:r w:rsidR="00501F19" w:rsidRPr="0027349E">
        <w:rPr>
          <w:rFonts w:ascii="David" w:hAnsi="David" w:cs="David"/>
          <w:sz w:val="24"/>
          <w:szCs w:val="24"/>
          <w:rtl/>
        </w:rPr>
        <w:t>ן</w:t>
      </w:r>
      <w:r w:rsidRPr="0027349E">
        <w:rPr>
          <w:rFonts w:ascii="David" w:hAnsi="David" w:cs="David"/>
          <w:sz w:val="24"/>
          <w:szCs w:val="24"/>
          <w:rtl/>
        </w:rPr>
        <w:t xml:space="preserve"> עקב האטה בגיוסי ההון.</w:t>
      </w:r>
    </w:p>
    <w:p w:rsidR="00803AC1" w:rsidRPr="0027349E" w:rsidRDefault="00803AC1" w:rsidP="00803AC1">
      <w:pPr>
        <w:pStyle w:val="a3"/>
        <w:numPr>
          <w:ilvl w:val="0"/>
          <w:numId w:val="1"/>
        </w:numPr>
        <w:spacing w:before="100" w:beforeAutospacing="1" w:after="100" w:afterAutospacing="1" w:line="360" w:lineRule="auto"/>
        <w:jc w:val="both"/>
        <w:rPr>
          <w:rFonts w:ascii="David" w:hAnsi="David" w:cs="David"/>
          <w:sz w:val="24"/>
          <w:szCs w:val="24"/>
        </w:rPr>
      </w:pPr>
      <w:r w:rsidRPr="0027349E">
        <w:rPr>
          <w:rFonts w:ascii="David" w:hAnsi="David" w:cs="David"/>
          <w:sz w:val="24"/>
          <w:szCs w:val="24"/>
          <w:rtl/>
        </w:rPr>
        <w:t>בשנתיים האחרונות (2020, 2021) מדד הנאסד"ק אמנם עלה בשיעורים חריגים של 28% ו-40% בשנה בהתאמה, אך תוצר מגזר ההייטק צמח באופן יציב למדי</w:t>
      </w:r>
      <w:r w:rsidR="00907AB7" w:rsidRPr="0027349E">
        <w:rPr>
          <w:rFonts w:ascii="David" w:hAnsi="David" w:cs="David"/>
          <w:sz w:val="24"/>
          <w:szCs w:val="24"/>
          <w:rtl/>
        </w:rPr>
        <w:t xml:space="preserve">, בשיעור שנתי ממוצע של 6%. בשל </w:t>
      </w:r>
      <w:r w:rsidRPr="0027349E">
        <w:rPr>
          <w:rFonts w:ascii="David" w:hAnsi="David" w:cs="David"/>
          <w:sz w:val="24"/>
          <w:szCs w:val="24"/>
          <w:rtl/>
        </w:rPr>
        <w:t>יציבות צמיחת ההייטק בעשור האחרון, והיחלשות הקשר בין הפעילות הריאלית והפיננסית של המגזר בהשוואה לתקופת משבר הדוט-קום, הסבירות לכך שהירידה בשווקים תביא לפגיעה בפעילות הריאלית של ההייטק בסדר גודל דומה לתחילת שנות ה-2000, אינה גבוהה.</w:t>
      </w:r>
    </w:p>
    <w:p w:rsidR="00803AC1" w:rsidRPr="0027349E" w:rsidRDefault="00803AC1" w:rsidP="00501F19">
      <w:pPr>
        <w:numPr>
          <w:ilvl w:val="0"/>
          <w:numId w:val="1"/>
        </w:numPr>
        <w:spacing w:after="120" w:line="360" w:lineRule="auto"/>
        <w:jc w:val="both"/>
        <w:rPr>
          <w:rFonts w:ascii="David" w:hAnsi="David" w:cs="David"/>
          <w:sz w:val="24"/>
          <w:szCs w:val="24"/>
        </w:rPr>
      </w:pPr>
      <w:r w:rsidRPr="0027349E">
        <w:rPr>
          <w:rFonts w:ascii="David" w:hAnsi="David" w:cs="David"/>
          <w:sz w:val="24"/>
          <w:szCs w:val="24"/>
          <w:rtl/>
        </w:rPr>
        <w:t>בטווח הקצר, הביטוי הריאלי של ההתפתחויות הפיננסיות צפוי להיות: (1) ירידה בהכנסות המדינה ממיסים, בעיקר בהכנסות בגין מימוש רווחי הון; (2) האטה אפשרית בגיוסי עובדים ובלימה של עליות השכר בקרב מרבית הפירמות; (3) עליית השכיחות של סגירת פירמות עם קשיי נזילות. הירידה בשווקים שהתרחשה מתחילת השנה צפויה להקטין את המרות המט</w:t>
      </w:r>
      <w:r w:rsidR="00501F19" w:rsidRPr="0027349E">
        <w:rPr>
          <w:rFonts w:ascii="David" w:hAnsi="David" w:cs="David"/>
          <w:sz w:val="24"/>
          <w:szCs w:val="24"/>
          <w:rtl/>
        </w:rPr>
        <w:t xml:space="preserve">"ח </w:t>
      </w:r>
      <w:r w:rsidR="00501F19" w:rsidRPr="0027349E">
        <w:rPr>
          <w:rFonts w:ascii="David" w:hAnsi="David" w:cs="David"/>
          <w:sz w:val="24"/>
          <w:szCs w:val="24"/>
          <w:rtl/>
        </w:rPr>
        <w:lastRenderedPageBreak/>
        <w:t>על ידי חברות הייטק מקומיות</w:t>
      </w:r>
      <w:r w:rsidRPr="0027349E">
        <w:rPr>
          <w:rFonts w:ascii="David" w:hAnsi="David" w:cs="David"/>
          <w:sz w:val="24"/>
          <w:szCs w:val="24"/>
          <w:rtl/>
        </w:rPr>
        <w:t xml:space="preserve"> </w:t>
      </w:r>
      <w:r w:rsidR="00501F19" w:rsidRPr="0027349E">
        <w:rPr>
          <w:rFonts w:ascii="David" w:hAnsi="David" w:cs="David"/>
          <w:sz w:val="24"/>
          <w:szCs w:val="24"/>
          <w:rtl/>
        </w:rPr>
        <w:t>ו</w:t>
      </w:r>
      <w:r w:rsidRPr="0027349E">
        <w:rPr>
          <w:rFonts w:ascii="David" w:hAnsi="David" w:cs="David"/>
          <w:sz w:val="24"/>
          <w:szCs w:val="24"/>
          <w:rtl/>
        </w:rPr>
        <w:t xml:space="preserve">על פי אמידה שערכנו, </w:t>
      </w:r>
      <w:r w:rsidR="00501F19" w:rsidRPr="0027349E">
        <w:rPr>
          <w:rFonts w:ascii="David" w:hAnsi="David" w:cs="David"/>
          <w:sz w:val="24"/>
          <w:szCs w:val="24"/>
          <w:rtl/>
        </w:rPr>
        <w:t>ה</w:t>
      </w:r>
      <w:r w:rsidRPr="0027349E">
        <w:rPr>
          <w:rFonts w:ascii="David" w:hAnsi="David" w:cs="David"/>
          <w:sz w:val="24"/>
          <w:szCs w:val="24"/>
          <w:rtl/>
        </w:rPr>
        <w:t xml:space="preserve">ירידה </w:t>
      </w:r>
      <w:r w:rsidR="00501F19" w:rsidRPr="0027349E">
        <w:rPr>
          <w:rFonts w:ascii="David" w:hAnsi="David" w:cs="David"/>
          <w:sz w:val="24"/>
          <w:szCs w:val="24"/>
          <w:rtl/>
        </w:rPr>
        <w:t>עלולה להסתכם</w:t>
      </w:r>
      <w:r w:rsidRPr="0027349E">
        <w:rPr>
          <w:rFonts w:ascii="David" w:hAnsi="David" w:cs="David"/>
          <w:sz w:val="24"/>
          <w:szCs w:val="24"/>
          <w:rtl/>
        </w:rPr>
        <w:t xml:space="preserve"> </w:t>
      </w:r>
      <w:r w:rsidR="00501F19" w:rsidRPr="0027349E">
        <w:rPr>
          <w:rFonts w:ascii="David" w:hAnsi="David" w:cs="David"/>
          <w:sz w:val="24"/>
          <w:szCs w:val="24"/>
          <w:rtl/>
        </w:rPr>
        <w:t>ב</w:t>
      </w:r>
      <w:r w:rsidRPr="0027349E">
        <w:rPr>
          <w:rFonts w:ascii="David" w:hAnsi="David" w:cs="David"/>
          <w:sz w:val="24"/>
          <w:szCs w:val="24"/>
          <w:rtl/>
        </w:rPr>
        <w:t>כ-700 מיליון דולר, שהם 0.16% מהתוצר הנומינלי, בהשוואה למצב בו הנאסד"ק היה נשאר בשיא של סוף 2021.</w:t>
      </w:r>
    </w:p>
    <w:p w:rsidR="00803AC1" w:rsidRPr="0027349E" w:rsidRDefault="00803AC1" w:rsidP="00803AC1">
      <w:pPr>
        <w:numPr>
          <w:ilvl w:val="0"/>
          <w:numId w:val="1"/>
        </w:numPr>
        <w:spacing w:before="240" w:after="0" w:line="360" w:lineRule="auto"/>
        <w:jc w:val="both"/>
        <w:rPr>
          <w:rFonts w:ascii="David" w:hAnsi="David" w:cs="David"/>
          <w:sz w:val="24"/>
          <w:szCs w:val="24"/>
        </w:rPr>
      </w:pPr>
      <w:r w:rsidRPr="0027349E">
        <w:rPr>
          <w:rFonts w:ascii="David" w:hAnsi="David" w:cs="David"/>
          <w:sz w:val="24"/>
          <w:szCs w:val="24"/>
          <w:rtl/>
        </w:rPr>
        <w:t xml:space="preserve">מכיוון שבשנים האחרונות ההייטק הישראלי מאופיין בביקוש גבוה לעובדים ובמחסור בכח אדם מיומן, סביר כי פגיעה בתעסוקה בחלק מהחברות במגזר תתבטא בעיקר במעבר עובדים לפירמות יציבות יותר ופחות באבטלה ממושכת. </w:t>
      </w:r>
    </w:p>
    <w:p w:rsidR="00803AC1" w:rsidRPr="0027349E" w:rsidRDefault="00803AC1" w:rsidP="00501F19">
      <w:pPr>
        <w:pStyle w:val="a3"/>
        <w:numPr>
          <w:ilvl w:val="0"/>
          <w:numId w:val="1"/>
        </w:numPr>
        <w:spacing w:before="240" w:after="0" w:line="360" w:lineRule="auto"/>
        <w:jc w:val="both"/>
        <w:rPr>
          <w:rFonts w:ascii="David" w:hAnsi="David" w:cs="David"/>
          <w:sz w:val="24"/>
          <w:szCs w:val="24"/>
        </w:rPr>
      </w:pPr>
      <w:r w:rsidRPr="0027349E">
        <w:rPr>
          <w:rFonts w:ascii="David" w:hAnsi="David" w:cs="David"/>
          <w:sz w:val="24"/>
          <w:szCs w:val="24"/>
          <w:rtl/>
        </w:rPr>
        <w:t xml:space="preserve">בטווח הבינוני, ככל שתאט הפעילות הכלכלית העולמית, ישנם שני סיכונים עיקריים לפעילות של מגזר ההייטק: (1) ירידת ביקושים למוצרי ושירותי מגזר ההייטק, עקב האטה בצמיחה הכלכלית ומיצוי הגידול בביקושים בהשפעת הקורונה; (2) האטה בצמיחת </w:t>
      </w:r>
      <w:r w:rsidR="00501F19" w:rsidRPr="0027349E">
        <w:rPr>
          <w:rFonts w:ascii="David" w:hAnsi="David" w:cs="David"/>
          <w:sz w:val="24"/>
          <w:szCs w:val="24"/>
          <w:rtl/>
        </w:rPr>
        <w:t>המגזר</w:t>
      </w:r>
      <w:r w:rsidRPr="0027349E">
        <w:rPr>
          <w:rFonts w:ascii="David" w:hAnsi="David" w:cs="David"/>
          <w:sz w:val="24"/>
          <w:szCs w:val="24"/>
          <w:rtl/>
        </w:rPr>
        <w:t xml:space="preserve"> בשל ירידה מתמשכת בזמינות ההון, במקרה של התמשכות ירידות השערים של מניות הטכנולוגיה. </w:t>
      </w:r>
    </w:p>
    <w:p w:rsidR="00803AC1" w:rsidRPr="0027349E" w:rsidRDefault="00803AC1" w:rsidP="00803AC1">
      <w:pPr>
        <w:spacing w:line="360" w:lineRule="auto"/>
        <w:jc w:val="both"/>
        <w:rPr>
          <w:rFonts w:ascii="David" w:hAnsi="David" w:cs="David"/>
          <w:noProof/>
          <w:sz w:val="24"/>
          <w:szCs w:val="24"/>
          <w:rtl/>
        </w:rPr>
      </w:pPr>
    </w:p>
    <w:p w:rsidR="00140837" w:rsidRPr="0027349E" w:rsidRDefault="00140837" w:rsidP="00803AC1">
      <w:pPr>
        <w:spacing w:line="360" w:lineRule="auto"/>
        <w:jc w:val="both"/>
        <w:rPr>
          <w:rFonts w:ascii="David" w:hAnsi="David" w:cs="David"/>
          <w:sz w:val="24"/>
          <w:szCs w:val="24"/>
          <w:rtl/>
        </w:rPr>
      </w:pPr>
      <w:r w:rsidRPr="0027349E">
        <w:rPr>
          <w:rFonts w:ascii="David" w:hAnsi="David" w:cs="David"/>
          <w:noProof/>
          <w:sz w:val="24"/>
          <w:szCs w:val="24"/>
        </w:rPr>
        <w:drawing>
          <wp:inline distT="0" distB="0" distL="0" distR="0" wp14:anchorId="0AB68799">
            <wp:extent cx="5041900" cy="3060700"/>
            <wp:effectExtent l="0" t="0" r="635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0" cy="3060700"/>
                    </a:xfrm>
                    <a:prstGeom prst="rect">
                      <a:avLst/>
                    </a:prstGeom>
                    <a:noFill/>
                  </pic:spPr>
                </pic:pic>
              </a:graphicData>
            </a:graphic>
          </wp:inline>
        </w:drawing>
      </w:r>
    </w:p>
    <w:p w:rsidR="00140837" w:rsidRPr="0027349E" w:rsidRDefault="00140837" w:rsidP="00803AC1">
      <w:pPr>
        <w:spacing w:line="360" w:lineRule="auto"/>
        <w:jc w:val="both"/>
        <w:rPr>
          <w:rFonts w:ascii="David" w:hAnsi="David" w:cs="David"/>
          <w:sz w:val="24"/>
          <w:szCs w:val="24"/>
          <w:rtl/>
        </w:rPr>
      </w:pPr>
      <w:r w:rsidRPr="0027349E">
        <w:rPr>
          <w:rFonts w:ascii="David" w:hAnsi="David" w:cs="David"/>
          <w:noProof/>
          <w:sz w:val="24"/>
          <w:szCs w:val="24"/>
        </w:rPr>
        <w:lastRenderedPageBreak/>
        <w:drawing>
          <wp:inline distT="0" distB="0" distL="0" distR="0" wp14:anchorId="14205074">
            <wp:extent cx="5053965" cy="309118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965" cy="3091180"/>
                    </a:xfrm>
                    <a:prstGeom prst="rect">
                      <a:avLst/>
                    </a:prstGeom>
                    <a:noFill/>
                  </pic:spPr>
                </pic:pic>
              </a:graphicData>
            </a:graphic>
          </wp:inline>
        </w:drawing>
      </w:r>
    </w:p>
    <w:p w:rsidR="00803AC1" w:rsidRPr="0027349E" w:rsidRDefault="00803AC1" w:rsidP="00803AC1">
      <w:pPr>
        <w:spacing w:line="360" w:lineRule="auto"/>
        <w:jc w:val="both"/>
        <w:rPr>
          <w:rFonts w:ascii="David" w:hAnsi="David" w:cs="David"/>
          <w:sz w:val="24"/>
          <w:szCs w:val="24"/>
          <w:rtl/>
        </w:rPr>
      </w:pPr>
    </w:p>
    <w:p w:rsidR="00803AC1" w:rsidRPr="00E17AB5" w:rsidRDefault="00803AC1"/>
    <w:sectPr w:rsidR="00803AC1" w:rsidRPr="00E17AB5" w:rsidSect="0069557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B9" w:rsidRDefault="00DF32B9" w:rsidP="00CD7CBB">
      <w:pPr>
        <w:spacing w:after="0" w:line="240" w:lineRule="auto"/>
      </w:pPr>
      <w:r>
        <w:separator/>
      </w:r>
    </w:p>
  </w:endnote>
  <w:endnote w:type="continuationSeparator" w:id="0">
    <w:p w:rsidR="00DF32B9" w:rsidRDefault="00DF32B9" w:rsidP="00CD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BB" w:rsidRDefault="00CD7CB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BB" w:rsidRDefault="00CD7CB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BB" w:rsidRDefault="00CD7CB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B9" w:rsidRDefault="00DF32B9" w:rsidP="00CD7CBB">
      <w:pPr>
        <w:spacing w:after="0" w:line="240" w:lineRule="auto"/>
      </w:pPr>
      <w:r>
        <w:separator/>
      </w:r>
    </w:p>
  </w:footnote>
  <w:footnote w:type="continuationSeparator" w:id="0">
    <w:p w:rsidR="00DF32B9" w:rsidRDefault="00DF32B9" w:rsidP="00CD7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BB" w:rsidRDefault="00CD7CB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BB" w:rsidRDefault="00CD7CB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BB" w:rsidRDefault="00CD7CB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232CF"/>
    <w:multiLevelType w:val="hybridMultilevel"/>
    <w:tmpl w:val="F32C8CE4"/>
    <w:lvl w:ilvl="0" w:tplc="CCBCF8A8">
      <w:start w:val="1"/>
      <w:numFmt w:val="bullet"/>
      <w:lvlText w:val=""/>
      <w:lvlJc w:val="left"/>
      <w:pPr>
        <w:ind w:left="360" w:hanging="360"/>
      </w:pPr>
      <w:rPr>
        <w:rFonts w:ascii="Symbol" w:eastAsiaTheme="minorHAnsi" w:hAnsi="Symbol" w:cs="Gish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C1"/>
    <w:rsid w:val="0002347F"/>
    <w:rsid w:val="00040A7F"/>
    <w:rsid w:val="00057418"/>
    <w:rsid w:val="00065B9B"/>
    <w:rsid w:val="000727FD"/>
    <w:rsid w:val="00084B5A"/>
    <w:rsid w:val="000857B7"/>
    <w:rsid w:val="00095555"/>
    <w:rsid w:val="000A5329"/>
    <w:rsid w:val="000D2157"/>
    <w:rsid w:val="000D5445"/>
    <w:rsid w:val="000E7ED2"/>
    <w:rsid w:val="00100012"/>
    <w:rsid w:val="00113BC9"/>
    <w:rsid w:val="00115277"/>
    <w:rsid w:val="00115FEF"/>
    <w:rsid w:val="00140837"/>
    <w:rsid w:val="00151A07"/>
    <w:rsid w:val="00156135"/>
    <w:rsid w:val="00162DCC"/>
    <w:rsid w:val="00166DBC"/>
    <w:rsid w:val="00180C81"/>
    <w:rsid w:val="00184E4C"/>
    <w:rsid w:val="0019079B"/>
    <w:rsid w:val="001A2670"/>
    <w:rsid w:val="001A53CE"/>
    <w:rsid w:val="001B05C6"/>
    <w:rsid w:val="001B28C8"/>
    <w:rsid w:val="001B5E43"/>
    <w:rsid w:val="001C194B"/>
    <w:rsid w:val="001C7D79"/>
    <w:rsid w:val="001D5E62"/>
    <w:rsid w:val="001E0275"/>
    <w:rsid w:val="001E2886"/>
    <w:rsid w:val="001F2BE7"/>
    <w:rsid w:val="00223D37"/>
    <w:rsid w:val="00225BDF"/>
    <w:rsid w:val="00245BA3"/>
    <w:rsid w:val="00261803"/>
    <w:rsid w:val="00265657"/>
    <w:rsid w:val="0027349E"/>
    <w:rsid w:val="00275FE8"/>
    <w:rsid w:val="00297F94"/>
    <w:rsid w:val="002A2E4C"/>
    <w:rsid w:val="002A3CC4"/>
    <w:rsid w:val="002B7877"/>
    <w:rsid w:val="002C05A5"/>
    <w:rsid w:val="002C754F"/>
    <w:rsid w:val="002D05CB"/>
    <w:rsid w:val="002D7AA8"/>
    <w:rsid w:val="002E5F96"/>
    <w:rsid w:val="002F6796"/>
    <w:rsid w:val="00301F96"/>
    <w:rsid w:val="0031701E"/>
    <w:rsid w:val="0032792A"/>
    <w:rsid w:val="003552BD"/>
    <w:rsid w:val="003641E2"/>
    <w:rsid w:val="00370E6F"/>
    <w:rsid w:val="0037101B"/>
    <w:rsid w:val="00375149"/>
    <w:rsid w:val="003C2931"/>
    <w:rsid w:val="003F01E4"/>
    <w:rsid w:val="003F57B2"/>
    <w:rsid w:val="00407D90"/>
    <w:rsid w:val="004537A7"/>
    <w:rsid w:val="004561A3"/>
    <w:rsid w:val="00460DDF"/>
    <w:rsid w:val="004A120F"/>
    <w:rsid w:val="004A32D7"/>
    <w:rsid w:val="004C6182"/>
    <w:rsid w:val="004C7925"/>
    <w:rsid w:val="004F5E3C"/>
    <w:rsid w:val="00501F19"/>
    <w:rsid w:val="00567B1A"/>
    <w:rsid w:val="0057422C"/>
    <w:rsid w:val="005A52A2"/>
    <w:rsid w:val="005D5F2B"/>
    <w:rsid w:val="00632CD2"/>
    <w:rsid w:val="006344CC"/>
    <w:rsid w:val="00640309"/>
    <w:rsid w:val="00660075"/>
    <w:rsid w:val="006811C3"/>
    <w:rsid w:val="006907D5"/>
    <w:rsid w:val="0069557C"/>
    <w:rsid w:val="00715D7F"/>
    <w:rsid w:val="007172E4"/>
    <w:rsid w:val="00737090"/>
    <w:rsid w:val="00780795"/>
    <w:rsid w:val="00783F55"/>
    <w:rsid w:val="007916D5"/>
    <w:rsid w:val="0079406F"/>
    <w:rsid w:val="00795891"/>
    <w:rsid w:val="00797111"/>
    <w:rsid w:val="007A25C0"/>
    <w:rsid w:val="007A2A08"/>
    <w:rsid w:val="007B2299"/>
    <w:rsid w:val="007B2E35"/>
    <w:rsid w:val="00803AC1"/>
    <w:rsid w:val="00803D2A"/>
    <w:rsid w:val="008137A5"/>
    <w:rsid w:val="00832597"/>
    <w:rsid w:val="008371BA"/>
    <w:rsid w:val="008466F0"/>
    <w:rsid w:val="00850CC4"/>
    <w:rsid w:val="00886388"/>
    <w:rsid w:val="008B3199"/>
    <w:rsid w:val="008C4A46"/>
    <w:rsid w:val="008C706D"/>
    <w:rsid w:val="008E2484"/>
    <w:rsid w:val="008F0B52"/>
    <w:rsid w:val="008F617A"/>
    <w:rsid w:val="00907AB7"/>
    <w:rsid w:val="00914AC1"/>
    <w:rsid w:val="00965C79"/>
    <w:rsid w:val="009765C7"/>
    <w:rsid w:val="00984B1A"/>
    <w:rsid w:val="009A089E"/>
    <w:rsid w:val="009B2E19"/>
    <w:rsid w:val="009C6D0D"/>
    <w:rsid w:val="009E2FD2"/>
    <w:rsid w:val="00A076E6"/>
    <w:rsid w:val="00A13844"/>
    <w:rsid w:val="00A6309F"/>
    <w:rsid w:val="00A678C6"/>
    <w:rsid w:val="00A730E0"/>
    <w:rsid w:val="00A8460D"/>
    <w:rsid w:val="00A92A3D"/>
    <w:rsid w:val="00AB37A4"/>
    <w:rsid w:val="00AC35CD"/>
    <w:rsid w:val="00AF1FA7"/>
    <w:rsid w:val="00B071B6"/>
    <w:rsid w:val="00B13490"/>
    <w:rsid w:val="00B70E6F"/>
    <w:rsid w:val="00B91BF0"/>
    <w:rsid w:val="00BB6985"/>
    <w:rsid w:val="00BD0783"/>
    <w:rsid w:val="00BD17EF"/>
    <w:rsid w:val="00BF4F97"/>
    <w:rsid w:val="00C02512"/>
    <w:rsid w:val="00C22737"/>
    <w:rsid w:val="00C25C86"/>
    <w:rsid w:val="00C36D00"/>
    <w:rsid w:val="00C463C1"/>
    <w:rsid w:val="00C46931"/>
    <w:rsid w:val="00C47A89"/>
    <w:rsid w:val="00C73E6B"/>
    <w:rsid w:val="00C85D4E"/>
    <w:rsid w:val="00CA2ACF"/>
    <w:rsid w:val="00CB5C9F"/>
    <w:rsid w:val="00CB74C6"/>
    <w:rsid w:val="00CD11DB"/>
    <w:rsid w:val="00CD2037"/>
    <w:rsid w:val="00CD7CBB"/>
    <w:rsid w:val="00D004D1"/>
    <w:rsid w:val="00D06884"/>
    <w:rsid w:val="00D15579"/>
    <w:rsid w:val="00D45541"/>
    <w:rsid w:val="00D53BFE"/>
    <w:rsid w:val="00D57B96"/>
    <w:rsid w:val="00D747A1"/>
    <w:rsid w:val="00DC23E1"/>
    <w:rsid w:val="00DC727C"/>
    <w:rsid w:val="00DF32B9"/>
    <w:rsid w:val="00DF4B57"/>
    <w:rsid w:val="00E17AB5"/>
    <w:rsid w:val="00E22BAA"/>
    <w:rsid w:val="00E52D98"/>
    <w:rsid w:val="00E52DAA"/>
    <w:rsid w:val="00E566ED"/>
    <w:rsid w:val="00E731F0"/>
    <w:rsid w:val="00E84228"/>
    <w:rsid w:val="00EB67BC"/>
    <w:rsid w:val="00ED67BE"/>
    <w:rsid w:val="00EF41BE"/>
    <w:rsid w:val="00F11065"/>
    <w:rsid w:val="00F40307"/>
    <w:rsid w:val="00F565B1"/>
    <w:rsid w:val="00F571F9"/>
    <w:rsid w:val="00F911DF"/>
    <w:rsid w:val="00FA7BAF"/>
    <w:rsid w:val="00FB3D7B"/>
    <w:rsid w:val="00FB6F6A"/>
    <w:rsid w:val="00FC67CB"/>
    <w:rsid w:val="00FD61EB"/>
    <w:rsid w:val="00FE33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AC1"/>
    <w:pPr>
      <w:spacing w:after="120"/>
      <w:ind w:left="720"/>
      <w:contextualSpacing/>
    </w:pPr>
  </w:style>
  <w:style w:type="paragraph" w:styleId="a4">
    <w:name w:val="Balloon Text"/>
    <w:basedOn w:val="a"/>
    <w:link w:val="a5"/>
    <w:uiPriority w:val="99"/>
    <w:semiHidden/>
    <w:unhideWhenUsed/>
    <w:rsid w:val="00F911DF"/>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F911DF"/>
    <w:rPr>
      <w:rFonts w:ascii="Tahoma" w:hAnsi="Tahoma" w:cs="Tahoma"/>
      <w:sz w:val="18"/>
      <w:szCs w:val="18"/>
    </w:rPr>
  </w:style>
  <w:style w:type="paragraph" w:styleId="a6">
    <w:name w:val="header"/>
    <w:basedOn w:val="a"/>
    <w:link w:val="a7"/>
    <w:uiPriority w:val="99"/>
    <w:unhideWhenUsed/>
    <w:rsid w:val="00CD7CBB"/>
    <w:pPr>
      <w:tabs>
        <w:tab w:val="center" w:pos="4153"/>
        <w:tab w:val="right" w:pos="8306"/>
      </w:tabs>
      <w:spacing w:after="0" w:line="240" w:lineRule="auto"/>
    </w:pPr>
  </w:style>
  <w:style w:type="character" w:customStyle="1" w:styleId="a7">
    <w:name w:val="כותרת עליונה תו"/>
    <w:basedOn w:val="a0"/>
    <w:link w:val="a6"/>
    <w:uiPriority w:val="99"/>
    <w:rsid w:val="00CD7CBB"/>
  </w:style>
  <w:style w:type="paragraph" w:styleId="a8">
    <w:name w:val="footer"/>
    <w:basedOn w:val="a"/>
    <w:link w:val="a9"/>
    <w:uiPriority w:val="99"/>
    <w:unhideWhenUsed/>
    <w:rsid w:val="00CD7CBB"/>
    <w:pPr>
      <w:tabs>
        <w:tab w:val="center" w:pos="4153"/>
        <w:tab w:val="right" w:pos="8306"/>
      </w:tabs>
      <w:spacing w:after="0" w:line="240" w:lineRule="auto"/>
    </w:pPr>
  </w:style>
  <w:style w:type="character" w:customStyle="1" w:styleId="a9">
    <w:name w:val="כותרת תחתונה תו"/>
    <w:basedOn w:val="a0"/>
    <w:link w:val="a8"/>
    <w:uiPriority w:val="99"/>
    <w:rsid w:val="00CD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d6bf6acce4154f388381f02a0ca065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34d201169bab8aabb3a472c31f12039"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Props1.xml><?xml version="1.0" encoding="utf-8"?>
<ds:datastoreItem xmlns:ds="http://schemas.openxmlformats.org/officeDocument/2006/customXml" ds:itemID="{3A10B45A-7814-4A6B-ADB4-E8D92B9F1988}"/>
</file>

<file path=customXml/itemProps2.xml><?xml version="1.0" encoding="utf-8"?>
<ds:datastoreItem xmlns:ds="http://schemas.openxmlformats.org/officeDocument/2006/customXml" ds:itemID="{00E6ED09-8342-49A7-B4FF-D4C1396C7716}"/>
</file>

<file path=customXml/itemProps3.xml><?xml version="1.0" encoding="utf-8"?>
<ds:datastoreItem xmlns:ds="http://schemas.openxmlformats.org/officeDocument/2006/customXml" ds:itemID="{67D88397-4509-4470-B49D-FBED4586F1CA}"/>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2140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2022-08-08T09:38:00Z</dcterms:created>
  <dcterms:modified xsi:type="dcterms:W3CDTF">2022-08-08T09:38:00Z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