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7948" w:type="dxa"/>
        <w:jc w:val="center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649"/>
        <w:gridCol w:w="2422"/>
        <w:gridCol w:w="2877"/>
      </w:tblGrid>
      <w:tr w:rsidR="000F4127" w:rsidRPr="00DB4CA2" w:rsidTr="00B94C48">
        <w:trPr>
          <w:trHeight w:val="1863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27" w:rsidRPr="00DB4CA2" w:rsidRDefault="000F4127" w:rsidP="0096339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B4CA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 ישראל</w:t>
            </w:r>
          </w:p>
          <w:p w:rsidR="000F4127" w:rsidRPr="00DB4CA2" w:rsidRDefault="000F4127" w:rsidP="00963390">
            <w:pPr>
              <w:spacing w:line="360" w:lineRule="auto"/>
              <w:ind w:right="-101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DB4CA2">
              <w:rPr>
                <w:rFonts w:ascii="David" w:hAnsi="David"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0F4127" w:rsidRPr="00DB4CA2" w:rsidRDefault="000F4127" w:rsidP="00963390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DB4CA2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 wp14:anchorId="59AFD356" wp14:editId="494B7E02">
                  <wp:extent cx="887105" cy="887105"/>
                  <wp:effectExtent l="0" t="0" r="8255" b="8255"/>
                  <wp:docPr id="4" name="תמונה 4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34r\AppData\Local\Microsoft\Windows\Temporary Internet Files\Content.Word\תמונת לוגו חד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0" cy="88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27" w:rsidRPr="000C6B88" w:rsidRDefault="000F4127" w:rsidP="000C6B88">
            <w:pPr>
              <w:bidi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 w:rsidRPr="000F4127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‏</w:t>
            </w:r>
            <w:r w:rsidRPr="000C6B88">
              <w:rPr>
                <w:rFonts w:ascii="David" w:hAnsi="David" w:cs="David"/>
                <w:sz w:val="24"/>
                <w:szCs w:val="24"/>
                <w:rtl/>
              </w:rPr>
              <w:t>ירושלים,</w:t>
            </w:r>
            <w:r w:rsidR="000C6B88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0C6B88">
              <w:rPr>
                <w:rFonts w:ascii="David" w:hAnsi="David" w:cs="David"/>
                <w:sz w:val="24"/>
                <w:szCs w:val="24"/>
                <w:rtl/>
              </w:rPr>
              <w:fldChar w:fldCharType="begin"/>
            </w:r>
            <w:r w:rsidR="000C6B88"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 w:rsidR="000C6B88">
              <w:rPr>
                <w:rFonts w:ascii="David" w:hAnsi="David" w:cs="David" w:hint="cs"/>
                <w:sz w:val="24"/>
                <w:szCs w:val="24"/>
              </w:rPr>
              <w:instrText>DATE</w:instrText>
            </w:r>
            <w:r w:rsidR="000C6B88">
              <w:rPr>
                <w:rFonts w:ascii="David" w:hAnsi="David" w:cs="David" w:hint="cs"/>
                <w:sz w:val="24"/>
                <w:szCs w:val="24"/>
                <w:rtl/>
              </w:rPr>
              <w:instrText xml:space="preserve"> \@ "</w:instrText>
            </w:r>
            <w:r w:rsidR="000C6B88">
              <w:rPr>
                <w:rFonts w:ascii="David" w:hAnsi="David" w:cs="David" w:hint="cs"/>
                <w:sz w:val="24"/>
                <w:szCs w:val="24"/>
              </w:rPr>
              <w:instrText>d MMMM, yyyy" \h</w:instrText>
            </w:r>
            <w:r w:rsidR="000C6B88"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 w:rsidR="000C6B88"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 w:rsidR="006A2E41">
              <w:rPr>
                <w:rFonts w:ascii="David" w:hAnsi="David" w:cs="David"/>
                <w:noProof/>
                <w:sz w:val="24"/>
                <w:szCs w:val="24"/>
                <w:rtl/>
              </w:rPr>
              <w:t>‏ו' כסלו, תשפ"ד</w:t>
            </w:r>
            <w:r w:rsidR="000C6B88"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r w:rsidRPr="000C6B8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0F4127" w:rsidRPr="000F4127" w:rsidRDefault="000F4127" w:rsidP="0090698B">
            <w:pPr>
              <w:bidi w:val="0"/>
              <w:spacing w:line="480" w:lineRule="auto"/>
              <w:rPr>
                <w:rFonts w:ascii="David" w:hAnsi="David" w:cs="David"/>
                <w:sz w:val="24"/>
                <w:szCs w:val="24"/>
                <w:highlight w:val="yellow"/>
              </w:rPr>
            </w:pPr>
            <w:r w:rsidRPr="000C6B8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90698B" w:rsidRPr="000C6B88">
              <w:rPr>
                <w:rFonts w:ascii="David" w:hAnsi="David" w:cs="David" w:hint="cs"/>
                <w:sz w:val="24"/>
                <w:szCs w:val="24"/>
                <w:rtl/>
              </w:rPr>
              <w:t xml:space="preserve">19 </w:t>
            </w:r>
            <w:r w:rsidR="005571E3" w:rsidRPr="000C6B88">
              <w:rPr>
                <w:rFonts w:ascii="David" w:hAnsi="David" w:cs="David" w:hint="cs"/>
                <w:sz w:val="24"/>
                <w:szCs w:val="24"/>
                <w:rtl/>
              </w:rPr>
              <w:t xml:space="preserve">בנובמבר </w:t>
            </w:r>
            <w:r w:rsidRPr="000C6B88">
              <w:rPr>
                <w:rFonts w:ascii="David" w:hAnsi="David" w:cs="David" w:hint="cs"/>
                <w:sz w:val="24"/>
                <w:szCs w:val="24"/>
                <w:rtl/>
              </w:rPr>
              <w:t>2023</w:t>
            </w:r>
          </w:p>
        </w:tc>
      </w:tr>
    </w:tbl>
    <w:p w:rsidR="000F4127" w:rsidRDefault="000F4127" w:rsidP="000F412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הודעה לעיתונות:</w:t>
      </w:r>
    </w:p>
    <w:p w:rsidR="005D751F" w:rsidRDefault="005D751F" w:rsidP="005D751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D82735" w:rsidRPr="005E40E2" w:rsidRDefault="00B86CE8" w:rsidP="0052141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E40E2">
        <w:rPr>
          <w:rFonts w:ascii="David" w:hAnsi="David" w:cs="David"/>
          <w:b/>
          <w:bCs/>
          <w:sz w:val="28"/>
          <w:szCs w:val="28"/>
          <w:rtl/>
        </w:rPr>
        <w:t>פעילותם של</w:t>
      </w:r>
      <w:r w:rsidR="008F3E71" w:rsidRPr="005E40E2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F861FE" w:rsidRPr="005E40E2">
        <w:rPr>
          <w:rFonts w:ascii="David" w:hAnsi="David" w:cs="David"/>
          <w:b/>
          <w:bCs/>
          <w:sz w:val="28"/>
          <w:szCs w:val="28"/>
          <w:rtl/>
        </w:rPr>
        <w:t xml:space="preserve">מועדוני </w:t>
      </w:r>
      <w:r w:rsidR="00D82735" w:rsidRPr="005E40E2">
        <w:rPr>
          <w:rFonts w:ascii="David" w:hAnsi="David" w:cs="David"/>
          <w:b/>
          <w:bCs/>
          <w:sz w:val="28"/>
          <w:szCs w:val="28"/>
          <w:rtl/>
        </w:rPr>
        <w:t xml:space="preserve">צרכנות </w:t>
      </w:r>
      <w:r w:rsidRPr="005E40E2">
        <w:rPr>
          <w:rFonts w:ascii="David" w:hAnsi="David" w:cs="David"/>
          <w:b/>
          <w:bCs/>
          <w:sz w:val="28"/>
          <w:szCs w:val="28"/>
          <w:rtl/>
        </w:rPr>
        <w:t>ב</w:t>
      </w:r>
      <w:r w:rsidR="00D82735" w:rsidRPr="005E40E2">
        <w:rPr>
          <w:rFonts w:ascii="David" w:hAnsi="David" w:cs="David"/>
          <w:b/>
          <w:bCs/>
          <w:sz w:val="28"/>
          <w:szCs w:val="28"/>
          <w:rtl/>
        </w:rPr>
        <w:t>מערכות התשלומים</w:t>
      </w:r>
      <w:r w:rsidR="008F3E71" w:rsidRPr="005E40E2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A97A25" w:rsidRDefault="00521414" w:rsidP="004B7256">
      <w:pPr>
        <w:spacing w:before="240"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בנק ישראל מודיע כי </w:t>
      </w:r>
      <w:r w:rsidR="00543F5D">
        <w:rPr>
          <w:rFonts w:ascii="David" w:hAnsi="David" w:cs="David" w:hint="cs"/>
          <w:sz w:val="24"/>
          <w:szCs w:val="24"/>
          <w:shd w:val="clear" w:color="auto" w:fill="FFFFFF"/>
          <w:rtl/>
        </w:rPr>
        <w:t>מספר רב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של 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מועדוני </w:t>
      </w:r>
      <w:r w:rsidR="00A97A25">
        <w:rPr>
          <w:rFonts w:ascii="David" w:hAnsi="David" w:cs="David" w:hint="cs"/>
          <w:sz w:val="24"/>
          <w:szCs w:val="24"/>
          <w:shd w:val="clear" w:color="auto" w:fill="FFFFFF"/>
          <w:rtl/>
        </w:rPr>
        <w:t>צרכנות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החל</w:t>
      </w:r>
      <w:r w:rsidR="00543F5D">
        <w:rPr>
          <w:rFonts w:ascii="David" w:hAnsi="David" w:cs="David" w:hint="cs"/>
          <w:sz w:val="24"/>
          <w:szCs w:val="24"/>
          <w:shd w:val="clear" w:color="auto" w:fill="FFFFFF"/>
          <w:rtl/>
        </w:rPr>
        <w:t>ו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לממש</w:t>
      </w:r>
      <w:r w:rsidR="002B15FB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צעד</w:t>
      </w:r>
      <w:r w:rsidR="004B7256">
        <w:rPr>
          <w:rStyle w:val="af0"/>
          <w:rFonts w:ascii="David" w:hAnsi="David" w:cs="David"/>
          <w:sz w:val="24"/>
          <w:szCs w:val="24"/>
          <w:shd w:val="clear" w:color="auto" w:fill="FFFFFF"/>
          <w:rtl/>
        </w:rPr>
        <w:footnoteReference w:id="1"/>
      </w:r>
      <w:r w:rsidR="004B7256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</w:t>
      </w:r>
      <w:r w:rsidR="002B15FB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שנקט</w:t>
      </w:r>
      <w:r w:rsidR="004B7256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</w:t>
      </w:r>
      <w:r w:rsidR="00A97A25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הבנק המרכזי 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בשנה שעברה, המאפשר לספקי הטכנולוגיה של המועדונים לתת ללקוחותיהם לממש הטבות בבתי עסק בפריסה רחבה דרך אותה תשתית </w:t>
      </w:r>
      <w:r w:rsidR="00A97A25">
        <w:rPr>
          <w:rFonts w:ascii="David" w:hAnsi="David" w:cs="David" w:hint="cs"/>
          <w:sz w:val="24"/>
          <w:szCs w:val="24"/>
          <w:shd w:val="clear" w:color="auto" w:fill="FFFFFF"/>
          <w:rtl/>
        </w:rPr>
        <w:t>שמאפשרת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עסקאות בכרטיסי חיוב.  צעד זה פתח מסלול טכנולוגי ועסקי אשר הניב סדרה של הטבות ללקוחות, כולל </w:t>
      </w:r>
      <w:r w:rsidR="00563710">
        <w:rPr>
          <w:rFonts w:ascii="David" w:hAnsi="David" w:cs="David" w:hint="cs"/>
          <w:sz w:val="24"/>
          <w:szCs w:val="24"/>
          <w:shd w:val="clear" w:color="auto" w:fill="FFFFFF"/>
          <w:rtl/>
        </w:rPr>
        <w:t>הטבות בחנויות ורשתות שונות</w:t>
      </w:r>
      <w:r w:rsidR="00ED4319">
        <w:rPr>
          <w:rFonts w:ascii="David" w:hAnsi="David" w:cs="David" w:hint="cs"/>
          <w:sz w:val="24"/>
          <w:szCs w:val="24"/>
          <w:shd w:val="clear" w:color="auto" w:fill="FFFFFF"/>
          <w:rtl/>
        </w:rPr>
        <w:t>.</w:t>
      </w:r>
      <w:r w:rsidR="008F3B1D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</w:t>
      </w:r>
      <w:r w:rsidR="00A97A25">
        <w:rPr>
          <w:rFonts w:ascii="David" w:hAnsi="David" w:cs="David" w:hint="cs"/>
          <w:sz w:val="24"/>
          <w:szCs w:val="24"/>
          <w:shd w:val="clear" w:color="auto" w:fill="FFFFFF"/>
          <w:rtl/>
        </w:rPr>
        <w:t>זאת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, במיוחד בתקופה מורכבת זו בה הציבור מתמודד בין היתר עם אתגרים כלכליים.  </w:t>
      </w:r>
    </w:p>
    <w:p w:rsidR="009C2A55" w:rsidRPr="00B94C48" w:rsidRDefault="00A97A25" w:rsidP="00B94C48">
      <w:pPr>
        <w:spacing w:before="240"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>השימוש בתשתית הקיימת מאפשר ל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יותר </w:t>
      </w:r>
      <w:r w:rsidR="00B86CE8" w:rsidRPr="00B94C48">
        <w:rPr>
          <w:rFonts w:ascii="David" w:hAnsi="David" w:cs="David"/>
          <w:sz w:val="24"/>
          <w:szCs w:val="24"/>
          <w:shd w:val="clear" w:color="auto" w:fill="FFFFFF"/>
          <w:rtl/>
        </w:rPr>
        <w:t>בתי עסק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להשתתף בהטבות שמציעים מועדוני הצרכנות.  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כך 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בתי העסק 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מצליחים למשוך 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יותר 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>לקוחות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, להגדיל 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את מחזור </w:t>
      </w:r>
      <w:r w:rsidR="00B86CE8" w:rsidRPr="00B94C48">
        <w:rPr>
          <w:rFonts w:ascii="David" w:hAnsi="David" w:cs="David"/>
          <w:sz w:val="24"/>
          <w:szCs w:val="24"/>
          <w:shd w:val="clear" w:color="auto" w:fill="FFFFFF"/>
          <w:rtl/>
        </w:rPr>
        <w:t>המכירות,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>לחסוך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עלויות הכרוכות בהקמת 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ותחזוקת 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תשתית ייחודית למימוש הטבות, 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>ל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שפר </w:t>
      </w:r>
      <w:r w:rsidR="00B86CE8" w:rsidRPr="00B94C48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תזרים מזומנים, 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ובמקרה של עסקים קטנים, 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>ל</w:t>
      </w:r>
      <w:r w:rsidR="0057049A">
        <w:rPr>
          <w:rFonts w:ascii="David" w:hAnsi="David" w:cs="David" w:hint="cs"/>
          <w:sz w:val="24"/>
          <w:szCs w:val="24"/>
          <w:shd w:val="clear" w:color="auto" w:fill="FFFFFF"/>
          <w:rtl/>
        </w:rPr>
        <w:t>חזק את יכולתם ל</w:t>
      </w:r>
      <w:r w:rsidR="00B86CE8" w:rsidRPr="00B94C48">
        <w:rPr>
          <w:rFonts w:ascii="David" w:hAnsi="David" w:cs="David"/>
          <w:sz w:val="24"/>
          <w:szCs w:val="24"/>
          <w:shd w:val="clear" w:color="auto" w:fill="FFFFFF"/>
          <w:rtl/>
        </w:rPr>
        <w:t>התחרות מול רשתות ובתי עסק גדולים.</w:t>
      </w:r>
      <w:r w:rsidR="00DC7084" w:rsidRPr="00B94C48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 </w:t>
      </w:r>
    </w:p>
    <w:p w:rsidR="009E72D5" w:rsidRDefault="009E72D5" w:rsidP="004E50D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175F22" w:rsidRPr="00DC7084" w:rsidRDefault="00175F22" w:rsidP="004E50D3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C7084">
        <w:rPr>
          <w:rFonts w:ascii="David" w:hAnsi="David" w:cs="David"/>
          <w:b/>
          <w:bCs/>
          <w:sz w:val="24"/>
          <w:szCs w:val="24"/>
          <w:rtl/>
        </w:rPr>
        <w:t>מנהל מחלקת מער</w:t>
      </w:r>
      <w:r w:rsidR="000311F4" w:rsidRPr="00DC7084">
        <w:rPr>
          <w:rFonts w:ascii="David" w:hAnsi="David" w:cs="David"/>
          <w:b/>
          <w:bCs/>
          <w:sz w:val="24"/>
          <w:szCs w:val="24"/>
          <w:rtl/>
        </w:rPr>
        <w:t>כות תשלומים וסליקה בבנק ישראל</w:t>
      </w:r>
      <w:r w:rsidR="00323B61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323B61" w:rsidRPr="00323B6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23B61">
        <w:rPr>
          <w:rFonts w:ascii="David" w:hAnsi="David" w:cs="David"/>
          <w:b/>
          <w:bCs/>
          <w:sz w:val="24"/>
          <w:szCs w:val="24"/>
          <w:rtl/>
        </w:rPr>
        <w:t>עודד סלומי</w:t>
      </w:r>
      <w:r w:rsidR="000311F4" w:rsidRPr="00DC7084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="004D12A7" w:rsidRPr="00DC7084">
        <w:rPr>
          <w:rFonts w:ascii="David" w:hAnsi="David" w:cs="David"/>
          <w:sz w:val="24"/>
          <w:szCs w:val="24"/>
          <w:rtl/>
        </w:rPr>
        <w:t>"לאחר ש</w:t>
      </w:r>
      <w:r w:rsidR="000311F4" w:rsidRPr="00DC7084">
        <w:rPr>
          <w:rFonts w:ascii="David" w:hAnsi="David" w:cs="David"/>
          <w:sz w:val="24"/>
          <w:szCs w:val="24"/>
          <w:rtl/>
        </w:rPr>
        <w:t xml:space="preserve">הודענו על פתיחת הגישה </w:t>
      </w:r>
      <w:r w:rsidR="004D12A7" w:rsidRPr="00DC7084">
        <w:rPr>
          <w:rFonts w:ascii="David" w:hAnsi="David" w:cs="David"/>
          <w:sz w:val="24"/>
          <w:szCs w:val="24"/>
          <w:rtl/>
        </w:rPr>
        <w:t>של מועדוני צרכנות ל</w:t>
      </w:r>
      <w:r w:rsidR="00A97A25">
        <w:rPr>
          <w:rFonts w:ascii="David" w:hAnsi="David" w:cs="David" w:hint="cs"/>
          <w:sz w:val="24"/>
          <w:szCs w:val="24"/>
          <w:rtl/>
        </w:rPr>
        <w:t xml:space="preserve">תשתית קיימת, </w:t>
      </w:r>
      <w:r w:rsidR="00543F5D">
        <w:rPr>
          <w:rFonts w:ascii="David" w:hAnsi="David" w:cs="David" w:hint="cs"/>
          <w:sz w:val="24"/>
          <w:szCs w:val="24"/>
          <w:rtl/>
        </w:rPr>
        <w:t>ב</w:t>
      </w:r>
      <w:r w:rsidR="00A97A25">
        <w:rPr>
          <w:rFonts w:ascii="David" w:hAnsi="David" w:cs="David" w:hint="cs"/>
          <w:sz w:val="24"/>
          <w:szCs w:val="24"/>
          <w:rtl/>
        </w:rPr>
        <w:t xml:space="preserve">מערכת כרטיסי חיוב המופעלת על-ידי חברת שבא, אנו מציינים אבן דרך בה מספר רב של גורמים עסקיים מנגישים הטבות והתייעלות כלכלית עבור הצרכנים והעסקים.  </w:t>
      </w:r>
      <w:r w:rsidR="000F4127" w:rsidRPr="00275E68">
        <w:rPr>
          <w:rFonts w:ascii="David" w:hAnsi="David" w:cs="David"/>
          <w:sz w:val="24"/>
          <w:szCs w:val="24"/>
          <w:rtl/>
        </w:rPr>
        <w:t>אני מברך על כך</w:t>
      </w:r>
      <w:r w:rsidR="00225968" w:rsidRPr="00275E68">
        <w:rPr>
          <w:rFonts w:ascii="David" w:hAnsi="David" w:cs="David"/>
          <w:sz w:val="24"/>
          <w:szCs w:val="24"/>
          <w:rtl/>
        </w:rPr>
        <w:t xml:space="preserve"> ו</w:t>
      </w:r>
      <w:r w:rsidR="000F4127" w:rsidRPr="00DC7084">
        <w:rPr>
          <w:rFonts w:ascii="David" w:hAnsi="David" w:cs="David"/>
          <w:sz w:val="24"/>
          <w:szCs w:val="24"/>
          <w:rtl/>
        </w:rPr>
        <w:t xml:space="preserve">מזמין גופים נוספים </w:t>
      </w:r>
      <w:r w:rsidR="00A97A25">
        <w:rPr>
          <w:rFonts w:ascii="David" w:hAnsi="David" w:cs="David" w:hint="cs"/>
          <w:sz w:val="24"/>
          <w:szCs w:val="24"/>
          <w:rtl/>
        </w:rPr>
        <w:t>למנף את שינוי זה, שהובלנו</w:t>
      </w:r>
      <w:r w:rsidR="000F4127" w:rsidRPr="00275E68">
        <w:rPr>
          <w:rFonts w:ascii="David" w:hAnsi="David" w:cs="David"/>
          <w:sz w:val="24"/>
          <w:szCs w:val="24"/>
          <w:rtl/>
        </w:rPr>
        <w:t>."</w:t>
      </w:r>
    </w:p>
    <w:sectPr w:rsidR="00175F22" w:rsidRPr="00DC7084" w:rsidSect="00C41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94" w:rsidRDefault="00334494" w:rsidP="000F4127">
      <w:pPr>
        <w:spacing w:after="0" w:line="240" w:lineRule="auto"/>
      </w:pPr>
      <w:r>
        <w:separator/>
      </w:r>
    </w:p>
  </w:endnote>
  <w:endnote w:type="continuationSeparator" w:id="0">
    <w:p w:rsidR="00334494" w:rsidRDefault="00334494" w:rsidP="000F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36" w:rsidRDefault="006858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36" w:rsidRDefault="006858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36" w:rsidRDefault="006858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94" w:rsidRDefault="00334494" w:rsidP="000F4127">
      <w:pPr>
        <w:spacing w:after="0" w:line="240" w:lineRule="auto"/>
      </w:pPr>
      <w:r>
        <w:separator/>
      </w:r>
    </w:p>
  </w:footnote>
  <w:footnote w:type="continuationSeparator" w:id="0">
    <w:p w:rsidR="00334494" w:rsidRDefault="00334494" w:rsidP="000F4127">
      <w:pPr>
        <w:spacing w:after="0" w:line="240" w:lineRule="auto"/>
      </w:pPr>
      <w:r>
        <w:continuationSeparator/>
      </w:r>
    </w:p>
  </w:footnote>
  <w:footnote w:id="1">
    <w:p w:rsidR="004B7256" w:rsidRDefault="004B7256" w:rsidP="004B7256">
      <w:pPr>
        <w:pStyle w:val="ae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קישור להודעה לעיתונות אודות הצעד, באתר בנק ישראל: </w:t>
      </w:r>
      <w:hyperlink r:id="rId1" w:history="1">
        <w:r w:rsidRPr="004B0DB8">
          <w:rPr>
            <w:rStyle w:val="Hyperlink"/>
          </w:rPr>
          <w:t>https://www.boi.org.il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36" w:rsidRDefault="006858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36" w:rsidRDefault="006858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36" w:rsidRDefault="006858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684C"/>
    <w:multiLevelType w:val="hybridMultilevel"/>
    <w:tmpl w:val="1B1C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3"/>
    <w:rsid w:val="000311F4"/>
    <w:rsid w:val="000B3D95"/>
    <w:rsid w:val="000C6B88"/>
    <w:rsid w:val="000D785B"/>
    <w:rsid w:val="000F4127"/>
    <w:rsid w:val="0012783A"/>
    <w:rsid w:val="001469E5"/>
    <w:rsid w:val="00175F22"/>
    <w:rsid w:val="001B5E20"/>
    <w:rsid w:val="001D4B06"/>
    <w:rsid w:val="00225968"/>
    <w:rsid w:val="00275E68"/>
    <w:rsid w:val="00285AA8"/>
    <w:rsid w:val="002B15FB"/>
    <w:rsid w:val="002E509D"/>
    <w:rsid w:val="002E6B0A"/>
    <w:rsid w:val="002F63B6"/>
    <w:rsid w:val="002F6AD7"/>
    <w:rsid w:val="00310D03"/>
    <w:rsid w:val="00323B61"/>
    <w:rsid w:val="00334494"/>
    <w:rsid w:val="00392190"/>
    <w:rsid w:val="003C1277"/>
    <w:rsid w:val="003D013F"/>
    <w:rsid w:val="003E0403"/>
    <w:rsid w:val="004577B0"/>
    <w:rsid w:val="00473A32"/>
    <w:rsid w:val="0048257B"/>
    <w:rsid w:val="004A3DE0"/>
    <w:rsid w:val="004B0DB8"/>
    <w:rsid w:val="004B7256"/>
    <w:rsid w:val="004D12A7"/>
    <w:rsid w:val="004E3A87"/>
    <w:rsid w:val="004E50D3"/>
    <w:rsid w:val="00521414"/>
    <w:rsid w:val="00543F5D"/>
    <w:rsid w:val="005571E3"/>
    <w:rsid w:val="00561E52"/>
    <w:rsid w:val="00563710"/>
    <w:rsid w:val="00565B8D"/>
    <w:rsid w:val="0057049A"/>
    <w:rsid w:val="00583453"/>
    <w:rsid w:val="005D751F"/>
    <w:rsid w:val="005E40E2"/>
    <w:rsid w:val="006077E2"/>
    <w:rsid w:val="006102F0"/>
    <w:rsid w:val="0066237F"/>
    <w:rsid w:val="006807BF"/>
    <w:rsid w:val="00685836"/>
    <w:rsid w:val="006A2E41"/>
    <w:rsid w:val="00723F99"/>
    <w:rsid w:val="007242BF"/>
    <w:rsid w:val="007D522C"/>
    <w:rsid w:val="00831FF0"/>
    <w:rsid w:val="00840CCD"/>
    <w:rsid w:val="008F3B1D"/>
    <w:rsid w:val="008F3E71"/>
    <w:rsid w:val="0090698B"/>
    <w:rsid w:val="009B74E7"/>
    <w:rsid w:val="009C20E5"/>
    <w:rsid w:val="009C2A55"/>
    <w:rsid w:val="009C7CBA"/>
    <w:rsid w:val="009E72D5"/>
    <w:rsid w:val="00A52AA9"/>
    <w:rsid w:val="00A726EC"/>
    <w:rsid w:val="00A97759"/>
    <w:rsid w:val="00A97A25"/>
    <w:rsid w:val="00AA3B67"/>
    <w:rsid w:val="00AE2556"/>
    <w:rsid w:val="00B063E7"/>
    <w:rsid w:val="00B46E64"/>
    <w:rsid w:val="00B86B6E"/>
    <w:rsid w:val="00B86CE8"/>
    <w:rsid w:val="00B94C48"/>
    <w:rsid w:val="00C2420F"/>
    <w:rsid w:val="00C418FE"/>
    <w:rsid w:val="00CB6AF6"/>
    <w:rsid w:val="00D06011"/>
    <w:rsid w:val="00D150B5"/>
    <w:rsid w:val="00D264B1"/>
    <w:rsid w:val="00D30179"/>
    <w:rsid w:val="00D31A58"/>
    <w:rsid w:val="00D425E1"/>
    <w:rsid w:val="00D4796E"/>
    <w:rsid w:val="00D82735"/>
    <w:rsid w:val="00DB05A2"/>
    <w:rsid w:val="00DC7084"/>
    <w:rsid w:val="00DD0A81"/>
    <w:rsid w:val="00DE1CB3"/>
    <w:rsid w:val="00E46E6D"/>
    <w:rsid w:val="00E621EF"/>
    <w:rsid w:val="00E66395"/>
    <w:rsid w:val="00E73320"/>
    <w:rsid w:val="00E75558"/>
    <w:rsid w:val="00ED4319"/>
    <w:rsid w:val="00EE7C11"/>
    <w:rsid w:val="00F016E6"/>
    <w:rsid w:val="00F540B2"/>
    <w:rsid w:val="00F85568"/>
    <w:rsid w:val="00F861FE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A3DE0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0F4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F4127"/>
  </w:style>
  <w:style w:type="paragraph" w:styleId="a5">
    <w:name w:val="footer"/>
    <w:basedOn w:val="a"/>
    <w:link w:val="a6"/>
    <w:uiPriority w:val="99"/>
    <w:unhideWhenUsed/>
    <w:rsid w:val="000F4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F4127"/>
  </w:style>
  <w:style w:type="paragraph" w:styleId="a7">
    <w:name w:val="Balloon Text"/>
    <w:basedOn w:val="a"/>
    <w:link w:val="a8"/>
    <w:uiPriority w:val="99"/>
    <w:semiHidden/>
    <w:unhideWhenUsed/>
    <w:rsid w:val="005D751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D751F"/>
    <w:rPr>
      <w:rFonts w:ascii="Tahoma" w:hAnsi="Tahoma" w:cs="Tahoma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3B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3B67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AA3B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3B67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AA3B67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8F3E71"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E73320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E7332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3320"/>
    <w:rPr>
      <w:vertAlign w:val="superscript"/>
    </w:rPr>
  </w:style>
  <w:style w:type="paragraph" w:styleId="af1">
    <w:name w:val="Revision"/>
    <w:hidden/>
    <w:uiPriority w:val="99"/>
    <w:semiHidden/>
    <w:rsid w:val="00E62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i.org.il/publications/pressreleases/%D7%91%D7%A0%D7%A7-%D7%99%D7%A9%D7%A8%D7%90%D7%9C-%D7%A4%D7%95%D7%AA%D7%97-%D7%90%D7%AA-%D7%A9%D7%95%D7%A7-%D7%94%D7%AA%D7%A9%D7%9C%D7%95%D7%9E%D7%99%D7%9D-%D7%9C%D7%9E%D7%95%D7%A2%D7%93%D7%95%D7%A0%D7%99-%D7%A6%D7%A8%D7%9B%D7%A0%D7%95%D7%AA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5805-230F-4471-9928-9440BB2F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2023-11-19T07:24:00Z</dcterms:created>
  <dcterms:modified xsi:type="dcterms:W3CDTF">2023-11-19T07:24:00Z</dcterms:modified>
</cp:coreProperties>
</file>