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3043A9" w:rsidRPr="00DB1CBC" w:rsidTr="00E953D3">
        <w:trPr>
          <w:jc w:val="center"/>
        </w:trPr>
        <w:tc>
          <w:tcPr>
            <w:tcW w:w="2840" w:type="dxa"/>
            <w:tcBorders>
              <w:top w:val="nil"/>
              <w:left w:val="nil"/>
              <w:bottom w:val="nil"/>
              <w:right w:val="nil"/>
            </w:tcBorders>
            <w:vAlign w:val="center"/>
          </w:tcPr>
          <w:p w:rsidR="003043A9" w:rsidRDefault="003043A9" w:rsidP="00E953D3">
            <w:pPr>
              <w:spacing w:line="360" w:lineRule="auto"/>
              <w:jc w:val="center"/>
              <w:rPr>
                <w:rFonts w:cs="David"/>
                <w:b/>
                <w:bCs/>
                <w:sz w:val="28"/>
                <w:szCs w:val="28"/>
              </w:rPr>
            </w:pPr>
            <w:bookmarkStart w:id="0" w:name="_GoBack"/>
            <w:bookmarkEnd w:id="0"/>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3043A9" w:rsidRDefault="003043A9" w:rsidP="00E953D3">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3043A9" w:rsidRDefault="003043A9" w:rsidP="00E953D3">
            <w:pPr>
              <w:jc w:val="center"/>
            </w:pPr>
            <w:r>
              <w:rPr>
                <w:noProof/>
              </w:rPr>
              <w:drawing>
                <wp:inline distT="0" distB="0" distL="0" distR="0" wp14:anchorId="676D64DC" wp14:editId="6AC3338C">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7"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3043A9" w:rsidRDefault="003043A9" w:rsidP="003043A9">
            <w:pPr>
              <w:bidi w:val="0"/>
              <w:spacing w:line="480" w:lineRule="auto"/>
              <w:rPr>
                <w:rFonts w:cs="David"/>
                <w:sz w:val="24"/>
                <w:szCs w:val="24"/>
              </w:rPr>
            </w:pPr>
            <w:r>
              <w:rPr>
                <w:rFonts w:cs="David" w:hint="eastAsia"/>
                <w:sz w:val="24"/>
                <w:szCs w:val="24"/>
                <w:rtl/>
              </w:rPr>
              <w:t>‏</w:t>
            </w:r>
            <w:r>
              <w:rPr>
                <w:rFonts w:cs="David" w:hint="cs"/>
                <w:sz w:val="24"/>
                <w:szCs w:val="24"/>
                <w:rtl/>
              </w:rPr>
              <w:t>ירושלים, כ"ו בחשון</w:t>
            </w:r>
            <w:r>
              <w:rPr>
                <w:rFonts w:cs="David"/>
                <w:sz w:val="24"/>
                <w:szCs w:val="24"/>
                <w:rtl/>
              </w:rPr>
              <w:t xml:space="preserve"> </w:t>
            </w:r>
            <w:r>
              <w:rPr>
                <w:rFonts w:cs="David" w:hint="cs"/>
                <w:sz w:val="24"/>
                <w:szCs w:val="24"/>
                <w:rtl/>
              </w:rPr>
              <w:t>ה</w:t>
            </w:r>
            <w:r>
              <w:rPr>
                <w:rFonts w:cs="David"/>
                <w:sz w:val="24"/>
                <w:szCs w:val="24"/>
                <w:rtl/>
              </w:rPr>
              <w:t>תשע"</w:t>
            </w:r>
            <w:r>
              <w:rPr>
                <w:rFonts w:cs="David" w:hint="cs"/>
                <w:sz w:val="24"/>
                <w:szCs w:val="24"/>
                <w:rtl/>
              </w:rPr>
              <w:t>ד</w:t>
            </w:r>
          </w:p>
          <w:p w:rsidR="003043A9" w:rsidRPr="00DF107C" w:rsidRDefault="003043A9" w:rsidP="00E953D3">
            <w:pPr>
              <w:bidi w:val="0"/>
              <w:spacing w:line="480" w:lineRule="auto"/>
              <w:rPr>
                <w:rFonts w:cs="David"/>
                <w:sz w:val="24"/>
                <w:szCs w:val="24"/>
              </w:rPr>
            </w:pPr>
            <w:r>
              <w:rPr>
                <w:rFonts w:cs="David" w:hint="eastAsia"/>
                <w:sz w:val="24"/>
                <w:szCs w:val="24"/>
                <w:rtl/>
              </w:rPr>
              <w:t>‏‏</w:t>
            </w:r>
            <w:r>
              <w:rPr>
                <w:rFonts w:cs="David" w:hint="cs"/>
                <w:sz w:val="24"/>
                <w:szCs w:val="24"/>
                <w:rtl/>
              </w:rPr>
              <w:t>30 באוקטובר</w:t>
            </w:r>
            <w:r>
              <w:rPr>
                <w:rFonts w:cs="David"/>
                <w:sz w:val="24"/>
                <w:szCs w:val="24"/>
                <w:rtl/>
              </w:rPr>
              <w:t xml:space="preserve"> 2013</w:t>
            </w:r>
          </w:p>
        </w:tc>
      </w:tr>
    </w:tbl>
    <w:p w:rsidR="003043A9" w:rsidRDefault="003043A9" w:rsidP="003043A9">
      <w:pPr>
        <w:rPr>
          <w:rtl/>
        </w:rPr>
      </w:pPr>
    </w:p>
    <w:p w:rsidR="003043A9" w:rsidRDefault="003043A9" w:rsidP="003043A9">
      <w:pPr>
        <w:spacing w:line="360" w:lineRule="auto"/>
        <w:ind w:right="-101"/>
        <w:rPr>
          <w:rFonts w:cs="David"/>
          <w:sz w:val="24"/>
          <w:szCs w:val="24"/>
          <w:rtl/>
        </w:rPr>
      </w:pPr>
      <w:r w:rsidRPr="007E18EE">
        <w:rPr>
          <w:rFonts w:cs="David" w:hint="cs"/>
          <w:sz w:val="24"/>
          <w:szCs w:val="24"/>
          <w:rtl/>
        </w:rPr>
        <w:t>הודעה לעיתונות:</w:t>
      </w:r>
    </w:p>
    <w:p w:rsidR="003043A9" w:rsidRPr="003043A9" w:rsidRDefault="003043A9" w:rsidP="003043A9">
      <w:pPr>
        <w:spacing w:after="0" w:line="360" w:lineRule="auto"/>
        <w:jc w:val="center"/>
        <w:rPr>
          <w:rFonts w:cs="David"/>
          <w:b/>
          <w:bCs/>
          <w:sz w:val="24"/>
          <w:szCs w:val="24"/>
          <w:u w:val="single"/>
          <w:rtl/>
        </w:rPr>
      </w:pPr>
      <w:r w:rsidRPr="003043A9">
        <w:rPr>
          <w:rFonts w:cs="David" w:hint="cs"/>
          <w:b/>
          <w:bCs/>
          <w:sz w:val="24"/>
          <w:szCs w:val="24"/>
          <w:u w:val="single"/>
          <w:rtl/>
        </w:rPr>
        <w:t xml:space="preserve">דברי הנגידה הנכנסת בכנס "הסיבות וההשלכות של אי </w:t>
      </w:r>
      <w:r w:rsidR="007839A5" w:rsidRPr="003043A9">
        <w:rPr>
          <w:rFonts w:cs="David" w:hint="cs"/>
          <w:b/>
          <w:bCs/>
          <w:sz w:val="24"/>
          <w:szCs w:val="24"/>
          <w:u w:val="single"/>
          <w:rtl/>
        </w:rPr>
        <w:t>השוויון</w:t>
      </w:r>
      <w:r w:rsidRPr="003043A9">
        <w:rPr>
          <w:rFonts w:cs="David" w:hint="cs"/>
          <w:b/>
          <w:bCs/>
          <w:sz w:val="24"/>
          <w:szCs w:val="24"/>
          <w:u w:val="single"/>
          <w:rtl/>
        </w:rPr>
        <w:t>"</w:t>
      </w:r>
    </w:p>
    <w:p w:rsidR="003043A9" w:rsidRDefault="003043A9" w:rsidP="009F0822">
      <w:pPr>
        <w:spacing w:after="0" w:line="360" w:lineRule="auto"/>
        <w:jc w:val="both"/>
        <w:rPr>
          <w:rFonts w:cs="David"/>
          <w:sz w:val="24"/>
          <w:szCs w:val="24"/>
          <w:rtl/>
        </w:rPr>
      </w:pPr>
    </w:p>
    <w:p w:rsidR="00F03B6A" w:rsidRPr="009F0822" w:rsidRDefault="00F03B6A" w:rsidP="009F0822">
      <w:pPr>
        <w:spacing w:after="0" w:line="360" w:lineRule="auto"/>
        <w:jc w:val="both"/>
        <w:rPr>
          <w:rFonts w:cs="David"/>
          <w:sz w:val="24"/>
          <w:szCs w:val="24"/>
          <w:rtl/>
        </w:rPr>
      </w:pPr>
      <w:r w:rsidRPr="009F0822">
        <w:rPr>
          <w:rFonts w:cs="David" w:hint="cs"/>
          <w:sz w:val="24"/>
          <w:szCs w:val="24"/>
          <w:rtl/>
        </w:rPr>
        <w:t>הנגידה הנכנסת של בנק ישראל, ד"ר קרנית פלוג, הנחתה היום דיון בכנס בנושא "הסיבות וההשלכות של אי השוויון" שערך מרכז טאוב לחקר המדיניות החברתית בישראל</w:t>
      </w:r>
      <w:r w:rsidR="00474405" w:rsidRPr="009F0822">
        <w:rPr>
          <w:rFonts w:cs="David" w:hint="cs"/>
          <w:sz w:val="24"/>
          <w:szCs w:val="24"/>
          <w:rtl/>
        </w:rPr>
        <w:t>, בהשתתפות חוקרים מהארץ והעולם</w:t>
      </w:r>
      <w:r w:rsidRPr="009F0822">
        <w:rPr>
          <w:rFonts w:cs="David" w:hint="cs"/>
          <w:sz w:val="24"/>
          <w:szCs w:val="24"/>
          <w:rtl/>
        </w:rPr>
        <w:t xml:space="preserve">. בתחילת הדיון, הציגה ד"ר פלוג מספר נתונים בסיסיים והציבה מספר שאלות לדיון. המצגת בה השתמשה מצורפת. </w:t>
      </w:r>
    </w:p>
    <w:p w:rsidR="00F03B6A" w:rsidRPr="009F0822" w:rsidRDefault="003043A9" w:rsidP="003043A9">
      <w:pPr>
        <w:spacing w:after="0" w:line="360" w:lineRule="auto"/>
        <w:jc w:val="both"/>
        <w:rPr>
          <w:rFonts w:cs="David"/>
          <w:sz w:val="24"/>
          <w:szCs w:val="24"/>
          <w:rtl/>
        </w:rPr>
      </w:pPr>
      <w:r>
        <w:rPr>
          <w:rFonts w:cs="David"/>
          <w:sz w:val="24"/>
          <w:szCs w:val="24"/>
          <w:rtl/>
        </w:rPr>
        <w:br/>
      </w:r>
      <w:r w:rsidR="00474405" w:rsidRPr="009F0822">
        <w:rPr>
          <w:rFonts w:cs="David" w:hint="cs"/>
          <w:sz w:val="24"/>
          <w:szCs w:val="24"/>
          <w:rtl/>
        </w:rPr>
        <w:t>ד"ר פלוג הרא</w:t>
      </w:r>
      <w:r w:rsidR="007814A5" w:rsidRPr="009F0822">
        <w:rPr>
          <w:rFonts w:cs="David" w:hint="cs"/>
          <w:sz w:val="24"/>
          <w:szCs w:val="24"/>
          <w:rtl/>
        </w:rPr>
        <w:t>תה (שקף 2) נתונים על פיהם ב</w:t>
      </w:r>
      <w:r w:rsidR="00F03B6A" w:rsidRPr="009F0822">
        <w:rPr>
          <w:rFonts w:cs="David" w:hint="cs"/>
          <w:sz w:val="24"/>
          <w:szCs w:val="24"/>
          <w:rtl/>
        </w:rPr>
        <w:t>מדד ג</w:t>
      </w:r>
      <w:r w:rsidR="007814A5" w:rsidRPr="009F0822">
        <w:rPr>
          <w:rFonts w:cs="David" w:hint="cs"/>
          <w:sz w:val="24"/>
          <w:szCs w:val="24"/>
          <w:rtl/>
        </w:rPr>
        <w:t>'</w:t>
      </w:r>
      <w:r w:rsidR="00F03B6A" w:rsidRPr="009F0822">
        <w:rPr>
          <w:rFonts w:cs="David" w:hint="cs"/>
          <w:sz w:val="24"/>
          <w:szCs w:val="24"/>
          <w:rtl/>
        </w:rPr>
        <w:t xml:space="preserve">יני לאי שוויון </w:t>
      </w:r>
      <w:r w:rsidR="007814A5" w:rsidRPr="009F0822">
        <w:rPr>
          <w:rFonts w:cs="David" w:hint="cs"/>
          <w:sz w:val="24"/>
          <w:szCs w:val="24"/>
          <w:rtl/>
        </w:rPr>
        <w:t>חלה</w:t>
      </w:r>
      <w:r w:rsidR="005410BB" w:rsidRPr="009F0822">
        <w:rPr>
          <w:rFonts w:cs="David" w:hint="cs"/>
          <w:sz w:val="24"/>
          <w:szCs w:val="24"/>
          <w:rtl/>
        </w:rPr>
        <w:t xml:space="preserve"> עליה</w:t>
      </w:r>
      <w:r w:rsidR="007814A5" w:rsidRPr="009F0822">
        <w:rPr>
          <w:rFonts w:cs="David" w:hint="cs"/>
          <w:sz w:val="24"/>
          <w:szCs w:val="24"/>
          <w:rtl/>
        </w:rPr>
        <w:t>, ברוב מדינות ה-</w:t>
      </w:r>
      <w:r w:rsidR="007814A5" w:rsidRPr="009F0822">
        <w:rPr>
          <w:rFonts w:asciiTheme="majorBidi" w:hAnsiTheme="majorBidi" w:cstheme="majorBidi"/>
        </w:rPr>
        <w:t>OECD</w:t>
      </w:r>
      <w:r w:rsidR="005410BB" w:rsidRPr="009F0822">
        <w:rPr>
          <w:rFonts w:cs="David" w:hint="cs"/>
          <w:sz w:val="24"/>
          <w:szCs w:val="24"/>
          <w:rtl/>
        </w:rPr>
        <w:t xml:space="preserve"> וגם בישראל</w:t>
      </w:r>
      <w:r w:rsidR="007814A5" w:rsidRPr="009F0822">
        <w:rPr>
          <w:rFonts w:cs="David" w:hint="cs"/>
          <w:sz w:val="24"/>
          <w:szCs w:val="24"/>
          <w:rtl/>
        </w:rPr>
        <w:t xml:space="preserve"> </w:t>
      </w:r>
      <w:r w:rsidR="00F03B6A" w:rsidRPr="009F0822">
        <w:rPr>
          <w:rFonts w:cs="David" w:hint="cs"/>
          <w:sz w:val="24"/>
          <w:szCs w:val="24"/>
          <w:rtl/>
        </w:rPr>
        <w:t>בין</w:t>
      </w:r>
      <w:r w:rsidR="007814A5" w:rsidRPr="009F0822">
        <w:rPr>
          <w:rFonts w:cs="David" w:hint="cs"/>
          <w:sz w:val="24"/>
          <w:szCs w:val="24"/>
          <w:rtl/>
        </w:rPr>
        <w:t xml:space="preserve"> השנים</w:t>
      </w:r>
      <w:r w:rsidR="00F03B6A" w:rsidRPr="009F0822">
        <w:rPr>
          <w:rFonts w:cs="David" w:hint="cs"/>
          <w:sz w:val="24"/>
          <w:szCs w:val="24"/>
          <w:rtl/>
        </w:rPr>
        <w:t xml:space="preserve"> 1985 ל-2008</w:t>
      </w:r>
      <w:r w:rsidR="007814A5" w:rsidRPr="009F0822">
        <w:rPr>
          <w:rFonts w:cs="David" w:hint="cs"/>
          <w:sz w:val="24"/>
          <w:szCs w:val="24"/>
          <w:rtl/>
        </w:rPr>
        <w:t xml:space="preserve">. </w:t>
      </w:r>
      <w:r w:rsidR="006F6CB1" w:rsidRPr="009F0822">
        <w:rPr>
          <w:rFonts w:cs="David" w:hint="cs"/>
          <w:sz w:val="24"/>
          <w:szCs w:val="24"/>
          <w:rtl/>
        </w:rPr>
        <w:t>היות</w:t>
      </w:r>
      <w:r w:rsidR="007814A5" w:rsidRPr="009F0822">
        <w:rPr>
          <w:rFonts w:cs="David" w:hint="cs"/>
          <w:sz w:val="24"/>
          <w:szCs w:val="24"/>
          <w:rtl/>
        </w:rPr>
        <w:t xml:space="preserve"> </w:t>
      </w:r>
      <w:r w:rsidR="006F6CB1" w:rsidRPr="009F0822">
        <w:rPr>
          <w:rFonts w:cs="David" w:hint="cs"/>
          <w:sz w:val="24"/>
          <w:szCs w:val="24"/>
          <w:rtl/>
        </w:rPr>
        <w:t>ועוד</w:t>
      </w:r>
      <w:r w:rsidR="007814A5" w:rsidRPr="009F0822">
        <w:rPr>
          <w:rFonts w:cs="David" w:hint="cs"/>
          <w:sz w:val="24"/>
          <w:szCs w:val="24"/>
          <w:rtl/>
        </w:rPr>
        <w:t xml:space="preserve"> בתחילת התקופה אי השוויון בישראל היה בין הגבוהים במדינות ה-</w:t>
      </w:r>
      <w:r w:rsidRPr="009F0822">
        <w:rPr>
          <w:rFonts w:asciiTheme="majorBidi" w:hAnsiTheme="majorBidi" w:cstheme="majorBidi"/>
        </w:rPr>
        <w:t>OECD</w:t>
      </w:r>
      <w:r>
        <w:rPr>
          <w:rFonts w:asciiTheme="majorBidi" w:hAnsiTheme="majorBidi" w:cstheme="majorBidi" w:hint="cs"/>
          <w:rtl/>
        </w:rPr>
        <w:t xml:space="preserve">, </w:t>
      </w:r>
      <w:r w:rsidR="007814A5" w:rsidRPr="009F0822">
        <w:rPr>
          <w:rFonts w:cs="David" w:hint="cs"/>
          <w:sz w:val="24"/>
          <w:szCs w:val="24"/>
          <w:rtl/>
        </w:rPr>
        <w:t>מצב זה לא השתנה בתום התק</w:t>
      </w:r>
      <w:r w:rsidR="006F6CB1" w:rsidRPr="009F0822">
        <w:rPr>
          <w:rFonts w:cs="David" w:hint="cs"/>
          <w:sz w:val="24"/>
          <w:szCs w:val="24"/>
          <w:rtl/>
        </w:rPr>
        <w:t>ופה. בהסתכלות על הנתונים בישראל</w:t>
      </w:r>
      <w:r w:rsidR="007814A5" w:rsidRPr="009F0822">
        <w:rPr>
          <w:rFonts w:cs="David" w:hint="cs"/>
          <w:sz w:val="24"/>
          <w:szCs w:val="24"/>
          <w:rtl/>
        </w:rPr>
        <w:t xml:space="preserve"> (שקף 3), ניתן לראות כי ב</w:t>
      </w:r>
      <w:r w:rsidR="00F03B6A" w:rsidRPr="009F0822">
        <w:rPr>
          <w:rFonts w:cs="David" w:hint="cs"/>
          <w:sz w:val="24"/>
          <w:szCs w:val="24"/>
          <w:rtl/>
        </w:rPr>
        <w:t xml:space="preserve">אי השוויון בהכנסה ברוטו </w:t>
      </w:r>
      <w:r w:rsidR="007814A5" w:rsidRPr="009F0822">
        <w:rPr>
          <w:rFonts w:cs="David" w:hint="cs"/>
          <w:sz w:val="24"/>
          <w:szCs w:val="24"/>
          <w:rtl/>
        </w:rPr>
        <w:t>חלה מאז תחילת העשור הקו</w:t>
      </w:r>
      <w:r w:rsidR="00654B59">
        <w:rPr>
          <w:rFonts w:cs="David" w:hint="cs"/>
          <w:sz w:val="24"/>
          <w:szCs w:val="24"/>
          <w:rtl/>
        </w:rPr>
        <w:t>דם ירידה איטית אך מתמשכת, ואילו</w:t>
      </w:r>
      <w:r w:rsidR="00F03B6A" w:rsidRPr="009F0822">
        <w:rPr>
          <w:rFonts w:cs="David" w:hint="cs"/>
          <w:sz w:val="24"/>
          <w:szCs w:val="24"/>
          <w:rtl/>
        </w:rPr>
        <w:t xml:space="preserve"> </w:t>
      </w:r>
      <w:r w:rsidR="007814A5" w:rsidRPr="009F0822">
        <w:rPr>
          <w:rFonts w:cs="David" w:hint="cs"/>
          <w:sz w:val="24"/>
          <w:szCs w:val="24"/>
          <w:rtl/>
        </w:rPr>
        <w:t>אי השוויון בהכ</w:t>
      </w:r>
      <w:r w:rsidR="00F03B6A" w:rsidRPr="009F0822">
        <w:rPr>
          <w:rFonts w:cs="David" w:hint="cs"/>
          <w:sz w:val="24"/>
          <w:szCs w:val="24"/>
          <w:rtl/>
        </w:rPr>
        <w:t xml:space="preserve">נסה הפנויה </w:t>
      </w:r>
      <w:r w:rsidR="007814A5" w:rsidRPr="009F0822">
        <w:rPr>
          <w:rFonts w:cs="David" w:hint="cs"/>
          <w:sz w:val="24"/>
          <w:szCs w:val="24"/>
          <w:rtl/>
        </w:rPr>
        <w:t xml:space="preserve">עלה עד שנת 2006 ואז התייצב ברמות גבוהות. </w:t>
      </w:r>
    </w:p>
    <w:p w:rsidR="00F03B6A" w:rsidRPr="009F0822" w:rsidRDefault="003043A9" w:rsidP="009F0822">
      <w:pPr>
        <w:spacing w:after="0" w:line="360" w:lineRule="auto"/>
        <w:jc w:val="both"/>
        <w:rPr>
          <w:rFonts w:cs="David"/>
          <w:sz w:val="24"/>
          <w:szCs w:val="24"/>
          <w:rtl/>
        </w:rPr>
      </w:pPr>
      <w:r>
        <w:rPr>
          <w:rFonts w:cs="David"/>
          <w:sz w:val="24"/>
          <w:szCs w:val="24"/>
          <w:rtl/>
        </w:rPr>
        <w:br/>
      </w:r>
      <w:r w:rsidR="007814A5" w:rsidRPr="009F0822">
        <w:rPr>
          <w:rFonts w:cs="David" w:hint="cs"/>
          <w:sz w:val="24"/>
          <w:szCs w:val="24"/>
          <w:rtl/>
        </w:rPr>
        <w:t xml:space="preserve">ד"ר פלוג הציגה גם נתונים המאפשרים לפרק את המגמות באי השוויון </w:t>
      </w:r>
      <w:r w:rsidR="00A20836" w:rsidRPr="009F0822">
        <w:rPr>
          <w:rFonts w:cs="David" w:hint="cs"/>
          <w:sz w:val="24"/>
          <w:szCs w:val="24"/>
          <w:rtl/>
        </w:rPr>
        <w:t xml:space="preserve">על פי </w:t>
      </w:r>
      <w:r w:rsidR="006F6CB1" w:rsidRPr="009F0822">
        <w:rPr>
          <w:rFonts w:cs="David" w:hint="cs"/>
          <w:sz w:val="24"/>
          <w:szCs w:val="24"/>
          <w:rtl/>
        </w:rPr>
        <w:t>רמות</w:t>
      </w:r>
      <w:r w:rsidR="00A20836" w:rsidRPr="009F0822">
        <w:rPr>
          <w:rFonts w:cs="David" w:hint="cs"/>
          <w:sz w:val="24"/>
          <w:szCs w:val="24"/>
          <w:rtl/>
        </w:rPr>
        <w:t xml:space="preserve"> ההכנסה השונות, </w:t>
      </w:r>
      <w:r w:rsidR="007814A5" w:rsidRPr="009F0822">
        <w:rPr>
          <w:rFonts w:cs="David" w:hint="cs"/>
          <w:sz w:val="24"/>
          <w:szCs w:val="24"/>
          <w:rtl/>
        </w:rPr>
        <w:t xml:space="preserve">ולהבחין בין אי שוויון בין קבוצות </w:t>
      </w:r>
      <w:r w:rsidR="009F0822" w:rsidRPr="009F0822">
        <w:rPr>
          <w:rFonts w:cs="David" w:hint="cs"/>
          <w:sz w:val="24"/>
          <w:szCs w:val="24"/>
          <w:rtl/>
        </w:rPr>
        <w:t>האוכלוסייה</w:t>
      </w:r>
      <w:r w:rsidR="007814A5" w:rsidRPr="009F0822">
        <w:rPr>
          <w:rFonts w:cs="David" w:hint="cs"/>
          <w:sz w:val="24"/>
          <w:szCs w:val="24"/>
          <w:rtl/>
        </w:rPr>
        <w:t>, לאי השוויון בתוך הקבוצות עצמן</w:t>
      </w:r>
      <w:r w:rsidR="00A20836" w:rsidRPr="009F0822">
        <w:rPr>
          <w:rFonts w:cs="David" w:hint="cs"/>
          <w:sz w:val="24"/>
          <w:szCs w:val="24"/>
          <w:rtl/>
        </w:rPr>
        <w:t xml:space="preserve"> (שקף 4)</w:t>
      </w:r>
      <w:r w:rsidR="007814A5" w:rsidRPr="009F0822">
        <w:rPr>
          <w:rFonts w:cs="David" w:hint="cs"/>
          <w:sz w:val="24"/>
          <w:szCs w:val="24"/>
          <w:rtl/>
        </w:rPr>
        <w:t>. ה</w:t>
      </w:r>
      <w:r w:rsidR="00A20836" w:rsidRPr="009F0822">
        <w:rPr>
          <w:rFonts w:cs="David" w:hint="cs"/>
          <w:sz w:val="24"/>
          <w:szCs w:val="24"/>
          <w:rtl/>
        </w:rPr>
        <w:t>ניתוח מראה כי רובו של אי השוויון</w:t>
      </w:r>
      <w:r w:rsidR="007814A5" w:rsidRPr="009F0822">
        <w:rPr>
          <w:rFonts w:cs="David" w:hint="cs"/>
          <w:sz w:val="24"/>
          <w:szCs w:val="24"/>
          <w:rtl/>
        </w:rPr>
        <w:t xml:space="preserve"> נובע מאי שוויון </w:t>
      </w:r>
      <w:r w:rsidR="00F03B6A" w:rsidRPr="009F0822">
        <w:rPr>
          <w:rFonts w:cs="David" w:hint="cs"/>
          <w:sz w:val="24"/>
          <w:szCs w:val="24"/>
          <w:rtl/>
        </w:rPr>
        <w:t>בתוך ק</w:t>
      </w:r>
      <w:r w:rsidR="007814A5" w:rsidRPr="009F0822">
        <w:rPr>
          <w:rFonts w:cs="David" w:hint="cs"/>
          <w:sz w:val="24"/>
          <w:szCs w:val="24"/>
          <w:rtl/>
        </w:rPr>
        <w:t xml:space="preserve">בוצות </w:t>
      </w:r>
      <w:r w:rsidR="009F0822" w:rsidRPr="009F0822">
        <w:rPr>
          <w:rFonts w:cs="David" w:hint="cs"/>
          <w:sz w:val="24"/>
          <w:szCs w:val="24"/>
          <w:rtl/>
        </w:rPr>
        <w:t>האוכלוסייה</w:t>
      </w:r>
      <w:r w:rsidR="007814A5" w:rsidRPr="009F0822">
        <w:rPr>
          <w:rFonts w:cs="David" w:hint="cs"/>
          <w:sz w:val="24"/>
          <w:szCs w:val="24"/>
          <w:rtl/>
        </w:rPr>
        <w:t xml:space="preserve">, ולא בין קבוצה אחת לשנייה. </w:t>
      </w:r>
      <w:r w:rsidR="00F03B6A" w:rsidRPr="009F0822">
        <w:rPr>
          <w:rFonts w:cs="David" w:hint="cs"/>
          <w:sz w:val="24"/>
          <w:szCs w:val="24"/>
          <w:rtl/>
        </w:rPr>
        <w:t xml:space="preserve">כמו כן, רוב הגידול באי השוויון </w:t>
      </w:r>
      <w:r w:rsidR="007814A5" w:rsidRPr="009F0822">
        <w:rPr>
          <w:rFonts w:cs="David" w:hint="cs"/>
          <w:sz w:val="24"/>
          <w:szCs w:val="24"/>
          <w:rtl/>
        </w:rPr>
        <w:t xml:space="preserve">הנו תוצאה של </w:t>
      </w:r>
      <w:r w:rsidR="00F03B6A" w:rsidRPr="009F0822">
        <w:rPr>
          <w:rFonts w:cs="David" w:hint="cs"/>
          <w:sz w:val="24"/>
          <w:szCs w:val="24"/>
          <w:rtl/>
        </w:rPr>
        <w:t xml:space="preserve">גידול </w:t>
      </w:r>
      <w:r w:rsidR="00200236" w:rsidRPr="009F0822">
        <w:rPr>
          <w:rFonts w:cs="David" w:hint="cs"/>
          <w:sz w:val="24"/>
          <w:szCs w:val="24"/>
          <w:rtl/>
        </w:rPr>
        <w:t xml:space="preserve">בפערים בין קבוצות </w:t>
      </w:r>
      <w:r w:rsidR="009F0822" w:rsidRPr="009F0822">
        <w:rPr>
          <w:rFonts w:cs="David" w:hint="cs"/>
          <w:sz w:val="24"/>
          <w:szCs w:val="24"/>
          <w:rtl/>
        </w:rPr>
        <w:t>האוכלוסייה</w:t>
      </w:r>
      <w:r w:rsidR="00200236" w:rsidRPr="009F0822">
        <w:rPr>
          <w:rFonts w:cs="David" w:hint="cs"/>
          <w:sz w:val="24"/>
          <w:szCs w:val="24"/>
          <w:rtl/>
        </w:rPr>
        <w:t xml:space="preserve"> השונות. </w:t>
      </w:r>
    </w:p>
    <w:p w:rsidR="00F03B6A" w:rsidRPr="009F0822" w:rsidRDefault="003043A9" w:rsidP="009F0822">
      <w:pPr>
        <w:spacing w:after="0" w:line="360" w:lineRule="auto"/>
        <w:jc w:val="both"/>
        <w:rPr>
          <w:rFonts w:cs="David"/>
          <w:sz w:val="24"/>
          <w:szCs w:val="24"/>
          <w:rtl/>
        </w:rPr>
      </w:pPr>
      <w:r>
        <w:rPr>
          <w:rFonts w:cs="David"/>
          <w:sz w:val="24"/>
          <w:szCs w:val="24"/>
          <w:rtl/>
        </w:rPr>
        <w:br/>
      </w:r>
      <w:r w:rsidR="00A20836" w:rsidRPr="009F0822">
        <w:rPr>
          <w:rFonts w:cs="David" w:hint="cs"/>
          <w:sz w:val="24"/>
          <w:szCs w:val="24"/>
          <w:rtl/>
        </w:rPr>
        <w:t xml:space="preserve">ד"ר פלוג התייחסה לתהליך השינוי שחל </w:t>
      </w:r>
      <w:r w:rsidR="00F03B6A" w:rsidRPr="009F0822">
        <w:rPr>
          <w:rFonts w:cs="David" w:hint="cs"/>
          <w:sz w:val="24"/>
          <w:szCs w:val="24"/>
          <w:rtl/>
        </w:rPr>
        <w:t>במאפיינים</w:t>
      </w:r>
      <w:r w:rsidR="00A20836" w:rsidRPr="009F0822">
        <w:rPr>
          <w:rFonts w:cs="David" w:hint="cs"/>
          <w:sz w:val="24"/>
          <w:szCs w:val="24"/>
          <w:rtl/>
        </w:rPr>
        <w:t xml:space="preserve"> של שוק העבודה בישראל מאז תחילת שנות ה-90, </w:t>
      </w:r>
      <w:r w:rsidR="006F6CB1" w:rsidRPr="009F0822">
        <w:rPr>
          <w:rFonts w:cs="David" w:hint="cs"/>
          <w:sz w:val="24"/>
          <w:szCs w:val="24"/>
          <w:rtl/>
        </w:rPr>
        <w:t>שבמסגרתו שוק העבודה הפך ל</w:t>
      </w:r>
      <w:r w:rsidR="00A20836" w:rsidRPr="009F0822">
        <w:rPr>
          <w:rFonts w:cs="David" w:hint="cs"/>
          <w:sz w:val="24"/>
          <w:szCs w:val="24"/>
          <w:rtl/>
        </w:rPr>
        <w:t xml:space="preserve">גמיש יותר. כתוצאה מכך, </w:t>
      </w:r>
      <w:r w:rsidR="00F03B6A" w:rsidRPr="009F0822">
        <w:rPr>
          <w:rFonts w:cs="David" w:hint="cs"/>
          <w:sz w:val="24"/>
          <w:szCs w:val="24"/>
          <w:rtl/>
        </w:rPr>
        <w:t xml:space="preserve">הן רמת השכר </w:t>
      </w:r>
      <w:r w:rsidR="00A20836" w:rsidRPr="009F0822">
        <w:rPr>
          <w:rFonts w:cs="David" w:hint="cs"/>
          <w:sz w:val="24"/>
          <w:szCs w:val="24"/>
          <w:rtl/>
        </w:rPr>
        <w:t xml:space="preserve">במשק והן </w:t>
      </w:r>
      <w:r w:rsidR="00F03B6A" w:rsidRPr="009F0822">
        <w:rPr>
          <w:rFonts w:cs="David" w:hint="cs"/>
          <w:sz w:val="24"/>
          <w:szCs w:val="24"/>
          <w:rtl/>
        </w:rPr>
        <w:t xml:space="preserve">שיעור האבטלה </w:t>
      </w:r>
      <w:r w:rsidR="00A20836" w:rsidRPr="009F0822">
        <w:rPr>
          <w:rFonts w:cs="David" w:hint="cs"/>
          <w:sz w:val="24"/>
          <w:szCs w:val="24"/>
          <w:rtl/>
        </w:rPr>
        <w:t>הפכו מאוד רגישים למח</w:t>
      </w:r>
      <w:r w:rsidR="00F03B6A" w:rsidRPr="009F0822">
        <w:rPr>
          <w:rFonts w:cs="David" w:hint="cs"/>
          <w:sz w:val="24"/>
          <w:szCs w:val="24"/>
          <w:rtl/>
        </w:rPr>
        <w:t xml:space="preserve">זור העסקים </w:t>
      </w:r>
      <w:r w:rsidR="00A20836" w:rsidRPr="009F0822">
        <w:rPr>
          <w:rFonts w:cs="David" w:hint="cs"/>
          <w:sz w:val="24"/>
          <w:szCs w:val="24"/>
          <w:rtl/>
        </w:rPr>
        <w:t xml:space="preserve">בו </w:t>
      </w:r>
      <w:r w:rsidR="006F6CB1" w:rsidRPr="009F0822">
        <w:rPr>
          <w:rFonts w:cs="David" w:hint="cs"/>
          <w:sz w:val="24"/>
          <w:szCs w:val="24"/>
          <w:rtl/>
        </w:rPr>
        <w:t xml:space="preserve">מצוי </w:t>
      </w:r>
      <w:r w:rsidR="00A20836" w:rsidRPr="009F0822">
        <w:rPr>
          <w:rFonts w:cs="David" w:hint="cs"/>
          <w:sz w:val="24"/>
          <w:szCs w:val="24"/>
          <w:rtl/>
        </w:rPr>
        <w:t xml:space="preserve">המשק. כך, למשל, </w:t>
      </w:r>
      <w:r w:rsidR="00F03B6A" w:rsidRPr="009F0822">
        <w:rPr>
          <w:rFonts w:cs="David" w:hint="cs"/>
          <w:sz w:val="24"/>
          <w:szCs w:val="24"/>
          <w:rtl/>
        </w:rPr>
        <w:t xml:space="preserve">במיתון </w:t>
      </w:r>
      <w:r w:rsidR="00A20836" w:rsidRPr="009F0822">
        <w:rPr>
          <w:rFonts w:cs="David" w:hint="cs"/>
          <w:sz w:val="24"/>
          <w:szCs w:val="24"/>
          <w:rtl/>
        </w:rPr>
        <w:t xml:space="preserve">של תחילת שנות האלפיים </w:t>
      </w:r>
      <w:r w:rsidR="00F03B6A" w:rsidRPr="009F0822">
        <w:rPr>
          <w:rFonts w:cs="David" w:hint="cs"/>
          <w:sz w:val="24"/>
          <w:szCs w:val="24"/>
          <w:rtl/>
        </w:rPr>
        <w:t xml:space="preserve">השכר ירד בסדר גודל של </w:t>
      </w:r>
      <w:r w:rsidR="00A20836" w:rsidRPr="009F0822">
        <w:rPr>
          <w:rFonts w:cs="David" w:hint="cs"/>
          <w:sz w:val="24"/>
          <w:szCs w:val="24"/>
          <w:rtl/>
        </w:rPr>
        <w:t xml:space="preserve"> </w:t>
      </w:r>
      <w:r w:rsidR="006F6CB1" w:rsidRPr="009F0822">
        <w:rPr>
          <w:rFonts w:cs="David" w:hint="cs"/>
          <w:sz w:val="24"/>
          <w:szCs w:val="24"/>
          <w:rtl/>
        </w:rPr>
        <w:t>כ-</w:t>
      </w:r>
      <w:r w:rsidR="00F03B6A" w:rsidRPr="009F0822">
        <w:rPr>
          <w:rFonts w:cs="David" w:hint="cs"/>
          <w:sz w:val="24"/>
          <w:szCs w:val="24"/>
          <w:rtl/>
        </w:rPr>
        <w:t>10%</w:t>
      </w:r>
      <w:r w:rsidR="00A20836" w:rsidRPr="009F0822">
        <w:rPr>
          <w:rFonts w:cs="David" w:hint="cs"/>
          <w:sz w:val="24"/>
          <w:szCs w:val="24"/>
          <w:rtl/>
        </w:rPr>
        <w:t xml:space="preserve"> (שקף 5) ושיעור האבטלה עלה בחדות, ולאחר מכן, המגמות התהפכו עם ההתאוששות במצב המאקרו כלכלי. לתופעה זו היינו עדים גם בעת המשבר הכלכלי העולמי</w:t>
      </w:r>
      <w:r w:rsidR="006F6CB1" w:rsidRPr="009F0822">
        <w:rPr>
          <w:rFonts w:cs="David" w:hint="cs"/>
          <w:sz w:val="24"/>
          <w:szCs w:val="24"/>
          <w:rtl/>
        </w:rPr>
        <w:t>, שביציאה ממנו חלה התאוששות מהירה בשוק העבודה</w:t>
      </w:r>
      <w:r w:rsidR="00A20836" w:rsidRPr="009F0822">
        <w:rPr>
          <w:rFonts w:cs="David" w:hint="cs"/>
          <w:sz w:val="24"/>
          <w:szCs w:val="24"/>
          <w:rtl/>
        </w:rPr>
        <w:t xml:space="preserve">. נקודה נוספת אותה הדגישה ד"ר פלוג הנה הגידול שחל בעשור האחרון בשיעור משקי הבית שבהם שני מפרנסים. </w:t>
      </w:r>
      <w:r w:rsidR="005776D7" w:rsidRPr="009F0822">
        <w:rPr>
          <w:rFonts w:cs="David" w:hint="cs"/>
          <w:sz w:val="24"/>
          <w:szCs w:val="24"/>
          <w:rtl/>
        </w:rPr>
        <w:t>היא ציינה, כי ישנה תחלופה ברורה בין גמישות שוק העבודה לבין אי השוויון בהכנסה הפנויה, וש</w:t>
      </w:r>
      <w:r w:rsidR="006F6CB1" w:rsidRPr="009F0822">
        <w:rPr>
          <w:rFonts w:cs="David" w:hint="cs"/>
          <w:sz w:val="24"/>
          <w:szCs w:val="24"/>
          <w:rtl/>
        </w:rPr>
        <w:t>ה</w:t>
      </w:r>
      <w:r w:rsidR="005776D7" w:rsidRPr="009F0822">
        <w:rPr>
          <w:rFonts w:cs="David" w:hint="cs"/>
          <w:sz w:val="24"/>
          <w:szCs w:val="24"/>
          <w:rtl/>
        </w:rPr>
        <w:t xml:space="preserve">תהליך </w:t>
      </w:r>
      <w:r w:rsidR="006F6CB1" w:rsidRPr="009F0822">
        <w:rPr>
          <w:rFonts w:cs="David" w:hint="cs"/>
          <w:sz w:val="24"/>
          <w:szCs w:val="24"/>
          <w:rtl/>
        </w:rPr>
        <w:t xml:space="preserve">שחל בשנים האחרונות, של </w:t>
      </w:r>
      <w:r w:rsidR="005776D7" w:rsidRPr="009F0822">
        <w:rPr>
          <w:rFonts w:cs="David" w:hint="cs"/>
          <w:sz w:val="24"/>
          <w:szCs w:val="24"/>
          <w:rtl/>
        </w:rPr>
        <w:t>הפחתת תשלומי העברה מצד אחד</w:t>
      </w:r>
      <w:r w:rsidR="006F6CB1" w:rsidRPr="009F0822">
        <w:rPr>
          <w:rFonts w:cs="David" w:hint="cs"/>
          <w:sz w:val="24"/>
          <w:szCs w:val="24"/>
          <w:rtl/>
        </w:rPr>
        <w:t>,</w:t>
      </w:r>
      <w:r w:rsidR="005776D7" w:rsidRPr="009F0822">
        <w:rPr>
          <w:rFonts w:cs="David" w:hint="cs"/>
          <w:sz w:val="24"/>
          <w:szCs w:val="24"/>
          <w:rtl/>
        </w:rPr>
        <w:t xml:space="preserve"> ו</w:t>
      </w:r>
      <w:r w:rsidR="006F6CB1" w:rsidRPr="009F0822">
        <w:rPr>
          <w:rFonts w:cs="David" w:hint="cs"/>
          <w:sz w:val="24"/>
          <w:szCs w:val="24"/>
          <w:rtl/>
        </w:rPr>
        <w:t xml:space="preserve">הפחתת </w:t>
      </w:r>
      <w:r w:rsidR="005776D7" w:rsidRPr="009F0822">
        <w:rPr>
          <w:rFonts w:cs="David" w:hint="cs"/>
          <w:sz w:val="24"/>
          <w:szCs w:val="24"/>
          <w:rtl/>
        </w:rPr>
        <w:t xml:space="preserve">המיסים הישירים מצד שני,  תרם מצד אחד להגברת הגמישות בשוק העבודה, ומצד שני לעלייה באי השוויון בהכנסה הפנויה. </w:t>
      </w:r>
    </w:p>
    <w:p w:rsidR="005776D7" w:rsidRPr="009F0822" w:rsidRDefault="005776D7" w:rsidP="009F0822">
      <w:pPr>
        <w:spacing w:after="0" w:line="360" w:lineRule="auto"/>
        <w:jc w:val="both"/>
        <w:rPr>
          <w:rFonts w:cs="David"/>
          <w:sz w:val="24"/>
          <w:szCs w:val="24"/>
          <w:rtl/>
        </w:rPr>
      </w:pPr>
    </w:p>
    <w:p w:rsidR="005776D7" w:rsidRPr="009F0822" w:rsidRDefault="003043A9" w:rsidP="009F0822">
      <w:pPr>
        <w:spacing w:after="0" w:line="360" w:lineRule="auto"/>
        <w:jc w:val="both"/>
        <w:rPr>
          <w:rFonts w:cs="David"/>
          <w:sz w:val="24"/>
          <w:szCs w:val="24"/>
          <w:rtl/>
        </w:rPr>
      </w:pPr>
      <w:r>
        <w:rPr>
          <w:rFonts w:cs="David"/>
          <w:sz w:val="24"/>
          <w:szCs w:val="24"/>
          <w:rtl/>
        </w:rPr>
        <w:lastRenderedPageBreak/>
        <w:br/>
      </w:r>
      <w:r w:rsidR="005776D7" w:rsidRPr="009F0822">
        <w:rPr>
          <w:rFonts w:cs="David" w:hint="cs"/>
          <w:sz w:val="24"/>
          <w:szCs w:val="24"/>
          <w:rtl/>
        </w:rPr>
        <w:t>ד"ר פלוג הציבה למשתתפי הדיון שתי שאלות</w:t>
      </w:r>
      <w:r w:rsidR="007839A5">
        <w:rPr>
          <w:rFonts w:cs="David" w:hint="cs"/>
          <w:sz w:val="24"/>
          <w:szCs w:val="24"/>
          <w:rtl/>
        </w:rPr>
        <w:t>:</w:t>
      </w:r>
      <w:r w:rsidR="001C189C" w:rsidRPr="009F0822">
        <w:rPr>
          <w:rFonts w:cs="David" w:hint="cs"/>
          <w:sz w:val="24"/>
          <w:szCs w:val="24"/>
          <w:rtl/>
        </w:rPr>
        <w:t xml:space="preserve"> האם המצב בו אנו מצויים היום משקף את האיזון הנכון בין הגמישות בשוק העבודה לבין רמת אי השוויון? והאם ישנם צעדי מדיניות אפשריים שיוכלו לתרום להפחתת אי השוויון מבלי לפגוע בגמישות של שוק העבודה? במענה לשאלה השנייה, הזכירה הנגידה הנכנסת שמדיניות מס ההכנסה השלילי, שביישומה הוחל בישראל בשנים האחרונות, היא דוגמה טובה למדיניות שעונה על שני התנאים האלו. </w:t>
      </w:r>
    </w:p>
    <w:p w:rsidR="00F03B6A" w:rsidRPr="009F0822" w:rsidRDefault="00F03B6A" w:rsidP="009F0822">
      <w:pPr>
        <w:spacing w:after="0" w:line="360" w:lineRule="auto"/>
        <w:jc w:val="both"/>
        <w:rPr>
          <w:rFonts w:cs="David"/>
          <w:sz w:val="24"/>
          <w:szCs w:val="24"/>
          <w:rtl/>
        </w:rPr>
      </w:pPr>
    </w:p>
    <w:sectPr w:rsidR="00F03B6A" w:rsidRPr="009F0822" w:rsidSect="004C07B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A5" w:rsidRDefault="006371A5" w:rsidP="009F0822">
      <w:pPr>
        <w:spacing w:after="0" w:line="240" w:lineRule="auto"/>
      </w:pPr>
      <w:r>
        <w:separator/>
      </w:r>
    </w:p>
  </w:endnote>
  <w:endnote w:type="continuationSeparator" w:id="0">
    <w:p w:rsidR="006371A5" w:rsidRDefault="006371A5" w:rsidP="009F0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1D0" w:rsidRPr="00DD71D0" w:rsidRDefault="00CC3FB7" w:rsidP="00DD71D0">
    <w:pPr>
      <w:pStyle w:val="a5"/>
      <w:jc w:val="right"/>
      <w:rPr>
        <w:rFonts w:cs="David"/>
        <w:sz w:val="18"/>
        <w:szCs w:val="18"/>
      </w:rPr>
    </w:pPr>
    <w:sdt>
      <w:sdtPr>
        <w:rPr>
          <w:rFonts w:cs="David"/>
          <w:sz w:val="18"/>
          <w:szCs w:val="18"/>
          <w:rtl/>
        </w:rPr>
        <w:id w:val="440117691"/>
        <w:docPartObj>
          <w:docPartGallery w:val="Page Numbers (Bottom of Page)"/>
          <w:docPartUnique/>
        </w:docPartObj>
      </w:sdtPr>
      <w:sdtEndPr>
        <w:rPr>
          <w:cs/>
        </w:rPr>
      </w:sdtEndPr>
      <w:sdtContent>
        <w:sdt>
          <w:sdtPr>
            <w:rPr>
              <w:rFonts w:cs="David"/>
              <w:sz w:val="18"/>
              <w:szCs w:val="18"/>
              <w:rtl/>
            </w:rPr>
            <w:id w:val="860082579"/>
            <w:docPartObj>
              <w:docPartGallery w:val="Page Numbers (Top of Page)"/>
              <w:docPartUnique/>
            </w:docPartObj>
          </w:sdtPr>
          <w:sdtEndPr/>
          <w:sdtContent>
            <w:r w:rsidR="00DD71D0">
              <w:rPr>
                <w:rFonts w:cs="David" w:hint="cs"/>
                <w:sz w:val="18"/>
                <w:szCs w:val="18"/>
                <w:rtl/>
              </w:rPr>
              <w:t xml:space="preserve"> </w:t>
            </w:r>
            <w:r w:rsidR="00DD71D0" w:rsidRPr="00DD71D0">
              <w:rPr>
                <w:rFonts w:cs="David" w:hint="cs"/>
                <w:sz w:val="20"/>
                <w:szCs w:val="20"/>
                <w:rtl/>
              </w:rPr>
              <w:t>דברי הנגידה הנכנסת בכנס "הסיבות וההשלכות של אי השוויון"</w:t>
            </w:r>
            <w:r w:rsidR="00DD71D0">
              <w:rPr>
                <w:rFonts w:cs="David" w:hint="cs"/>
                <w:sz w:val="20"/>
                <w:szCs w:val="20"/>
                <w:rtl/>
              </w:rPr>
              <w:tab/>
            </w:r>
            <w:r w:rsidR="00DD71D0" w:rsidRPr="00DD71D0">
              <w:rPr>
                <w:rFonts w:cs="David"/>
                <w:sz w:val="18"/>
                <w:szCs w:val="18"/>
                <w:rtl/>
                <w:cs/>
                <w:lang w:val="he-IL"/>
              </w:rPr>
              <w:t xml:space="preserve">עמוד </w:t>
            </w:r>
            <w:r w:rsidR="00DD71D0" w:rsidRPr="00DD71D0">
              <w:rPr>
                <w:rFonts w:cs="David"/>
                <w:b/>
                <w:bCs/>
                <w:sz w:val="18"/>
                <w:szCs w:val="18"/>
              </w:rPr>
              <w:fldChar w:fldCharType="begin"/>
            </w:r>
            <w:r w:rsidR="00DD71D0" w:rsidRPr="00DD71D0">
              <w:rPr>
                <w:rFonts w:cs="David"/>
                <w:b/>
                <w:bCs/>
                <w:sz w:val="18"/>
                <w:szCs w:val="18"/>
                <w:rtl/>
                <w:cs/>
              </w:rPr>
              <w:instrText>PAGE</w:instrText>
            </w:r>
            <w:r w:rsidR="00DD71D0" w:rsidRPr="00DD71D0">
              <w:rPr>
                <w:rFonts w:cs="David"/>
                <w:b/>
                <w:bCs/>
                <w:sz w:val="18"/>
                <w:szCs w:val="18"/>
              </w:rPr>
              <w:fldChar w:fldCharType="separate"/>
            </w:r>
            <w:r>
              <w:rPr>
                <w:rFonts w:cs="David"/>
                <w:b/>
                <w:bCs/>
                <w:noProof/>
                <w:sz w:val="18"/>
                <w:szCs w:val="18"/>
                <w:rtl/>
              </w:rPr>
              <w:t>1</w:t>
            </w:r>
            <w:r w:rsidR="00DD71D0" w:rsidRPr="00DD71D0">
              <w:rPr>
                <w:rFonts w:cs="David"/>
                <w:b/>
                <w:bCs/>
                <w:sz w:val="18"/>
                <w:szCs w:val="18"/>
              </w:rPr>
              <w:fldChar w:fldCharType="end"/>
            </w:r>
            <w:r w:rsidR="00DD71D0" w:rsidRPr="00DD71D0">
              <w:rPr>
                <w:rFonts w:cs="David"/>
                <w:sz w:val="18"/>
                <w:szCs w:val="18"/>
                <w:rtl/>
                <w:cs/>
                <w:lang w:val="he-IL"/>
              </w:rPr>
              <w:t xml:space="preserve"> מתוך </w:t>
            </w:r>
            <w:r w:rsidR="00DD71D0" w:rsidRPr="00DD71D0">
              <w:rPr>
                <w:rFonts w:cs="David"/>
                <w:b/>
                <w:bCs/>
                <w:sz w:val="18"/>
                <w:szCs w:val="18"/>
              </w:rPr>
              <w:fldChar w:fldCharType="begin"/>
            </w:r>
            <w:r w:rsidR="00DD71D0" w:rsidRPr="00DD71D0">
              <w:rPr>
                <w:rFonts w:cs="David"/>
                <w:b/>
                <w:bCs/>
                <w:sz w:val="18"/>
                <w:szCs w:val="18"/>
                <w:rtl/>
                <w:cs/>
              </w:rPr>
              <w:instrText>NUMPAGES</w:instrText>
            </w:r>
            <w:r w:rsidR="00DD71D0" w:rsidRPr="00DD71D0">
              <w:rPr>
                <w:rFonts w:cs="David"/>
                <w:b/>
                <w:bCs/>
                <w:sz w:val="18"/>
                <w:szCs w:val="18"/>
              </w:rPr>
              <w:fldChar w:fldCharType="separate"/>
            </w:r>
            <w:r>
              <w:rPr>
                <w:rFonts w:cs="David"/>
                <w:b/>
                <w:bCs/>
                <w:noProof/>
                <w:sz w:val="18"/>
                <w:szCs w:val="18"/>
                <w:rtl/>
              </w:rPr>
              <w:t>1</w:t>
            </w:r>
            <w:r w:rsidR="00DD71D0" w:rsidRPr="00DD71D0">
              <w:rPr>
                <w:rFonts w:cs="David"/>
                <w:b/>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A5" w:rsidRDefault="006371A5" w:rsidP="009F0822">
      <w:pPr>
        <w:spacing w:after="0" w:line="240" w:lineRule="auto"/>
      </w:pPr>
      <w:r>
        <w:separator/>
      </w:r>
    </w:p>
  </w:footnote>
  <w:footnote w:type="continuationSeparator" w:id="0">
    <w:p w:rsidR="006371A5" w:rsidRDefault="006371A5" w:rsidP="009F08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6A"/>
    <w:rsid w:val="001C189C"/>
    <w:rsid w:val="00200236"/>
    <w:rsid w:val="002C0A81"/>
    <w:rsid w:val="003043A9"/>
    <w:rsid w:val="00474405"/>
    <w:rsid w:val="004C07BA"/>
    <w:rsid w:val="005410BB"/>
    <w:rsid w:val="005562AA"/>
    <w:rsid w:val="005776D7"/>
    <w:rsid w:val="006371A5"/>
    <w:rsid w:val="00654B59"/>
    <w:rsid w:val="006F6CB1"/>
    <w:rsid w:val="007814A5"/>
    <w:rsid w:val="007839A5"/>
    <w:rsid w:val="008414EE"/>
    <w:rsid w:val="009F0822"/>
    <w:rsid w:val="00A20836"/>
    <w:rsid w:val="00A555DE"/>
    <w:rsid w:val="00CC3FB7"/>
    <w:rsid w:val="00DD71D0"/>
    <w:rsid w:val="00F03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2"/>
    <w:pPr>
      <w:tabs>
        <w:tab w:val="center" w:pos="4153"/>
        <w:tab w:val="right" w:pos="8306"/>
      </w:tabs>
      <w:spacing w:after="0" w:line="240" w:lineRule="auto"/>
    </w:pPr>
  </w:style>
  <w:style w:type="character" w:customStyle="1" w:styleId="a4">
    <w:name w:val="כותרת עליונה תו"/>
    <w:basedOn w:val="a0"/>
    <w:link w:val="a3"/>
    <w:uiPriority w:val="99"/>
    <w:rsid w:val="009F0822"/>
  </w:style>
  <w:style w:type="paragraph" w:styleId="a5">
    <w:name w:val="footer"/>
    <w:basedOn w:val="a"/>
    <w:link w:val="a6"/>
    <w:uiPriority w:val="99"/>
    <w:unhideWhenUsed/>
    <w:rsid w:val="009F0822"/>
    <w:pPr>
      <w:tabs>
        <w:tab w:val="center" w:pos="4153"/>
        <w:tab w:val="right" w:pos="8306"/>
      </w:tabs>
      <w:spacing w:after="0" w:line="240" w:lineRule="auto"/>
    </w:pPr>
  </w:style>
  <w:style w:type="character" w:customStyle="1" w:styleId="a6">
    <w:name w:val="כותרת תחתונה תו"/>
    <w:basedOn w:val="a0"/>
    <w:link w:val="a5"/>
    <w:uiPriority w:val="99"/>
    <w:rsid w:val="009F0822"/>
  </w:style>
  <w:style w:type="paragraph" w:styleId="a7">
    <w:name w:val="Balloon Text"/>
    <w:basedOn w:val="a"/>
    <w:link w:val="a8"/>
    <w:uiPriority w:val="99"/>
    <w:semiHidden/>
    <w:unhideWhenUsed/>
    <w:rsid w:val="003043A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04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822"/>
    <w:pPr>
      <w:tabs>
        <w:tab w:val="center" w:pos="4153"/>
        <w:tab w:val="right" w:pos="8306"/>
      </w:tabs>
      <w:spacing w:after="0" w:line="240" w:lineRule="auto"/>
    </w:pPr>
  </w:style>
  <w:style w:type="character" w:customStyle="1" w:styleId="a4">
    <w:name w:val="כותרת עליונה תו"/>
    <w:basedOn w:val="a0"/>
    <w:link w:val="a3"/>
    <w:uiPriority w:val="99"/>
    <w:rsid w:val="009F0822"/>
  </w:style>
  <w:style w:type="paragraph" w:styleId="a5">
    <w:name w:val="footer"/>
    <w:basedOn w:val="a"/>
    <w:link w:val="a6"/>
    <w:uiPriority w:val="99"/>
    <w:unhideWhenUsed/>
    <w:rsid w:val="009F0822"/>
    <w:pPr>
      <w:tabs>
        <w:tab w:val="center" w:pos="4153"/>
        <w:tab w:val="right" w:pos="8306"/>
      </w:tabs>
      <w:spacing w:after="0" w:line="240" w:lineRule="auto"/>
    </w:pPr>
  </w:style>
  <w:style w:type="character" w:customStyle="1" w:styleId="a6">
    <w:name w:val="כותרת תחתונה תו"/>
    <w:basedOn w:val="a0"/>
    <w:link w:val="a5"/>
    <w:uiPriority w:val="99"/>
    <w:rsid w:val="009F0822"/>
  </w:style>
  <w:style w:type="paragraph" w:styleId="a7">
    <w:name w:val="Balloon Text"/>
    <w:basedOn w:val="a"/>
    <w:link w:val="a8"/>
    <w:uiPriority w:val="99"/>
    <w:semiHidden/>
    <w:unhideWhenUsed/>
    <w:rsid w:val="003043A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0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3A2103F-DEFA-47D2-A7FE-BA601A72C646}"/>
</file>

<file path=customXml/itemProps2.xml><?xml version="1.0" encoding="utf-8"?>
<ds:datastoreItem xmlns:ds="http://schemas.openxmlformats.org/officeDocument/2006/customXml" ds:itemID="{BF123F55-2818-408F-B894-22508BBE0174}"/>
</file>

<file path=customXml/itemProps3.xml><?xml version="1.0" encoding="utf-8"?>
<ds:datastoreItem xmlns:ds="http://schemas.openxmlformats.org/officeDocument/2006/customXml" ds:itemID="{AAC2E30B-54E7-4E44-A1C2-629A822EC176}"/>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2024</Characters>
  <Application>Microsoft Office Word</Application>
  <DocSecurity>4</DocSecurity>
  <Lines>16</Lines>
  <Paragraphs>4</Paragraphs>
  <ScaleCrop>false</ScaleCrop>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2013-10-30T11:48:00Z</dcterms:created>
  <dcterms:modified xsi:type="dcterms:W3CDTF">2013-10-30T11:48:00Z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