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8BEBC" w14:textId="725033BC" w:rsidR="009056EB" w:rsidRPr="009056EB" w:rsidRDefault="009056EB" w:rsidP="009056EB">
      <w:pPr>
        <w:bidi w:val="0"/>
        <w:jc w:val="center"/>
        <w:rPr>
          <w:rFonts w:cs="David"/>
          <w:b/>
          <w:sz w:val="28"/>
          <w:szCs w:val="28"/>
        </w:rPr>
      </w:pPr>
      <w:bookmarkStart w:id="0" w:name="_GoBack"/>
      <w:bookmarkEnd w:id="0"/>
      <w:r w:rsidRPr="009056EB">
        <w:rPr>
          <w:noProof/>
        </w:rPr>
        <w:drawing>
          <wp:anchor distT="0" distB="0" distL="114300" distR="114300" simplePos="0" relativeHeight="251658240" behindDoc="0" locked="0" layoutInCell="1" allowOverlap="1" wp14:anchorId="7D903972" wp14:editId="2C369046">
            <wp:simplePos x="0" y="0"/>
            <wp:positionH relativeFrom="column">
              <wp:posOffset>2209800</wp:posOffset>
            </wp:positionH>
            <wp:positionV relativeFrom="paragraph">
              <wp:posOffset>-1175385</wp:posOffset>
            </wp:positionV>
            <wp:extent cx="975360" cy="975360"/>
            <wp:effectExtent l="0" t="0" r="0" b="0"/>
            <wp:wrapNone/>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56EB">
        <w:rPr>
          <w:rFonts w:cs="David"/>
          <w:b/>
          <w:sz w:val="28"/>
          <w:szCs w:val="28"/>
        </w:rPr>
        <w:t>BANK OF ISRAEL</w:t>
      </w:r>
    </w:p>
    <w:p w14:paraId="5529F282" w14:textId="77777777" w:rsidR="009056EB" w:rsidRPr="009056EB" w:rsidRDefault="009056EB" w:rsidP="009056EB">
      <w:pPr>
        <w:bidi w:val="0"/>
        <w:spacing w:line="300" w:lineRule="atLeast"/>
        <w:jc w:val="center"/>
        <w:rPr>
          <w:b/>
        </w:rPr>
      </w:pPr>
      <w:r w:rsidRPr="009056EB">
        <w:t>Office of the Spokesperson and Economic Information</w:t>
      </w:r>
    </w:p>
    <w:p w14:paraId="4549589E" w14:textId="77777777" w:rsidR="009056EB" w:rsidRPr="009056EB" w:rsidRDefault="009056EB" w:rsidP="009056EB">
      <w:pPr>
        <w:bidi w:val="0"/>
        <w:jc w:val="center"/>
        <w:rPr>
          <w:rFonts w:cs="David"/>
          <w:b/>
          <w:bCs/>
        </w:rPr>
      </w:pPr>
    </w:p>
    <w:p w14:paraId="06449B64" w14:textId="77777777" w:rsidR="009056EB" w:rsidRDefault="009056EB" w:rsidP="009056EB">
      <w:pPr>
        <w:bidi w:val="0"/>
        <w:rPr>
          <w:b/>
          <w:bCs/>
          <w:rtl/>
        </w:rPr>
      </w:pPr>
    </w:p>
    <w:p w14:paraId="62279174" w14:textId="5BEDE496" w:rsidR="00672497" w:rsidRDefault="00EB329D" w:rsidP="009056EB">
      <w:pPr>
        <w:bidi w:val="0"/>
        <w:jc w:val="right"/>
      </w:pPr>
      <w:r>
        <w:t>January 9, 2020</w:t>
      </w:r>
    </w:p>
    <w:p w14:paraId="50673D03" w14:textId="77777777" w:rsidR="009056EB" w:rsidRPr="00672497" w:rsidRDefault="009056EB" w:rsidP="009056EB">
      <w:pPr>
        <w:bidi w:val="0"/>
        <w:jc w:val="right"/>
      </w:pPr>
    </w:p>
    <w:p w14:paraId="576F4193" w14:textId="77777777" w:rsidR="009056EB" w:rsidRDefault="009056EB" w:rsidP="009056EB">
      <w:pPr>
        <w:tabs>
          <w:tab w:val="center" w:pos="4156"/>
          <w:tab w:val="right" w:pos="8312"/>
        </w:tabs>
        <w:bidi w:val="0"/>
        <w:jc w:val="center"/>
        <w:rPr>
          <w:rFonts w:cs="David"/>
        </w:rPr>
      </w:pPr>
      <w:r w:rsidRPr="009056EB">
        <w:rPr>
          <w:rFonts w:cs="David"/>
        </w:rPr>
        <w:t>Press Release:</w:t>
      </w:r>
    </w:p>
    <w:p w14:paraId="2B6C1749" w14:textId="3D5363C1" w:rsidR="00672497" w:rsidRDefault="00672497" w:rsidP="00672497">
      <w:pPr>
        <w:bidi w:val="0"/>
        <w:jc w:val="right"/>
        <w:rPr>
          <w:b/>
          <w:bCs/>
        </w:rPr>
      </w:pPr>
    </w:p>
    <w:p w14:paraId="4326ABF2" w14:textId="77777777" w:rsidR="009056EB" w:rsidRDefault="009056EB" w:rsidP="009056EB">
      <w:pPr>
        <w:bidi w:val="0"/>
        <w:jc w:val="center"/>
        <w:rPr>
          <w:b/>
          <w:bCs/>
        </w:rPr>
      </w:pPr>
    </w:p>
    <w:p w14:paraId="611E506E" w14:textId="651C962B" w:rsidR="00A21D01" w:rsidRPr="009056EB" w:rsidRDefault="00A21D01" w:rsidP="009E0C68">
      <w:pPr>
        <w:bidi w:val="0"/>
        <w:jc w:val="center"/>
        <w:rPr>
          <w:b/>
          <w:bCs/>
          <w:sz w:val="28"/>
          <w:szCs w:val="28"/>
        </w:rPr>
      </w:pPr>
      <w:r w:rsidRPr="009056EB">
        <w:rPr>
          <w:b/>
          <w:bCs/>
          <w:sz w:val="28"/>
          <w:szCs w:val="28"/>
        </w:rPr>
        <w:t xml:space="preserve">Research Department Staff Forecast, </w:t>
      </w:r>
      <w:r w:rsidR="00EB329D" w:rsidRPr="009056EB">
        <w:rPr>
          <w:b/>
          <w:bCs/>
          <w:sz w:val="28"/>
          <w:szCs w:val="28"/>
        </w:rPr>
        <w:t xml:space="preserve">January </w:t>
      </w:r>
      <w:r w:rsidR="009E0C68" w:rsidRPr="009056EB">
        <w:rPr>
          <w:b/>
          <w:bCs/>
          <w:sz w:val="28"/>
          <w:szCs w:val="28"/>
        </w:rPr>
        <w:t>2020</w:t>
      </w:r>
    </w:p>
    <w:p w14:paraId="6300892A" w14:textId="77777777" w:rsidR="00252B31" w:rsidRDefault="00252B31" w:rsidP="007D70EA">
      <w:pPr>
        <w:bidi w:val="0"/>
        <w:spacing w:line="360" w:lineRule="auto"/>
        <w:jc w:val="both"/>
        <w:rPr>
          <w:b/>
          <w:bCs/>
        </w:rPr>
      </w:pPr>
    </w:p>
    <w:p w14:paraId="269AFE1B" w14:textId="77777777" w:rsidR="00A21D01" w:rsidRPr="00D60117" w:rsidRDefault="00A21D01" w:rsidP="00252B31">
      <w:pPr>
        <w:bidi w:val="0"/>
        <w:spacing w:line="360" w:lineRule="auto"/>
        <w:jc w:val="both"/>
      </w:pPr>
      <w:r w:rsidRPr="00D60117">
        <w:rPr>
          <w:b/>
          <w:bCs/>
        </w:rPr>
        <w:t>Abstract</w:t>
      </w:r>
    </w:p>
    <w:p w14:paraId="2313103A" w14:textId="40156775" w:rsidR="00A21D01" w:rsidRDefault="00A21D01" w:rsidP="007B2A02">
      <w:pPr>
        <w:bidi w:val="0"/>
        <w:jc w:val="both"/>
      </w:pPr>
      <w:r w:rsidRPr="00AA460A">
        <w:t>This document presents the forecast of macroeconomic developments compiled by the Bank of Israel Research Department in</w:t>
      </w:r>
      <w:r>
        <w:t xml:space="preserve"> </w:t>
      </w:r>
      <w:r w:rsidR="00EB329D">
        <w:t>January 2020</w:t>
      </w:r>
      <w:r w:rsidR="000011B9">
        <w:rPr>
          <w:rStyle w:val="ac"/>
        </w:rPr>
        <w:footnoteReference w:id="1"/>
      </w:r>
      <w:r w:rsidR="00257892">
        <w:t xml:space="preserve"> </w:t>
      </w:r>
      <w:r w:rsidR="00110630">
        <w:t xml:space="preserve">regarding </w:t>
      </w:r>
      <w:r w:rsidR="00F6480D">
        <w:t>the main macroeconomic variables—GDP, inflation and the interest rate</w:t>
      </w:r>
      <w:r w:rsidR="00257892">
        <w:t>.</w:t>
      </w:r>
      <w:r w:rsidR="00F6480D">
        <w:t xml:space="preserve"> </w:t>
      </w:r>
      <w:r w:rsidRPr="00AA460A">
        <w:t xml:space="preserve">According to the staff forecast, </w:t>
      </w:r>
      <w:r>
        <w:t>g</w:t>
      </w:r>
      <w:r w:rsidRPr="00AA460A">
        <w:t xml:space="preserve">ross domestic product (GDP) is projected to </w:t>
      </w:r>
      <w:r>
        <w:t xml:space="preserve">increase </w:t>
      </w:r>
      <w:r w:rsidRPr="00AA460A">
        <w:t xml:space="preserve">by </w:t>
      </w:r>
      <w:r w:rsidR="00EB329D">
        <w:t xml:space="preserve">2.9 </w:t>
      </w:r>
      <w:r w:rsidRPr="00AA460A">
        <w:t>percent in</w:t>
      </w:r>
      <w:r w:rsidR="00EB329D">
        <w:t xml:space="preserve"> 2020</w:t>
      </w:r>
      <w:r w:rsidR="008C5D59">
        <w:t xml:space="preserve">, </w:t>
      </w:r>
      <w:r w:rsidR="00EB329D">
        <w:t xml:space="preserve">slightly </w:t>
      </w:r>
      <w:r w:rsidR="007B2A02">
        <w:t>lower than</w:t>
      </w:r>
      <w:r w:rsidR="00EB329D">
        <w:t xml:space="preserve"> </w:t>
      </w:r>
      <w:r w:rsidR="008C5D59">
        <w:t xml:space="preserve">the previous forecast, </w:t>
      </w:r>
      <w:r>
        <w:t xml:space="preserve">and </w:t>
      </w:r>
      <w:r w:rsidRPr="00AA460A">
        <w:t xml:space="preserve">by </w:t>
      </w:r>
      <w:r w:rsidR="008F2323">
        <w:t>3.</w:t>
      </w:r>
      <w:r w:rsidR="00E5234B">
        <w:t>2</w:t>
      </w:r>
      <w:r>
        <w:t xml:space="preserve"> </w:t>
      </w:r>
      <w:r w:rsidRPr="00AA460A">
        <w:t>percent in 20</w:t>
      </w:r>
      <w:r w:rsidR="008F2323">
        <w:t>2</w:t>
      </w:r>
      <w:r w:rsidR="00E5234B">
        <w:t>1</w:t>
      </w:r>
      <w:r w:rsidR="008F2323">
        <w:t>.</w:t>
      </w:r>
      <w:r>
        <w:t xml:space="preserve"> T</w:t>
      </w:r>
      <w:r w:rsidRPr="00AA460A">
        <w:t xml:space="preserve">he inflation </w:t>
      </w:r>
      <w:r w:rsidR="00ED6FEF">
        <w:t xml:space="preserve">rate </w:t>
      </w:r>
      <w:r w:rsidR="003936A5">
        <w:t xml:space="preserve">in 2020 </w:t>
      </w:r>
      <w:r>
        <w:t xml:space="preserve">is expected to </w:t>
      </w:r>
      <w:r w:rsidRPr="00AA460A">
        <w:t xml:space="preserve">be </w:t>
      </w:r>
      <w:r w:rsidR="0037682D">
        <w:t>1.</w:t>
      </w:r>
      <w:r w:rsidR="00E5234B">
        <w:t xml:space="preserve">0 </w:t>
      </w:r>
      <w:r w:rsidRPr="000A5761">
        <w:t>percent</w:t>
      </w:r>
      <w:r w:rsidR="0048372A">
        <w:t xml:space="preserve">, </w:t>
      </w:r>
      <w:r w:rsidR="00672497">
        <w:t>lower than</w:t>
      </w:r>
      <w:r w:rsidR="0048372A">
        <w:t xml:space="preserve"> the previous forecast</w:t>
      </w:r>
      <w:r w:rsidR="00E5234B">
        <w:t>, and to be 1.4 percent in 2021.</w:t>
      </w:r>
      <w:r w:rsidR="0048372A">
        <w:t xml:space="preserve"> </w:t>
      </w:r>
      <w:r w:rsidR="006F56F7">
        <w:t>According to the forecast, t</w:t>
      </w:r>
      <w:r w:rsidRPr="00C15145">
        <w:t>he Bank of Israel</w:t>
      </w:r>
      <w:r>
        <w:t xml:space="preserve"> </w:t>
      </w:r>
      <w:r w:rsidRPr="00C15145">
        <w:t>interest rate</w:t>
      </w:r>
      <w:r>
        <w:t xml:space="preserve"> </w:t>
      </w:r>
      <w:r w:rsidR="00DB05DA">
        <w:t xml:space="preserve">in one year </w:t>
      </w:r>
      <w:r>
        <w:t xml:space="preserve">is expected to </w:t>
      </w:r>
      <w:r w:rsidR="00DB05DA">
        <w:t xml:space="preserve">be 0.25 percent or </w:t>
      </w:r>
      <w:r w:rsidR="009F02C1">
        <w:t>0.1 percent</w:t>
      </w:r>
      <w:r w:rsidRPr="00BF2375">
        <w:t>.</w:t>
      </w:r>
    </w:p>
    <w:p w14:paraId="2D624050" w14:textId="77777777" w:rsidR="000011B9" w:rsidRDefault="000011B9" w:rsidP="000011B9">
      <w:pPr>
        <w:bidi w:val="0"/>
        <w:jc w:val="both"/>
      </w:pPr>
    </w:p>
    <w:p w14:paraId="2D49FC3B" w14:textId="77777777" w:rsidR="00A21D01" w:rsidRPr="0048372A" w:rsidRDefault="00A21D01" w:rsidP="00A21D01">
      <w:pPr>
        <w:bidi w:val="0"/>
        <w:spacing w:line="360" w:lineRule="auto"/>
        <w:jc w:val="both"/>
        <w:rPr>
          <w:b/>
          <w:bCs/>
        </w:rPr>
      </w:pPr>
      <w:r w:rsidRPr="0048372A">
        <w:rPr>
          <w:b/>
          <w:bCs/>
        </w:rPr>
        <w:t xml:space="preserve">Forecast </w:t>
      </w:r>
    </w:p>
    <w:p w14:paraId="0A5E1BA2" w14:textId="77777777" w:rsidR="00A21D01" w:rsidRPr="00D60117" w:rsidRDefault="00A21D01" w:rsidP="009C7987">
      <w:pPr>
        <w:bidi w:val="0"/>
        <w:jc w:val="both"/>
      </w:pPr>
      <w:r w:rsidRPr="0048372A">
        <w:t>The Bank of Israel Research Department compiles a staff forecast of macroeconomic developments on a quarterly basis. The staff forecast is based on several models, various data sources, and assessments based on economists</w:t>
      </w:r>
      <w:r w:rsidR="009C7987" w:rsidRPr="0048372A">
        <w:t>’</w:t>
      </w:r>
      <w:r w:rsidRPr="0048372A">
        <w:t xml:space="preserve"> judgment.</w:t>
      </w:r>
      <w:r w:rsidR="009C7987" w:rsidRPr="0048372A">
        <w:rPr>
          <w:rStyle w:val="ac"/>
        </w:rPr>
        <w:footnoteReference w:id="2"/>
      </w:r>
      <w:r w:rsidR="009C7987" w:rsidRPr="0048372A">
        <w:t xml:space="preserve"> The Bank’s</w:t>
      </w:r>
      <w:r w:rsidRPr="0048372A">
        <w:t xml:space="preserve"> DSGE (Dynamic Stochastic General Equilibrium) model developed in the Research Department—a structural model based on microeconomic foundations—plays a primary role in formulating the macroeconomic forecast.</w:t>
      </w:r>
      <w:r w:rsidRPr="0048372A">
        <w:rPr>
          <w:rStyle w:val="ac"/>
        </w:rPr>
        <w:footnoteReference w:id="3"/>
      </w:r>
      <w:r w:rsidRPr="0048372A">
        <w:t xml:space="preserve"> The model provides a framework for analyzing the forces </w:t>
      </w:r>
      <w:r w:rsidR="00CA7CFC" w:rsidRPr="0048372A">
        <w:t>that</w:t>
      </w:r>
      <w:r w:rsidRPr="0048372A">
        <w:t xml:space="preserve"> have an effect on the economy, and allows information from various sources </w:t>
      </w:r>
      <w:r w:rsidR="00CA7CFC" w:rsidRPr="0048372A">
        <w:t xml:space="preserve">to be combined </w:t>
      </w:r>
      <w:r w:rsidRPr="0048372A">
        <w:t xml:space="preserve">into a macroeconomic forecast </w:t>
      </w:r>
      <w:r w:rsidR="00CA7CFC" w:rsidRPr="0048372A">
        <w:t>of</w:t>
      </w:r>
      <w:r w:rsidRPr="0048372A">
        <w:t xml:space="preserve"> real and nominal variables, with an internally consistent </w:t>
      </w:r>
      <w:r w:rsidR="009C7987" w:rsidRPr="0048372A">
        <w:t>“</w:t>
      </w:r>
      <w:r w:rsidRPr="0048372A">
        <w:t>economic story</w:t>
      </w:r>
      <w:r w:rsidR="009C7987" w:rsidRPr="0048372A">
        <w:t>”</w:t>
      </w:r>
      <w:r w:rsidRPr="0048372A">
        <w:t>.</w:t>
      </w:r>
    </w:p>
    <w:p w14:paraId="5756D22B" w14:textId="77777777" w:rsidR="00A21D01" w:rsidRPr="00D60117" w:rsidRDefault="00A21D01" w:rsidP="00A21D01">
      <w:pPr>
        <w:bidi w:val="0"/>
        <w:jc w:val="both"/>
      </w:pPr>
    </w:p>
    <w:p w14:paraId="38C99DEE" w14:textId="77777777" w:rsidR="00A21D01" w:rsidRPr="00D60117" w:rsidRDefault="00A21D01" w:rsidP="00A21D01">
      <w:pPr>
        <w:numPr>
          <w:ilvl w:val="0"/>
          <w:numId w:val="9"/>
        </w:numPr>
        <w:bidi w:val="0"/>
        <w:spacing w:line="360" w:lineRule="auto"/>
        <w:ind w:left="357" w:hanging="357"/>
        <w:jc w:val="both"/>
        <w:rPr>
          <w:b/>
          <w:bCs/>
        </w:rPr>
      </w:pPr>
      <w:r w:rsidRPr="00D60117">
        <w:rPr>
          <w:b/>
          <w:bCs/>
        </w:rPr>
        <w:t>The global environment</w:t>
      </w:r>
    </w:p>
    <w:p w14:paraId="62D86BC0" w14:textId="2C01E27C" w:rsidR="004749A9" w:rsidRDefault="00A21D01" w:rsidP="006F37BC">
      <w:pPr>
        <w:bidi w:val="0"/>
        <w:jc w:val="both"/>
      </w:pPr>
      <w:r>
        <w:t xml:space="preserve">Our assessments of expected developments in the global economy are based mainly on projections by international institutions and foreign investment houses. </w:t>
      </w:r>
      <w:r w:rsidR="004749A9">
        <w:t xml:space="preserve">The </w:t>
      </w:r>
      <w:r w:rsidR="004749A9" w:rsidRPr="0099505F">
        <w:t>forecast for import</w:t>
      </w:r>
      <w:r w:rsidR="004749A9">
        <w:t xml:space="preserve"> </w:t>
      </w:r>
      <w:r w:rsidR="0099505F">
        <w:t>growth in</w:t>
      </w:r>
      <w:r w:rsidR="004749A9">
        <w:t xml:space="preserve"> advanced economies in 2020 was reduced to 2.0 percent</w:t>
      </w:r>
      <w:r w:rsidR="002675D3">
        <w:t xml:space="preserve">, and the </w:t>
      </w:r>
      <w:r w:rsidR="002675D3">
        <w:lastRenderedPageBreak/>
        <w:t>forecast for 2021 is 2.5 percent.</w:t>
      </w:r>
      <w:r w:rsidR="00A21B4F">
        <w:t xml:space="preserve"> The assumptions regarding </w:t>
      </w:r>
      <w:r w:rsidR="0099505F">
        <w:t xml:space="preserve">output </w:t>
      </w:r>
      <w:r w:rsidR="00A21B4F">
        <w:t xml:space="preserve">growth, inflation, and </w:t>
      </w:r>
      <w:r w:rsidR="00547487">
        <w:t xml:space="preserve">the interest rate in advanced economies are similar to those used in the previous forecast. Specifically, we assume that </w:t>
      </w:r>
      <w:r w:rsidR="0099505F">
        <w:t xml:space="preserve">GDP in </w:t>
      </w:r>
      <w:r w:rsidR="00547487">
        <w:t>advanced economies will grow by 1.3 percent in 2020 and by 1.5 percent in 2021, and that the inflation rate will be 1.6 percent in 2020 and 1.7 percent in 2021.</w:t>
      </w:r>
      <w:r w:rsidR="002439B2">
        <w:t xml:space="preserve"> The average price of a barrel of Brent crude oil was $62 in the fourth quarter of 2019, similar to the third quarter, though toward the end of the quarter the price increased to $68.</w:t>
      </w:r>
    </w:p>
    <w:p w14:paraId="2DBD48B7" w14:textId="77777777" w:rsidR="00547487" w:rsidRDefault="00547487" w:rsidP="00547487">
      <w:pPr>
        <w:bidi w:val="0"/>
        <w:jc w:val="both"/>
      </w:pPr>
    </w:p>
    <w:p w14:paraId="1BD2BDD2" w14:textId="77777777" w:rsidR="00A21D01" w:rsidRDefault="00A21D01" w:rsidP="0087184F">
      <w:pPr>
        <w:numPr>
          <w:ilvl w:val="0"/>
          <w:numId w:val="9"/>
        </w:numPr>
        <w:bidi w:val="0"/>
        <w:spacing w:line="360" w:lineRule="auto"/>
        <w:ind w:left="357" w:hanging="357"/>
        <w:jc w:val="both"/>
        <w:rPr>
          <w:b/>
          <w:bCs/>
        </w:rPr>
      </w:pPr>
      <w:r w:rsidRPr="00D66FAE">
        <w:rPr>
          <w:b/>
          <w:bCs/>
        </w:rPr>
        <w:t>Real activity in</w:t>
      </w:r>
      <w:r w:rsidRPr="00D60117">
        <w:rPr>
          <w:b/>
          <w:bCs/>
        </w:rPr>
        <w:t xml:space="preserve"> Israel</w:t>
      </w:r>
    </w:p>
    <w:p w14:paraId="2488CF4C" w14:textId="05B7A107" w:rsidR="00FF4D1B" w:rsidRDefault="00A21D01" w:rsidP="00370A76">
      <w:pPr>
        <w:bidi w:val="0"/>
        <w:jc w:val="both"/>
      </w:pPr>
      <w:r w:rsidRPr="00D60117">
        <w:rPr>
          <w:b/>
          <w:bCs/>
        </w:rPr>
        <w:t xml:space="preserve">GDP </w:t>
      </w:r>
      <w:r>
        <w:rPr>
          <w:b/>
          <w:bCs/>
        </w:rPr>
        <w:t xml:space="preserve">is expected to grow </w:t>
      </w:r>
      <w:r w:rsidR="002B2C64" w:rsidRPr="00D60117">
        <w:rPr>
          <w:b/>
          <w:bCs/>
        </w:rPr>
        <w:t xml:space="preserve">in </w:t>
      </w:r>
      <w:r w:rsidR="003D1C8A">
        <w:rPr>
          <w:b/>
          <w:bCs/>
        </w:rPr>
        <w:t>2020</w:t>
      </w:r>
      <w:r w:rsidR="002B2C64">
        <w:rPr>
          <w:b/>
          <w:bCs/>
        </w:rPr>
        <w:t xml:space="preserve"> </w:t>
      </w:r>
      <w:r>
        <w:rPr>
          <w:b/>
          <w:bCs/>
        </w:rPr>
        <w:t xml:space="preserve">by </w:t>
      </w:r>
      <w:r w:rsidR="004650F8">
        <w:rPr>
          <w:b/>
          <w:bCs/>
        </w:rPr>
        <w:t xml:space="preserve">2.9 </w:t>
      </w:r>
      <w:r w:rsidRPr="00D60117">
        <w:rPr>
          <w:b/>
          <w:bCs/>
        </w:rPr>
        <w:t>percent</w:t>
      </w:r>
      <w:r w:rsidR="002B2C64">
        <w:rPr>
          <w:b/>
          <w:bCs/>
        </w:rPr>
        <w:t>, a slightly lower pace than in the</w:t>
      </w:r>
      <w:r w:rsidR="004A6FAD">
        <w:rPr>
          <w:b/>
          <w:bCs/>
        </w:rPr>
        <w:t xml:space="preserve"> </w:t>
      </w:r>
      <w:r w:rsidR="002B2C64">
        <w:rPr>
          <w:b/>
          <w:bCs/>
        </w:rPr>
        <w:t xml:space="preserve">previous forecast, </w:t>
      </w:r>
      <w:r w:rsidR="00D66FAE">
        <w:rPr>
          <w:b/>
          <w:bCs/>
        </w:rPr>
        <w:t xml:space="preserve">and </w:t>
      </w:r>
      <w:r w:rsidR="002B2C64">
        <w:rPr>
          <w:b/>
          <w:bCs/>
        </w:rPr>
        <w:t xml:space="preserve">to grow </w:t>
      </w:r>
      <w:r w:rsidR="00D66FAE">
        <w:rPr>
          <w:b/>
          <w:bCs/>
        </w:rPr>
        <w:t>by 3.</w:t>
      </w:r>
      <w:r w:rsidR="002B2C64">
        <w:rPr>
          <w:b/>
          <w:bCs/>
        </w:rPr>
        <w:t>2</w:t>
      </w:r>
      <w:r w:rsidR="00D66FAE">
        <w:rPr>
          <w:b/>
          <w:bCs/>
        </w:rPr>
        <w:t xml:space="preserve"> percent in 20</w:t>
      </w:r>
      <w:r w:rsidR="00A034A0">
        <w:rPr>
          <w:b/>
          <w:bCs/>
        </w:rPr>
        <w:t>2</w:t>
      </w:r>
      <w:r w:rsidR="00A90482">
        <w:rPr>
          <w:b/>
          <w:bCs/>
        </w:rPr>
        <w:t>1</w:t>
      </w:r>
      <w:r w:rsidR="00D66FAE" w:rsidRPr="00EE6B01">
        <w:t xml:space="preserve"> </w:t>
      </w:r>
      <w:r w:rsidRPr="00EE6B01">
        <w:t>(Table 1)</w:t>
      </w:r>
      <w:r>
        <w:t xml:space="preserve">. </w:t>
      </w:r>
      <w:r w:rsidR="00200B11">
        <w:t xml:space="preserve">The forecast for 2020 includes the effect of the beginning of natural gas production from the Leviathan reservoir, which we assess will contribute approximately 0.3 percent to GDP growth in </w:t>
      </w:r>
      <w:r w:rsidR="00370A76">
        <w:t>the year</w:t>
      </w:r>
      <w:r w:rsidR="00200B11">
        <w:t xml:space="preserve">. </w:t>
      </w:r>
      <w:r w:rsidR="00EE6B01">
        <w:t xml:space="preserve">Compared to the previous forecast, the </w:t>
      </w:r>
      <w:r w:rsidR="004A6FAD">
        <w:t xml:space="preserve">exports </w:t>
      </w:r>
      <w:r w:rsidR="00EE6B01">
        <w:t xml:space="preserve">forecast for </w:t>
      </w:r>
      <w:r w:rsidR="004A6FAD">
        <w:t xml:space="preserve">2020 </w:t>
      </w:r>
      <w:r w:rsidR="00EE6B01">
        <w:t xml:space="preserve">was </w:t>
      </w:r>
      <w:r w:rsidR="004A6FAD">
        <w:t xml:space="preserve">revised downward </w:t>
      </w:r>
      <w:r w:rsidR="00EE6B01">
        <w:t xml:space="preserve">slightly </w:t>
      </w:r>
      <w:r w:rsidR="004A6FAD">
        <w:t xml:space="preserve">in view of the decline </w:t>
      </w:r>
      <w:r w:rsidR="00356E71">
        <w:t xml:space="preserve">in </w:t>
      </w:r>
      <w:r w:rsidR="004A6FAD">
        <w:t xml:space="preserve">the world trade forecast </w:t>
      </w:r>
      <w:r w:rsidR="00CD587B">
        <w:t>and due to a</w:t>
      </w:r>
      <w:r w:rsidR="004A6FAD">
        <w:t xml:space="preserve"> change in the expect</w:t>
      </w:r>
      <w:r w:rsidR="00CD587B">
        <w:t>ed</w:t>
      </w:r>
      <w:r w:rsidR="004A6FAD">
        <w:t xml:space="preserve"> domestic activity of large companies. This </w:t>
      </w:r>
      <w:r w:rsidR="00A46126">
        <w:t>activity</w:t>
      </w:r>
      <w:r w:rsidR="004A6FAD">
        <w:t xml:space="preserve"> is </w:t>
      </w:r>
      <w:r w:rsidR="002A7AAA">
        <w:t xml:space="preserve">also </w:t>
      </w:r>
      <w:r w:rsidR="004A6FAD">
        <w:t xml:space="preserve">expected to be reflected in an increase in </w:t>
      </w:r>
      <w:r w:rsidR="001443DE">
        <w:t>imported investments in 202</w:t>
      </w:r>
      <w:r w:rsidR="004A6FAD">
        <w:t xml:space="preserve">0, beyond </w:t>
      </w:r>
      <w:r w:rsidR="00A46126">
        <w:t>these</w:t>
      </w:r>
      <w:r w:rsidR="004A6FAD">
        <w:t xml:space="preserve"> </w:t>
      </w:r>
      <w:r w:rsidR="00A46126">
        <w:t>incorporate</w:t>
      </w:r>
      <w:r w:rsidR="004A6FAD">
        <w:t xml:space="preserve">d in the </w:t>
      </w:r>
      <w:r w:rsidR="00A46126">
        <w:t>previous</w:t>
      </w:r>
      <w:r w:rsidR="004A6FAD">
        <w:t xml:space="preserve"> forecast. The assumption</w:t>
      </w:r>
      <w:r w:rsidR="005D5724">
        <w:t>s</w:t>
      </w:r>
      <w:r w:rsidR="004A6FAD">
        <w:t xml:space="preserve"> </w:t>
      </w:r>
      <w:r w:rsidR="00A46126">
        <w:t>regarding</w:t>
      </w:r>
      <w:r w:rsidR="004A6FAD">
        <w:t xml:space="preserve"> fiscal policy </w:t>
      </w:r>
      <w:r w:rsidR="00A46126">
        <w:t>were</w:t>
      </w:r>
      <w:r w:rsidR="004A6FAD">
        <w:t xml:space="preserve"> </w:t>
      </w:r>
      <w:r w:rsidR="00A46126">
        <w:t>revised</w:t>
      </w:r>
      <w:r w:rsidR="004A6FAD">
        <w:t xml:space="preserve"> in view of the </w:t>
      </w:r>
      <w:r w:rsidR="00A46126">
        <w:t>decision</w:t>
      </w:r>
      <w:r w:rsidR="004A6FAD">
        <w:t xml:space="preserve"> to </w:t>
      </w:r>
      <w:r w:rsidR="00A46126">
        <w:t>disperse</w:t>
      </w:r>
      <w:r w:rsidR="004A6FAD">
        <w:t xml:space="preserve"> the Knesset </w:t>
      </w:r>
      <w:r w:rsidR="00A46126">
        <w:t>and</w:t>
      </w:r>
      <w:r w:rsidR="004A6FAD">
        <w:t xml:space="preserve"> to </w:t>
      </w:r>
      <w:r w:rsidR="00A46126">
        <w:t>hold</w:t>
      </w:r>
      <w:r w:rsidR="004A6FAD">
        <w:t xml:space="preserve"> additional elections in the </w:t>
      </w:r>
      <w:r w:rsidR="00A46126">
        <w:t>beginning</w:t>
      </w:r>
      <w:r w:rsidR="005D5724">
        <w:t xml:space="preserve"> of 2020. In </w:t>
      </w:r>
      <w:r w:rsidR="00A46126">
        <w:t>particular</w:t>
      </w:r>
      <w:r w:rsidR="004A6FAD">
        <w:t xml:space="preserve">, we </w:t>
      </w:r>
      <w:r w:rsidR="00A46126">
        <w:t>assume</w:t>
      </w:r>
      <w:r w:rsidR="004A6FAD">
        <w:t xml:space="preserve"> that </w:t>
      </w:r>
      <w:r w:rsidR="00A46126">
        <w:t>the</w:t>
      </w:r>
      <w:r w:rsidR="004A6FAD">
        <w:t xml:space="preserve"> fi</w:t>
      </w:r>
      <w:r w:rsidR="00752A06">
        <w:t>r</w:t>
      </w:r>
      <w:r w:rsidR="004A6FAD">
        <w:t xml:space="preserve">st part of 2020 will be </w:t>
      </w:r>
      <w:r w:rsidR="004A6FAD" w:rsidRPr="007B61D9">
        <w:t>con</w:t>
      </w:r>
      <w:r w:rsidR="00A46126" w:rsidRPr="007B61D9">
        <w:t>d</w:t>
      </w:r>
      <w:r w:rsidR="004A6FAD" w:rsidRPr="001F3D36">
        <w:t>u</w:t>
      </w:r>
      <w:r w:rsidR="00A46126" w:rsidRPr="001F3D36">
        <w:t>c</w:t>
      </w:r>
      <w:r w:rsidR="004A6FAD" w:rsidRPr="001F3D36">
        <w:t>ted using an interim</w:t>
      </w:r>
      <w:r w:rsidR="004A6FAD" w:rsidRPr="007B61D9">
        <w:t xml:space="preserve"> budget</w:t>
      </w:r>
      <w:r w:rsidR="004A6FAD">
        <w:t xml:space="preserve">. In </w:t>
      </w:r>
      <w:r w:rsidR="00A46126">
        <w:t>addition</w:t>
      </w:r>
      <w:r w:rsidR="004A6FAD">
        <w:t xml:space="preserve">, we </w:t>
      </w:r>
      <w:r w:rsidR="00A46126">
        <w:t>assume</w:t>
      </w:r>
      <w:r w:rsidR="004A6FAD">
        <w:t xml:space="preserve"> that after the </w:t>
      </w:r>
      <w:r w:rsidR="00A46126">
        <w:t>elections</w:t>
      </w:r>
      <w:r w:rsidR="004A6FAD">
        <w:t xml:space="preserve"> and the formation of a </w:t>
      </w:r>
      <w:r w:rsidR="00A46126">
        <w:t>government</w:t>
      </w:r>
      <w:r w:rsidR="004A6FAD">
        <w:t xml:space="preserve">, steps </w:t>
      </w:r>
      <w:r w:rsidR="00A46126">
        <w:t>will</w:t>
      </w:r>
      <w:r w:rsidR="004A6FAD">
        <w:t xml:space="preserve"> be taken to reduce the </w:t>
      </w:r>
      <w:r w:rsidR="00A46126">
        <w:t>deficit</w:t>
      </w:r>
      <w:r w:rsidR="004A6FAD">
        <w:t xml:space="preserve">, </w:t>
      </w:r>
      <w:r w:rsidR="005B28DF">
        <w:t xml:space="preserve">through </w:t>
      </w:r>
      <w:r w:rsidR="005118A2">
        <w:t xml:space="preserve">lowering </w:t>
      </w:r>
      <w:r w:rsidR="004A6FAD">
        <w:t xml:space="preserve">the </w:t>
      </w:r>
      <w:r w:rsidR="00A46126">
        <w:t>growth</w:t>
      </w:r>
      <w:r w:rsidR="004A6FAD">
        <w:t xml:space="preserve"> rate of </w:t>
      </w:r>
      <w:r w:rsidR="00A46126">
        <w:t>public</w:t>
      </w:r>
      <w:r w:rsidR="004A6FAD">
        <w:t xml:space="preserve"> </w:t>
      </w:r>
      <w:r w:rsidR="00A46126">
        <w:t>expenditure</w:t>
      </w:r>
      <w:r w:rsidR="004A6FAD">
        <w:t xml:space="preserve"> compared with </w:t>
      </w:r>
      <w:r w:rsidR="00A46126">
        <w:t>previous</w:t>
      </w:r>
      <w:r w:rsidR="004A6FAD">
        <w:t xml:space="preserve"> years, </w:t>
      </w:r>
      <w:r w:rsidR="00A46126">
        <w:t>and</w:t>
      </w:r>
      <w:r w:rsidR="004A6FAD">
        <w:t xml:space="preserve"> via an </w:t>
      </w:r>
      <w:r w:rsidR="00A46126">
        <w:t>increase</w:t>
      </w:r>
      <w:r w:rsidR="004A6FAD">
        <w:t xml:space="preserve"> </w:t>
      </w:r>
      <w:r w:rsidR="00A46126">
        <w:t>o</w:t>
      </w:r>
      <w:r w:rsidR="004A6FAD">
        <w:t>n</w:t>
      </w:r>
      <w:r w:rsidR="00A46126">
        <w:t xml:space="preserve"> </w:t>
      </w:r>
      <w:r w:rsidR="004A6FAD">
        <w:t>the re</w:t>
      </w:r>
      <w:r w:rsidR="00A46126">
        <w:t>v</w:t>
      </w:r>
      <w:r w:rsidR="004A6FAD">
        <w:t xml:space="preserve">enues side. </w:t>
      </w:r>
    </w:p>
    <w:p w14:paraId="53E9B11F" w14:textId="77777777" w:rsidR="00053C7B" w:rsidRDefault="00053C7B" w:rsidP="00053C7B">
      <w:pPr>
        <w:bidi w:val="0"/>
        <w:jc w:val="both"/>
      </w:pPr>
    </w:p>
    <w:tbl>
      <w:tblPr>
        <w:tblStyle w:val="a7"/>
        <w:tblW w:w="8898" w:type="dxa"/>
        <w:tblLayout w:type="fixed"/>
        <w:tblLook w:val="04A0" w:firstRow="1" w:lastRow="0" w:firstColumn="1" w:lastColumn="0" w:noHBand="0" w:noVBand="1"/>
      </w:tblPr>
      <w:tblGrid>
        <w:gridCol w:w="4863"/>
        <w:gridCol w:w="709"/>
        <w:gridCol w:w="992"/>
        <w:gridCol w:w="993"/>
        <w:gridCol w:w="1333"/>
        <w:gridCol w:w="8"/>
      </w:tblGrid>
      <w:tr w:rsidR="00FF4D1B" w:rsidRPr="007A4B17" w14:paraId="6C77D243" w14:textId="77777777" w:rsidTr="003B4A4B">
        <w:tc>
          <w:tcPr>
            <w:tcW w:w="8898" w:type="dxa"/>
            <w:gridSpan w:val="6"/>
            <w:tcBorders>
              <w:top w:val="nil"/>
              <w:left w:val="nil"/>
              <w:bottom w:val="nil"/>
              <w:right w:val="nil"/>
            </w:tcBorders>
          </w:tcPr>
          <w:p w14:paraId="2F855B78" w14:textId="77777777" w:rsidR="00FF4D1B" w:rsidRPr="00B13C35" w:rsidRDefault="00FF4D1B" w:rsidP="00EE082A">
            <w:pPr>
              <w:bidi w:val="0"/>
              <w:rPr>
                <w:b/>
                <w:bCs/>
                <w:color w:val="0070C0"/>
              </w:rPr>
            </w:pPr>
            <w:r w:rsidRPr="00B13C35">
              <w:rPr>
                <w:b/>
                <w:bCs/>
                <w:color w:val="0070C0"/>
              </w:rPr>
              <w:t>Table 1</w:t>
            </w:r>
          </w:p>
          <w:p w14:paraId="2A12E1A9" w14:textId="77777777" w:rsidR="00FF4D1B" w:rsidRPr="00B13C35" w:rsidRDefault="00FF4D1B" w:rsidP="00EE082A">
            <w:pPr>
              <w:bidi w:val="0"/>
              <w:rPr>
                <w:b/>
                <w:bCs/>
                <w:color w:val="0070C0"/>
              </w:rPr>
            </w:pPr>
            <w:r w:rsidRPr="00B13C35">
              <w:rPr>
                <w:b/>
                <w:bCs/>
                <w:color w:val="0070C0"/>
              </w:rPr>
              <w:t>Economic Indicators</w:t>
            </w:r>
          </w:p>
          <w:p w14:paraId="3167ECC8" w14:textId="3BA9B593" w:rsidR="00FF4D1B" w:rsidRPr="00B13C35" w:rsidRDefault="00FF4D1B" w:rsidP="00306648">
            <w:pPr>
              <w:bidi w:val="0"/>
              <w:rPr>
                <w:b/>
                <w:bCs/>
                <w:color w:val="0070C0"/>
              </w:rPr>
            </w:pPr>
            <w:r w:rsidRPr="00B13C35">
              <w:rPr>
                <w:b/>
                <w:bCs/>
                <w:color w:val="0070C0"/>
              </w:rPr>
              <w:t>Research Department Staff Forecast for 20</w:t>
            </w:r>
            <w:r w:rsidR="00306648">
              <w:rPr>
                <w:b/>
                <w:bCs/>
                <w:color w:val="0070C0"/>
              </w:rPr>
              <w:t>20</w:t>
            </w:r>
            <w:r>
              <w:rPr>
                <w:b/>
                <w:bCs/>
                <w:color w:val="0070C0"/>
              </w:rPr>
              <w:t>–</w:t>
            </w:r>
            <w:r w:rsidRPr="00B13C35">
              <w:rPr>
                <w:b/>
                <w:bCs/>
                <w:color w:val="0070C0"/>
              </w:rPr>
              <w:t>20</w:t>
            </w:r>
            <w:r w:rsidR="00306648">
              <w:rPr>
                <w:b/>
                <w:bCs/>
                <w:color w:val="0070C0"/>
              </w:rPr>
              <w:t>21</w:t>
            </w:r>
          </w:p>
          <w:p w14:paraId="7AF38D12" w14:textId="77777777" w:rsidR="00FF4D1B" w:rsidRPr="00B13C35" w:rsidRDefault="00FF4D1B" w:rsidP="00FF4D1B">
            <w:pPr>
              <w:bidi w:val="0"/>
              <w:jc w:val="right"/>
              <w:rPr>
                <w:b/>
                <w:bCs/>
                <w:color w:val="0070C0"/>
              </w:rPr>
            </w:pPr>
            <w:r w:rsidRPr="00B13C35">
              <w:rPr>
                <w:color w:val="0070C0"/>
                <w:sz w:val="22"/>
                <w:szCs w:val="22"/>
              </w:rPr>
              <w:t>(rates of change, percent, unless stated otherwise)</w:t>
            </w:r>
          </w:p>
        </w:tc>
      </w:tr>
      <w:tr w:rsidR="00CA211E" w:rsidRPr="007A4B17" w14:paraId="01FBA5BD" w14:textId="77777777" w:rsidTr="003B4A4B">
        <w:trPr>
          <w:gridAfter w:val="1"/>
          <w:wAfter w:w="8" w:type="dxa"/>
          <w:trHeight w:val="975"/>
        </w:trPr>
        <w:tc>
          <w:tcPr>
            <w:tcW w:w="4863" w:type="dxa"/>
            <w:tcBorders>
              <w:top w:val="nil"/>
              <w:bottom w:val="single" w:sz="4" w:space="0" w:color="auto"/>
            </w:tcBorders>
          </w:tcPr>
          <w:p w14:paraId="4BCA55BE" w14:textId="77777777" w:rsidR="00CA211E" w:rsidRPr="00A50C95" w:rsidRDefault="00CA211E" w:rsidP="00FF4D1B">
            <w:pPr>
              <w:bidi w:val="0"/>
              <w:rPr>
                <w:rFonts w:asciiTheme="majorBidi" w:hAnsiTheme="majorBidi" w:cstheme="majorBidi"/>
                <w:sz w:val="20"/>
                <w:szCs w:val="20"/>
              </w:rPr>
            </w:pPr>
          </w:p>
        </w:tc>
        <w:tc>
          <w:tcPr>
            <w:tcW w:w="709" w:type="dxa"/>
            <w:tcBorders>
              <w:top w:val="nil"/>
              <w:bottom w:val="single" w:sz="4" w:space="0" w:color="auto"/>
            </w:tcBorders>
          </w:tcPr>
          <w:p w14:paraId="2C48282D" w14:textId="77777777" w:rsidR="00CA211E" w:rsidRPr="00A50C95" w:rsidRDefault="00CA211E" w:rsidP="00FF4D1B">
            <w:pPr>
              <w:bidi w:val="0"/>
              <w:jc w:val="center"/>
              <w:rPr>
                <w:rFonts w:asciiTheme="majorBidi" w:hAnsiTheme="majorBidi" w:cstheme="majorBidi"/>
                <w:sz w:val="20"/>
                <w:szCs w:val="20"/>
              </w:rPr>
            </w:pPr>
          </w:p>
          <w:p w14:paraId="673A0B21" w14:textId="77777777" w:rsidR="00CA211E" w:rsidRPr="00A50C95" w:rsidRDefault="00CA211E" w:rsidP="00FF4D1B">
            <w:pPr>
              <w:bidi w:val="0"/>
              <w:jc w:val="center"/>
              <w:rPr>
                <w:rFonts w:asciiTheme="majorBidi" w:hAnsiTheme="majorBidi" w:cstheme="majorBidi"/>
                <w:sz w:val="20"/>
                <w:szCs w:val="20"/>
              </w:rPr>
            </w:pPr>
          </w:p>
          <w:p w14:paraId="38C9E773" w14:textId="77777777" w:rsidR="00CA211E" w:rsidRPr="00A50C95" w:rsidRDefault="00CA211E" w:rsidP="00FF4D1B">
            <w:pPr>
              <w:bidi w:val="0"/>
              <w:jc w:val="center"/>
              <w:rPr>
                <w:rFonts w:asciiTheme="majorBidi" w:hAnsiTheme="majorBidi" w:cstheme="majorBidi"/>
                <w:sz w:val="20"/>
                <w:szCs w:val="20"/>
              </w:rPr>
            </w:pPr>
          </w:p>
          <w:p w14:paraId="34C10749" w14:textId="30893251" w:rsidR="00CA211E" w:rsidRPr="0046610D" w:rsidRDefault="00CA211E" w:rsidP="00CA211E">
            <w:pPr>
              <w:bidi w:val="0"/>
              <w:jc w:val="center"/>
              <w:rPr>
                <w:rFonts w:asciiTheme="majorBidi" w:hAnsiTheme="majorBidi" w:cstheme="majorBidi"/>
                <w:sz w:val="20"/>
                <w:szCs w:val="20"/>
                <w:vertAlign w:val="superscript"/>
              </w:rPr>
            </w:pPr>
            <w:r w:rsidRPr="00A50C95">
              <w:rPr>
                <w:rFonts w:asciiTheme="majorBidi" w:hAnsiTheme="majorBidi" w:cstheme="majorBidi"/>
                <w:sz w:val="20"/>
                <w:szCs w:val="20"/>
              </w:rPr>
              <w:t>201</w:t>
            </w:r>
            <w:r>
              <w:rPr>
                <w:rFonts w:asciiTheme="majorBidi" w:hAnsiTheme="majorBidi" w:cstheme="majorBidi"/>
                <w:sz w:val="20"/>
                <w:szCs w:val="20"/>
              </w:rPr>
              <w:t>9</w:t>
            </w:r>
            <w:r>
              <w:rPr>
                <w:rFonts w:asciiTheme="majorBidi" w:hAnsiTheme="majorBidi" w:cstheme="majorBidi"/>
                <w:sz w:val="20"/>
                <w:szCs w:val="20"/>
                <w:vertAlign w:val="superscript"/>
              </w:rPr>
              <w:t>a</w:t>
            </w:r>
          </w:p>
        </w:tc>
        <w:tc>
          <w:tcPr>
            <w:tcW w:w="992" w:type="dxa"/>
            <w:tcBorders>
              <w:top w:val="nil"/>
              <w:bottom w:val="single" w:sz="4" w:space="0" w:color="auto"/>
              <w:right w:val="nil"/>
            </w:tcBorders>
            <w:vAlign w:val="bottom"/>
          </w:tcPr>
          <w:p w14:paraId="6C41538F" w14:textId="3E3C21AC" w:rsidR="00CA211E" w:rsidRPr="00A50C95" w:rsidRDefault="00CA211E" w:rsidP="00CA211E">
            <w:pPr>
              <w:bidi w:val="0"/>
              <w:rPr>
                <w:sz w:val="20"/>
                <w:szCs w:val="20"/>
              </w:rPr>
            </w:pPr>
            <w:r w:rsidRPr="00A50C95">
              <w:rPr>
                <w:sz w:val="20"/>
                <w:szCs w:val="20"/>
              </w:rPr>
              <w:t xml:space="preserve">Bank of Israel forecast for </w:t>
            </w:r>
            <w:r>
              <w:rPr>
                <w:sz w:val="20"/>
                <w:szCs w:val="20"/>
              </w:rPr>
              <w:t>2020</w:t>
            </w:r>
          </w:p>
        </w:tc>
        <w:tc>
          <w:tcPr>
            <w:tcW w:w="993" w:type="dxa"/>
            <w:tcBorders>
              <w:top w:val="nil"/>
              <w:left w:val="nil"/>
              <w:bottom w:val="single" w:sz="4" w:space="0" w:color="auto"/>
            </w:tcBorders>
          </w:tcPr>
          <w:p w14:paraId="212F7F33" w14:textId="77777777" w:rsidR="00CA211E" w:rsidRPr="00A50C95" w:rsidRDefault="00CA211E" w:rsidP="00FF4D1B">
            <w:pPr>
              <w:bidi w:val="0"/>
              <w:jc w:val="center"/>
              <w:rPr>
                <w:rFonts w:asciiTheme="majorBidi" w:hAnsiTheme="majorBidi" w:cstheme="majorBidi"/>
                <w:sz w:val="20"/>
                <w:szCs w:val="20"/>
              </w:rPr>
            </w:pPr>
            <w:r w:rsidRPr="00A50C95">
              <w:rPr>
                <w:rFonts w:asciiTheme="majorBidi" w:hAnsiTheme="majorBidi" w:cstheme="majorBidi"/>
                <w:color w:val="0070C0"/>
                <w:sz w:val="20"/>
                <w:szCs w:val="20"/>
              </w:rPr>
              <w:t>Change from the previous forecast</w:t>
            </w:r>
          </w:p>
        </w:tc>
        <w:tc>
          <w:tcPr>
            <w:tcW w:w="1333" w:type="dxa"/>
            <w:tcBorders>
              <w:top w:val="nil"/>
              <w:bottom w:val="single" w:sz="4" w:space="0" w:color="auto"/>
              <w:right w:val="nil"/>
            </w:tcBorders>
            <w:vAlign w:val="bottom"/>
          </w:tcPr>
          <w:p w14:paraId="362F90E2" w14:textId="115AEE85" w:rsidR="00CA211E" w:rsidRPr="00A50C95" w:rsidRDefault="00CA211E" w:rsidP="00CA211E">
            <w:pPr>
              <w:bidi w:val="0"/>
              <w:rPr>
                <w:sz w:val="20"/>
                <w:szCs w:val="20"/>
              </w:rPr>
            </w:pPr>
            <w:r w:rsidRPr="00A50C95">
              <w:rPr>
                <w:sz w:val="20"/>
                <w:szCs w:val="20"/>
              </w:rPr>
              <w:t>Bank of Israel forecast for 20</w:t>
            </w:r>
            <w:r>
              <w:rPr>
                <w:sz w:val="20"/>
                <w:szCs w:val="20"/>
              </w:rPr>
              <w:t>21</w:t>
            </w:r>
          </w:p>
        </w:tc>
      </w:tr>
      <w:tr w:rsidR="00EF7C7B" w:rsidRPr="007A4B17" w14:paraId="7404CD8A" w14:textId="77777777" w:rsidTr="003B4A4B">
        <w:trPr>
          <w:gridAfter w:val="1"/>
          <w:wAfter w:w="8" w:type="dxa"/>
        </w:trPr>
        <w:tc>
          <w:tcPr>
            <w:tcW w:w="4863" w:type="dxa"/>
            <w:tcBorders>
              <w:bottom w:val="nil"/>
            </w:tcBorders>
            <w:vAlign w:val="bottom"/>
          </w:tcPr>
          <w:p w14:paraId="2E11E5D4" w14:textId="77777777" w:rsidR="00EF7C7B" w:rsidRPr="00A50C95" w:rsidRDefault="00EF7C7B" w:rsidP="00EF7C7B">
            <w:pPr>
              <w:bidi w:val="0"/>
              <w:rPr>
                <w:sz w:val="20"/>
                <w:szCs w:val="20"/>
              </w:rPr>
            </w:pPr>
            <w:r w:rsidRPr="00A50C95">
              <w:rPr>
                <w:sz w:val="20"/>
                <w:szCs w:val="20"/>
              </w:rPr>
              <w:t>GDP</w:t>
            </w:r>
          </w:p>
        </w:tc>
        <w:tc>
          <w:tcPr>
            <w:tcW w:w="709" w:type="dxa"/>
            <w:tcBorders>
              <w:bottom w:val="nil"/>
            </w:tcBorders>
            <w:vAlign w:val="center"/>
          </w:tcPr>
          <w:p w14:paraId="7FAAC942" w14:textId="579439C5" w:rsidR="00EF7C7B" w:rsidRPr="00EF7C7B" w:rsidRDefault="00EF7C7B" w:rsidP="00EF7C7B">
            <w:pPr>
              <w:pStyle w:val="Tablenc"/>
              <w:bidi w:val="0"/>
              <w:jc w:val="center"/>
              <w:rPr>
                <w:rFonts w:asciiTheme="majorBidi" w:hAnsiTheme="majorBidi" w:cstheme="majorBidi"/>
              </w:rPr>
            </w:pPr>
            <w:r w:rsidRPr="00EF7C7B">
              <w:rPr>
                <w:rFonts w:asciiTheme="majorBidi" w:hAnsiTheme="majorBidi" w:cstheme="majorBidi"/>
              </w:rPr>
              <w:t>3.3</w:t>
            </w:r>
          </w:p>
        </w:tc>
        <w:tc>
          <w:tcPr>
            <w:tcW w:w="992" w:type="dxa"/>
            <w:tcBorders>
              <w:bottom w:val="nil"/>
              <w:right w:val="nil"/>
            </w:tcBorders>
            <w:vAlign w:val="center"/>
          </w:tcPr>
          <w:p w14:paraId="55F7F89D" w14:textId="08465DA1" w:rsidR="00EF7C7B" w:rsidRPr="00EF7C7B" w:rsidRDefault="00EF7C7B" w:rsidP="00EF7C7B">
            <w:pPr>
              <w:bidi w:val="0"/>
              <w:jc w:val="center"/>
              <w:rPr>
                <w:rFonts w:asciiTheme="majorBidi" w:hAnsiTheme="majorBidi" w:cstheme="majorBidi"/>
                <w:sz w:val="20"/>
                <w:szCs w:val="20"/>
              </w:rPr>
            </w:pPr>
            <w:r w:rsidRPr="00EF7C7B">
              <w:rPr>
                <w:rFonts w:asciiTheme="majorBidi" w:hAnsiTheme="majorBidi" w:cstheme="majorBidi"/>
                <w:sz w:val="20"/>
                <w:szCs w:val="20"/>
                <w:rtl/>
              </w:rPr>
              <w:t>2.9</w:t>
            </w:r>
          </w:p>
        </w:tc>
        <w:tc>
          <w:tcPr>
            <w:tcW w:w="993" w:type="dxa"/>
            <w:tcBorders>
              <w:left w:val="nil"/>
              <w:bottom w:val="nil"/>
            </w:tcBorders>
            <w:vAlign w:val="center"/>
          </w:tcPr>
          <w:p w14:paraId="250980D2" w14:textId="6A315947" w:rsidR="00EF7C7B" w:rsidRPr="00EF7C7B" w:rsidRDefault="00EF7C7B" w:rsidP="00EF7C7B">
            <w:pPr>
              <w:bidi w:val="0"/>
              <w:jc w:val="center"/>
              <w:rPr>
                <w:rFonts w:asciiTheme="majorBidi" w:hAnsiTheme="majorBidi" w:cstheme="majorBidi"/>
                <w:color w:val="0070C0"/>
                <w:sz w:val="20"/>
                <w:szCs w:val="20"/>
              </w:rPr>
            </w:pPr>
            <w:r w:rsidRPr="00EF7C7B">
              <w:rPr>
                <w:rFonts w:asciiTheme="majorBidi" w:hAnsiTheme="majorBidi" w:cstheme="majorBidi"/>
                <w:color w:val="4F81BD"/>
                <w:sz w:val="20"/>
                <w:szCs w:val="20"/>
              </w:rPr>
              <w:t>-0.1</w:t>
            </w:r>
          </w:p>
        </w:tc>
        <w:tc>
          <w:tcPr>
            <w:tcW w:w="1333" w:type="dxa"/>
            <w:tcBorders>
              <w:bottom w:val="nil"/>
              <w:right w:val="nil"/>
            </w:tcBorders>
            <w:vAlign w:val="center"/>
          </w:tcPr>
          <w:p w14:paraId="789FAD56" w14:textId="5DED8800" w:rsidR="00EF7C7B" w:rsidRPr="00EF7C7B" w:rsidRDefault="00EF7C7B" w:rsidP="00EF7C7B">
            <w:pPr>
              <w:bidi w:val="0"/>
              <w:jc w:val="center"/>
              <w:rPr>
                <w:rFonts w:asciiTheme="majorBidi" w:hAnsiTheme="majorBidi" w:cstheme="majorBidi"/>
                <w:sz w:val="20"/>
                <w:szCs w:val="20"/>
              </w:rPr>
            </w:pPr>
            <w:r w:rsidRPr="00EF7C7B">
              <w:rPr>
                <w:rFonts w:asciiTheme="majorBidi" w:hAnsiTheme="majorBidi" w:cstheme="majorBidi"/>
                <w:sz w:val="20"/>
                <w:szCs w:val="20"/>
              </w:rPr>
              <w:t>3.2</w:t>
            </w:r>
          </w:p>
        </w:tc>
      </w:tr>
      <w:tr w:rsidR="00EF7C7B" w:rsidRPr="007A4B17" w14:paraId="0E026379" w14:textId="77777777" w:rsidTr="003B4A4B">
        <w:trPr>
          <w:gridAfter w:val="1"/>
          <w:wAfter w:w="8" w:type="dxa"/>
        </w:trPr>
        <w:tc>
          <w:tcPr>
            <w:tcW w:w="4863" w:type="dxa"/>
            <w:tcBorders>
              <w:top w:val="nil"/>
              <w:bottom w:val="nil"/>
            </w:tcBorders>
            <w:vAlign w:val="bottom"/>
          </w:tcPr>
          <w:p w14:paraId="774E2A8E" w14:textId="77777777" w:rsidR="00EF7C7B" w:rsidRPr="00A50C95" w:rsidRDefault="00EF7C7B" w:rsidP="00EF7C7B">
            <w:pPr>
              <w:bidi w:val="0"/>
              <w:rPr>
                <w:sz w:val="20"/>
                <w:szCs w:val="20"/>
              </w:rPr>
            </w:pPr>
            <w:r w:rsidRPr="00A50C95">
              <w:rPr>
                <w:sz w:val="20"/>
                <w:szCs w:val="20"/>
              </w:rPr>
              <w:t>Private consumption</w:t>
            </w:r>
          </w:p>
        </w:tc>
        <w:tc>
          <w:tcPr>
            <w:tcW w:w="709" w:type="dxa"/>
            <w:tcBorders>
              <w:top w:val="nil"/>
              <w:bottom w:val="nil"/>
            </w:tcBorders>
            <w:vAlign w:val="center"/>
          </w:tcPr>
          <w:p w14:paraId="0CC37A82" w14:textId="7D557CD6" w:rsidR="00EF7C7B" w:rsidRPr="00EF7C7B" w:rsidRDefault="00EF7C7B" w:rsidP="00EF7C7B">
            <w:pPr>
              <w:pStyle w:val="Tablenc"/>
              <w:bidi w:val="0"/>
              <w:jc w:val="center"/>
              <w:rPr>
                <w:rFonts w:asciiTheme="majorBidi" w:hAnsiTheme="majorBidi" w:cstheme="majorBidi"/>
              </w:rPr>
            </w:pPr>
            <w:r w:rsidRPr="00EF7C7B">
              <w:rPr>
                <w:rFonts w:asciiTheme="majorBidi" w:hAnsiTheme="majorBidi" w:cstheme="majorBidi"/>
              </w:rPr>
              <w:t>3.9</w:t>
            </w:r>
          </w:p>
        </w:tc>
        <w:tc>
          <w:tcPr>
            <w:tcW w:w="992" w:type="dxa"/>
            <w:tcBorders>
              <w:top w:val="nil"/>
              <w:bottom w:val="nil"/>
              <w:right w:val="nil"/>
            </w:tcBorders>
            <w:vAlign w:val="center"/>
          </w:tcPr>
          <w:p w14:paraId="423F7683" w14:textId="38523A76" w:rsidR="00EF7C7B" w:rsidRPr="00EF7C7B" w:rsidRDefault="002D452A" w:rsidP="003379D8">
            <w:pPr>
              <w:bidi w:val="0"/>
              <w:jc w:val="center"/>
              <w:rPr>
                <w:rFonts w:asciiTheme="majorBidi" w:hAnsiTheme="majorBidi" w:cstheme="majorBidi"/>
                <w:sz w:val="20"/>
                <w:szCs w:val="20"/>
              </w:rPr>
            </w:pPr>
            <w:r>
              <w:rPr>
                <w:rFonts w:asciiTheme="majorBidi" w:hAnsiTheme="majorBidi" w:cstheme="majorBidi"/>
                <w:sz w:val="20"/>
                <w:szCs w:val="20"/>
              </w:rPr>
              <w:t>2.</w:t>
            </w:r>
            <w:r w:rsidR="003379D8">
              <w:rPr>
                <w:rFonts w:asciiTheme="majorBidi" w:hAnsiTheme="majorBidi" w:cstheme="majorBidi"/>
                <w:sz w:val="20"/>
                <w:szCs w:val="20"/>
              </w:rPr>
              <w:t>5</w:t>
            </w:r>
          </w:p>
        </w:tc>
        <w:tc>
          <w:tcPr>
            <w:tcW w:w="993" w:type="dxa"/>
            <w:tcBorders>
              <w:top w:val="nil"/>
              <w:left w:val="nil"/>
              <w:bottom w:val="nil"/>
            </w:tcBorders>
            <w:vAlign w:val="center"/>
          </w:tcPr>
          <w:p w14:paraId="17B25CA7" w14:textId="1415D812" w:rsidR="00EF7C7B" w:rsidRPr="00EF7C7B" w:rsidRDefault="003379D8" w:rsidP="00EF7C7B">
            <w:pPr>
              <w:bidi w:val="0"/>
              <w:jc w:val="center"/>
              <w:rPr>
                <w:rFonts w:asciiTheme="majorBidi" w:hAnsiTheme="majorBidi" w:cstheme="majorBidi"/>
                <w:color w:val="0070C0"/>
                <w:sz w:val="20"/>
                <w:szCs w:val="20"/>
              </w:rPr>
            </w:pPr>
            <w:r>
              <w:rPr>
                <w:rFonts w:asciiTheme="majorBidi" w:hAnsiTheme="majorBidi" w:cstheme="majorBidi"/>
                <w:color w:val="4F81BD"/>
                <w:sz w:val="20"/>
                <w:szCs w:val="20"/>
              </w:rPr>
              <w:t>0.5</w:t>
            </w:r>
          </w:p>
        </w:tc>
        <w:tc>
          <w:tcPr>
            <w:tcW w:w="1333" w:type="dxa"/>
            <w:tcBorders>
              <w:top w:val="nil"/>
              <w:bottom w:val="nil"/>
              <w:right w:val="nil"/>
            </w:tcBorders>
            <w:vAlign w:val="center"/>
          </w:tcPr>
          <w:p w14:paraId="30993D13" w14:textId="6D967406" w:rsidR="00EF7C7B" w:rsidRPr="00EF7C7B" w:rsidRDefault="00EF7C7B" w:rsidP="00EF7C7B">
            <w:pPr>
              <w:bidi w:val="0"/>
              <w:jc w:val="center"/>
              <w:rPr>
                <w:rFonts w:asciiTheme="majorBidi" w:hAnsiTheme="majorBidi" w:cstheme="majorBidi"/>
                <w:sz w:val="20"/>
                <w:szCs w:val="20"/>
              </w:rPr>
            </w:pPr>
            <w:r w:rsidRPr="00EF7C7B">
              <w:rPr>
                <w:rFonts w:asciiTheme="majorBidi" w:hAnsiTheme="majorBidi" w:cstheme="majorBidi"/>
                <w:sz w:val="20"/>
                <w:szCs w:val="20"/>
              </w:rPr>
              <w:t>2.5</w:t>
            </w:r>
          </w:p>
        </w:tc>
      </w:tr>
      <w:tr w:rsidR="00EF7C7B" w:rsidRPr="007A4B17" w14:paraId="260B2146" w14:textId="77777777" w:rsidTr="003B4A4B">
        <w:trPr>
          <w:gridAfter w:val="1"/>
          <w:wAfter w:w="8" w:type="dxa"/>
        </w:trPr>
        <w:tc>
          <w:tcPr>
            <w:tcW w:w="4863" w:type="dxa"/>
            <w:tcBorders>
              <w:top w:val="nil"/>
              <w:bottom w:val="nil"/>
            </w:tcBorders>
            <w:vAlign w:val="bottom"/>
          </w:tcPr>
          <w:p w14:paraId="0CAEC060" w14:textId="77777777" w:rsidR="00EF7C7B" w:rsidRPr="00A50C95" w:rsidRDefault="00EF7C7B" w:rsidP="00EF7C7B">
            <w:pPr>
              <w:bidi w:val="0"/>
              <w:rPr>
                <w:sz w:val="20"/>
                <w:szCs w:val="20"/>
              </w:rPr>
            </w:pPr>
            <w:r w:rsidRPr="00A50C95">
              <w:rPr>
                <w:sz w:val="20"/>
                <w:szCs w:val="20"/>
              </w:rPr>
              <w:t>Fixed capital formation (excluding ships and aircraft)</w:t>
            </w:r>
          </w:p>
        </w:tc>
        <w:tc>
          <w:tcPr>
            <w:tcW w:w="709" w:type="dxa"/>
            <w:tcBorders>
              <w:top w:val="nil"/>
              <w:bottom w:val="nil"/>
            </w:tcBorders>
            <w:vAlign w:val="center"/>
          </w:tcPr>
          <w:p w14:paraId="2716DBD3" w14:textId="32E6287E" w:rsidR="00EF7C7B" w:rsidRPr="00EF7C7B" w:rsidRDefault="00EF7C7B" w:rsidP="00EF7C7B">
            <w:pPr>
              <w:pStyle w:val="Tablenc"/>
              <w:bidi w:val="0"/>
              <w:jc w:val="center"/>
              <w:rPr>
                <w:rFonts w:asciiTheme="majorBidi" w:hAnsiTheme="majorBidi" w:cstheme="majorBidi"/>
              </w:rPr>
            </w:pPr>
            <w:r w:rsidRPr="00EF7C7B">
              <w:rPr>
                <w:rFonts w:asciiTheme="majorBidi" w:hAnsiTheme="majorBidi" w:cstheme="majorBidi"/>
              </w:rPr>
              <w:t>0.9</w:t>
            </w:r>
          </w:p>
        </w:tc>
        <w:tc>
          <w:tcPr>
            <w:tcW w:w="992" w:type="dxa"/>
            <w:tcBorders>
              <w:top w:val="nil"/>
              <w:bottom w:val="nil"/>
              <w:right w:val="nil"/>
            </w:tcBorders>
            <w:vAlign w:val="center"/>
          </w:tcPr>
          <w:p w14:paraId="043D7D8F" w14:textId="584DE813" w:rsidR="00EF7C7B" w:rsidRPr="00EF7C7B" w:rsidRDefault="00EF7C7B" w:rsidP="00EF7C7B">
            <w:pPr>
              <w:bidi w:val="0"/>
              <w:jc w:val="center"/>
              <w:rPr>
                <w:rFonts w:asciiTheme="majorBidi" w:hAnsiTheme="majorBidi" w:cstheme="majorBidi"/>
                <w:sz w:val="20"/>
                <w:szCs w:val="20"/>
              </w:rPr>
            </w:pPr>
            <w:r w:rsidRPr="00EF7C7B">
              <w:rPr>
                <w:rFonts w:asciiTheme="majorBidi" w:hAnsiTheme="majorBidi" w:cstheme="majorBidi"/>
                <w:sz w:val="20"/>
                <w:szCs w:val="20"/>
              </w:rPr>
              <w:t>-0.5</w:t>
            </w:r>
          </w:p>
        </w:tc>
        <w:tc>
          <w:tcPr>
            <w:tcW w:w="993" w:type="dxa"/>
            <w:tcBorders>
              <w:top w:val="nil"/>
              <w:left w:val="nil"/>
              <w:bottom w:val="nil"/>
            </w:tcBorders>
            <w:vAlign w:val="center"/>
          </w:tcPr>
          <w:p w14:paraId="0654EE1D" w14:textId="17AE77BC" w:rsidR="00EF7C7B" w:rsidRPr="00EF7C7B" w:rsidRDefault="00EF7C7B" w:rsidP="00EF7C7B">
            <w:pPr>
              <w:bidi w:val="0"/>
              <w:jc w:val="center"/>
              <w:rPr>
                <w:rFonts w:asciiTheme="majorBidi" w:hAnsiTheme="majorBidi" w:cstheme="majorBidi"/>
                <w:color w:val="0070C0"/>
                <w:sz w:val="20"/>
                <w:szCs w:val="20"/>
              </w:rPr>
            </w:pPr>
            <w:r w:rsidRPr="00EF7C7B">
              <w:rPr>
                <w:rFonts w:asciiTheme="majorBidi" w:hAnsiTheme="majorBidi" w:cstheme="majorBidi"/>
                <w:color w:val="4F81BD"/>
                <w:sz w:val="20"/>
                <w:szCs w:val="20"/>
              </w:rPr>
              <w:t>1.5</w:t>
            </w:r>
          </w:p>
        </w:tc>
        <w:tc>
          <w:tcPr>
            <w:tcW w:w="1333" w:type="dxa"/>
            <w:tcBorders>
              <w:top w:val="nil"/>
              <w:bottom w:val="nil"/>
              <w:right w:val="nil"/>
            </w:tcBorders>
            <w:vAlign w:val="center"/>
          </w:tcPr>
          <w:p w14:paraId="033F9280" w14:textId="6386DD82" w:rsidR="00EF7C7B" w:rsidRPr="00EF7C7B" w:rsidRDefault="002D452A" w:rsidP="00EF7C7B">
            <w:pPr>
              <w:bidi w:val="0"/>
              <w:jc w:val="center"/>
              <w:rPr>
                <w:rFonts w:asciiTheme="majorBidi" w:hAnsiTheme="majorBidi" w:cstheme="majorBidi"/>
                <w:sz w:val="20"/>
                <w:szCs w:val="20"/>
              </w:rPr>
            </w:pPr>
            <w:r>
              <w:rPr>
                <w:rFonts w:asciiTheme="majorBidi" w:hAnsiTheme="majorBidi" w:cstheme="majorBidi"/>
                <w:sz w:val="20"/>
                <w:szCs w:val="20"/>
              </w:rPr>
              <w:t>3.0</w:t>
            </w:r>
          </w:p>
        </w:tc>
      </w:tr>
      <w:tr w:rsidR="00EF7C7B" w:rsidRPr="007A4B17" w14:paraId="4DC5C3EC" w14:textId="77777777" w:rsidTr="003B4A4B">
        <w:trPr>
          <w:gridAfter w:val="1"/>
          <w:wAfter w:w="8" w:type="dxa"/>
        </w:trPr>
        <w:tc>
          <w:tcPr>
            <w:tcW w:w="4863" w:type="dxa"/>
            <w:tcBorders>
              <w:top w:val="nil"/>
              <w:bottom w:val="nil"/>
            </w:tcBorders>
            <w:vAlign w:val="bottom"/>
          </w:tcPr>
          <w:p w14:paraId="140835A0" w14:textId="77777777" w:rsidR="00EF7C7B" w:rsidRPr="00A50C95" w:rsidRDefault="00EF7C7B" w:rsidP="00EF7C7B">
            <w:pPr>
              <w:bidi w:val="0"/>
              <w:rPr>
                <w:sz w:val="20"/>
                <w:szCs w:val="20"/>
              </w:rPr>
            </w:pPr>
            <w:r w:rsidRPr="00A50C95">
              <w:rPr>
                <w:sz w:val="20"/>
                <w:szCs w:val="20"/>
              </w:rPr>
              <w:t xml:space="preserve">Public </w:t>
            </w:r>
            <w:r w:rsidRPr="00820023">
              <w:rPr>
                <w:sz w:val="20"/>
                <w:szCs w:val="20"/>
              </w:rPr>
              <w:t>sector</w:t>
            </w:r>
            <w:r w:rsidRPr="00A50C95">
              <w:rPr>
                <w:sz w:val="20"/>
                <w:szCs w:val="20"/>
              </w:rPr>
              <w:t xml:space="preserve"> consumption (excluding defense imports)</w:t>
            </w:r>
          </w:p>
        </w:tc>
        <w:tc>
          <w:tcPr>
            <w:tcW w:w="709" w:type="dxa"/>
            <w:tcBorders>
              <w:top w:val="nil"/>
              <w:bottom w:val="nil"/>
            </w:tcBorders>
            <w:vAlign w:val="center"/>
          </w:tcPr>
          <w:p w14:paraId="19FE01A3" w14:textId="61D67BCE" w:rsidR="00EF7C7B" w:rsidRPr="00EF7C7B" w:rsidRDefault="00EF7C7B" w:rsidP="00EF7C7B">
            <w:pPr>
              <w:pStyle w:val="Tablenc"/>
              <w:bidi w:val="0"/>
              <w:jc w:val="center"/>
              <w:rPr>
                <w:rFonts w:asciiTheme="majorBidi" w:hAnsiTheme="majorBidi" w:cstheme="majorBidi"/>
              </w:rPr>
            </w:pPr>
            <w:r w:rsidRPr="00EF7C7B">
              <w:rPr>
                <w:rFonts w:asciiTheme="majorBidi" w:hAnsiTheme="majorBidi" w:cstheme="majorBidi"/>
              </w:rPr>
              <w:t>3.8</w:t>
            </w:r>
          </w:p>
        </w:tc>
        <w:tc>
          <w:tcPr>
            <w:tcW w:w="992" w:type="dxa"/>
            <w:tcBorders>
              <w:top w:val="nil"/>
              <w:bottom w:val="nil"/>
              <w:right w:val="nil"/>
            </w:tcBorders>
            <w:vAlign w:val="center"/>
          </w:tcPr>
          <w:p w14:paraId="281FA605" w14:textId="359F5DFD" w:rsidR="00EF7C7B" w:rsidRPr="00EF7C7B" w:rsidRDefault="00EF7C7B" w:rsidP="00EF7C7B">
            <w:pPr>
              <w:bidi w:val="0"/>
              <w:jc w:val="center"/>
              <w:rPr>
                <w:rFonts w:asciiTheme="majorBidi" w:hAnsiTheme="majorBidi" w:cstheme="majorBidi"/>
                <w:sz w:val="20"/>
                <w:szCs w:val="20"/>
              </w:rPr>
            </w:pPr>
            <w:r w:rsidRPr="00EF7C7B">
              <w:rPr>
                <w:rFonts w:asciiTheme="majorBidi" w:hAnsiTheme="majorBidi" w:cstheme="majorBidi"/>
                <w:sz w:val="20"/>
                <w:szCs w:val="20"/>
              </w:rPr>
              <w:t>2.5</w:t>
            </w:r>
          </w:p>
        </w:tc>
        <w:tc>
          <w:tcPr>
            <w:tcW w:w="993" w:type="dxa"/>
            <w:tcBorders>
              <w:top w:val="nil"/>
              <w:left w:val="nil"/>
              <w:bottom w:val="nil"/>
            </w:tcBorders>
            <w:vAlign w:val="center"/>
          </w:tcPr>
          <w:p w14:paraId="2779C027" w14:textId="394D0B98" w:rsidR="00EF7C7B" w:rsidRPr="00EF7C7B" w:rsidRDefault="00EF7C7B" w:rsidP="00EF7C7B">
            <w:pPr>
              <w:bidi w:val="0"/>
              <w:jc w:val="center"/>
              <w:rPr>
                <w:rFonts w:asciiTheme="majorBidi" w:hAnsiTheme="majorBidi" w:cstheme="majorBidi"/>
                <w:color w:val="0070C0"/>
                <w:sz w:val="20"/>
                <w:szCs w:val="20"/>
              </w:rPr>
            </w:pPr>
            <w:r w:rsidRPr="00EF7C7B">
              <w:rPr>
                <w:rFonts w:asciiTheme="majorBidi" w:hAnsiTheme="majorBidi" w:cstheme="majorBidi"/>
                <w:color w:val="4F81BD"/>
                <w:sz w:val="20"/>
                <w:szCs w:val="20"/>
              </w:rPr>
              <w:t>1.0</w:t>
            </w:r>
          </w:p>
        </w:tc>
        <w:tc>
          <w:tcPr>
            <w:tcW w:w="1333" w:type="dxa"/>
            <w:tcBorders>
              <w:top w:val="nil"/>
              <w:bottom w:val="nil"/>
              <w:right w:val="nil"/>
            </w:tcBorders>
            <w:vAlign w:val="center"/>
          </w:tcPr>
          <w:p w14:paraId="04CD53D1" w14:textId="458E6C93" w:rsidR="00EF7C7B" w:rsidRPr="00EF7C7B" w:rsidRDefault="00EF7C7B" w:rsidP="00EF7C7B">
            <w:pPr>
              <w:bidi w:val="0"/>
              <w:jc w:val="center"/>
              <w:rPr>
                <w:rFonts w:asciiTheme="majorBidi" w:hAnsiTheme="majorBidi" w:cstheme="majorBidi"/>
                <w:sz w:val="20"/>
                <w:szCs w:val="20"/>
              </w:rPr>
            </w:pPr>
            <w:r w:rsidRPr="00EF7C7B">
              <w:rPr>
                <w:rFonts w:asciiTheme="majorBidi" w:hAnsiTheme="majorBidi" w:cstheme="majorBidi"/>
                <w:sz w:val="20"/>
                <w:szCs w:val="20"/>
              </w:rPr>
              <w:t>2.5</w:t>
            </w:r>
          </w:p>
        </w:tc>
      </w:tr>
      <w:tr w:rsidR="00EF7C7B" w:rsidRPr="007A4B17" w14:paraId="4179D62F" w14:textId="77777777" w:rsidTr="003B4A4B">
        <w:trPr>
          <w:gridAfter w:val="1"/>
          <w:wAfter w:w="8" w:type="dxa"/>
          <w:trHeight w:val="177"/>
        </w:trPr>
        <w:tc>
          <w:tcPr>
            <w:tcW w:w="4863" w:type="dxa"/>
            <w:tcBorders>
              <w:top w:val="nil"/>
              <w:bottom w:val="nil"/>
            </w:tcBorders>
            <w:vAlign w:val="bottom"/>
          </w:tcPr>
          <w:p w14:paraId="36FA26A0" w14:textId="77777777" w:rsidR="00EF7C7B" w:rsidRPr="00A50C95" w:rsidRDefault="00EF7C7B" w:rsidP="00EF7C7B">
            <w:pPr>
              <w:bidi w:val="0"/>
              <w:rPr>
                <w:sz w:val="20"/>
                <w:szCs w:val="20"/>
              </w:rPr>
            </w:pPr>
            <w:r w:rsidRPr="00A50C95">
              <w:rPr>
                <w:sz w:val="20"/>
                <w:szCs w:val="20"/>
              </w:rPr>
              <w:t>Exports (excluding diamonds and start-ups)</w:t>
            </w:r>
          </w:p>
        </w:tc>
        <w:tc>
          <w:tcPr>
            <w:tcW w:w="709" w:type="dxa"/>
            <w:tcBorders>
              <w:top w:val="nil"/>
              <w:bottom w:val="nil"/>
            </w:tcBorders>
            <w:vAlign w:val="center"/>
          </w:tcPr>
          <w:p w14:paraId="35A8A590" w14:textId="6A1D6085" w:rsidR="00EF7C7B" w:rsidRPr="00EF7C7B" w:rsidRDefault="00EF7C7B" w:rsidP="00EF7C7B">
            <w:pPr>
              <w:pStyle w:val="Tablenc"/>
              <w:bidi w:val="0"/>
              <w:jc w:val="center"/>
              <w:rPr>
                <w:rFonts w:asciiTheme="majorBidi" w:hAnsiTheme="majorBidi" w:cstheme="majorBidi"/>
              </w:rPr>
            </w:pPr>
            <w:r w:rsidRPr="00EF7C7B">
              <w:rPr>
                <w:rFonts w:asciiTheme="majorBidi" w:hAnsiTheme="majorBidi" w:cstheme="majorBidi"/>
              </w:rPr>
              <w:t>4.7</w:t>
            </w:r>
          </w:p>
        </w:tc>
        <w:tc>
          <w:tcPr>
            <w:tcW w:w="992" w:type="dxa"/>
            <w:tcBorders>
              <w:top w:val="nil"/>
              <w:bottom w:val="nil"/>
              <w:right w:val="nil"/>
            </w:tcBorders>
            <w:vAlign w:val="center"/>
          </w:tcPr>
          <w:p w14:paraId="21E44C32" w14:textId="2AB16F49" w:rsidR="00EF7C7B" w:rsidRPr="00EF7C7B" w:rsidRDefault="00EF7C7B" w:rsidP="00EF7C7B">
            <w:pPr>
              <w:bidi w:val="0"/>
              <w:jc w:val="center"/>
              <w:rPr>
                <w:rFonts w:asciiTheme="majorBidi" w:hAnsiTheme="majorBidi" w:cstheme="majorBidi"/>
                <w:sz w:val="20"/>
                <w:szCs w:val="20"/>
              </w:rPr>
            </w:pPr>
            <w:r w:rsidRPr="00EF7C7B">
              <w:rPr>
                <w:rFonts w:asciiTheme="majorBidi" w:hAnsiTheme="majorBidi" w:cstheme="majorBidi"/>
                <w:sz w:val="20"/>
                <w:szCs w:val="20"/>
              </w:rPr>
              <w:t>4.5</w:t>
            </w:r>
          </w:p>
        </w:tc>
        <w:tc>
          <w:tcPr>
            <w:tcW w:w="993" w:type="dxa"/>
            <w:tcBorders>
              <w:top w:val="nil"/>
              <w:left w:val="nil"/>
              <w:bottom w:val="nil"/>
            </w:tcBorders>
            <w:vAlign w:val="center"/>
          </w:tcPr>
          <w:p w14:paraId="4E4BED8F" w14:textId="528C27C1" w:rsidR="00EF7C7B" w:rsidRPr="00EF7C7B" w:rsidRDefault="00EF7C7B" w:rsidP="00EF7C7B">
            <w:pPr>
              <w:bidi w:val="0"/>
              <w:jc w:val="center"/>
              <w:rPr>
                <w:rFonts w:asciiTheme="majorBidi" w:hAnsiTheme="majorBidi" w:cstheme="majorBidi"/>
                <w:color w:val="0070C0"/>
                <w:sz w:val="20"/>
                <w:szCs w:val="20"/>
              </w:rPr>
            </w:pPr>
            <w:r w:rsidRPr="00EF7C7B">
              <w:rPr>
                <w:rFonts w:asciiTheme="majorBidi" w:hAnsiTheme="majorBidi" w:cstheme="majorBidi"/>
                <w:color w:val="4F81BD"/>
                <w:sz w:val="20"/>
                <w:szCs w:val="20"/>
              </w:rPr>
              <w:t>-1.0</w:t>
            </w:r>
          </w:p>
        </w:tc>
        <w:tc>
          <w:tcPr>
            <w:tcW w:w="1333" w:type="dxa"/>
            <w:tcBorders>
              <w:top w:val="nil"/>
              <w:bottom w:val="nil"/>
              <w:right w:val="nil"/>
            </w:tcBorders>
            <w:vAlign w:val="center"/>
          </w:tcPr>
          <w:p w14:paraId="51E56728" w14:textId="7BC1F92A" w:rsidR="00EF7C7B" w:rsidRPr="00EF7C7B" w:rsidRDefault="00EF7C7B" w:rsidP="00EF7C7B">
            <w:pPr>
              <w:bidi w:val="0"/>
              <w:jc w:val="center"/>
              <w:rPr>
                <w:rFonts w:asciiTheme="majorBidi" w:hAnsiTheme="majorBidi" w:cstheme="majorBidi"/>
                <w:sz w:val="20"/>
                <w:szCs w:val="20"/>
              </w:rPr>
            </w:pPr>
            <w:r w:rsidRPr="00EF7C7B">
              <w:rPr>
                <w:rFonts w:asciiTheme="majorBidi" w:hAnsiTheme="majorBidi" w:cstheme="majorBidi"/>
                <w:sz w:val="20"/>
                <w:szCs w:val="20"/>
              </w:rPr>
              <w:t>4.0</w:t>
            </w:r>
          </w:p>
        </w:tc>
      </w:tr>
      <w:tr w:rsidR="00EF7C7B" w:rsidRPr="007A4B17" w14:paraId="01A745A1" w14:textId="77777777" w:rsidTr="003B4A4B">
        <w:trPr>
          <w:gridAfter w:val="1"/>
          <w:wAfter w:w="8" w:type="dxa"/>
        </w:trPr>
        <w:tc>
          <w:tcPr>
            <w:tcW w:w="4863" w:type="dxa"/>
            <w:tcBorders>
              <w:top w:val="nil"/>
            </w:tcBorders>
            <w:vAlign w:val="bottom"/>
          </w:tcPr>
          <w:p w14:paraId="7A1A90C7" w14:textId="77777777" w:rsidR="00EF7C7B" w:rsidRPr="00A50C95" w:rsidRDefault="00EF7C7B" w:rsidP="00EF7C7B">
            <w:pPr>
              <w:bidi w:val="0"/>
              <w:rPr>
                <w:sz w:val="20"/>
                <w:szCs w:val="20"/>
              </w:rPr>
            </w:pPr>
            <w:r w:rsidRPr="00A50C95">
              <w:rPr>
                <w:sz w:val="20"/>
                <w:szCs w:val="20"/>
              </w:rPr>
              <w:t xml:space="preserve">Civilian imports (excluding diamonds, ships, and aircraft) </w:t>
            </w:r>
          </w:p>
        </w:tc>
        <w:tc>
          <w:tcPr>
            <w:tcW w:w="709" w:type="dxa"/>
            <w:tcBorders>
              <w:top w:val="nil"/>
            </w:tcBorders>
            <w:vAlign w:val="center"/>
          </w:tcPr>
          <w:p w14:paraId="68311BF9" w14:textId="79FF9A20" w:rsidR="00EF7C7B" w:rsidRPr="00EF7C7B" w:rsidRDefault="00EF7C7B" w:rsidP="00EF7C7B">
            <w:pPr>
              <w:pStyle w:val="Tablenc"/>
              <w:bidi w:val="0"/>
              <w:jc w:val="center"/>
              <w:rPr>
                <w:rFonts w:asciiTheme="majorBidi" w:hAnsiTheme="majorBidi" w:cstheme="majorBidi"/>
              </w:rPr>
            </w:pPr>
            <w:r w:rsidRPr="00EF7C7B">
              <w:rPr>
                <w:rFonts w:asciiTheme="majorBidi" w:hAnsiTheme="majorBidi" w:cstheme="majorBidi"/>
              </w:rPr>
              <w:t>4.3</w:t>
            </w:r>
          </w:p>
        </w:tc>
        <w:tc>
          <w:tcPr>
            <w:tcW w:w="992" w:type="dxa"/>
            <w:tcBorders>
              <w:top w:val="nil"/>
              <w:bottom w:val="single" w:sz="4" w:space="0" w:color="auto"/>
              <w:right w:val="nil"/>
            </w:tcBorders>
            <w:vAlign w:val="center"/>
          </w:tcPr>
          <w:p w14:paraId="28B3691A" w14:textId="6E278574" w:rsidR="00EF7C7B" w:rsidRPr="00EF7C7B" w:rsidRDefault="003379D8" w:rsidP="00EF7C7B">
            <w:pPr>
              <w:bidi w:val="0"/>
              <w:jc w:val="center"/>
              <w:rPr>
                <w:rFonts w:asciiTheme="majorBidi" w:hAnsiTheme="majorBidi" w:cstheme="majorBidi"/>
                <w:sz w:val="20"/>
                <w:szCs w:val="20"/>
              </w:rPr>
            </w:pPr>
            <w:r>
              <w:rPr>
                <w:rFonts w:asciiTheme="majorBidi" w:hAnsiTheme="majorBidi" w:cstheme="majorBidi"/>
                <w:sz w:val="20"/>
                <w:szCs w:val="20"/>
              </w:rPr>
              <w:t>1.0</w:t>
            </w:r>
          </w:p>
        </w:tc>
        <w:tc>
          <w:tcPr>
            <w:tcW w:w="993" w:type="dxa"/>
            <w:tcBorders>
              <w:top w:val="nil"/>
              <w:left w:val="nil"/>
              <w:bottom w:val="single" w:sz="4" w:space="0" w:color="auto"/>
            </w:tcBorders>
            <w:vAlign w:val="center"/>
          </w:tcPr>
          <w:p w14:paraId="2C096048" w14:textId="5AD440B7" w:rsidR="00EF7C7B" w:rsidRPr="00EF7C7B" w:rsidRDefault="00EF7C7B" w:rsidP="003379D8">
            <w:pPr>
              <w:bidi w:val="0"/>
              <w:jc w:val="center"/>
              <w:rPr>
                <w:rFonts w:asciiTheme="majorBidi" w:hAnsiTheme="majorBidi" w:cstheme="majorBidi"/>
                <w:color w:val="0070C0"/>
                <w:sz w:val="20"/>
                <w:szCs w:val="20"/>
              </w:rPr>
            </w:pPr>
            <w:r w:rsidRPr="00EF7C7B">
              <w:rPr>
                <w:rFonts w:asciiTheme="majorBidi" w:hAnsiTheme="majorBidi" w:cstheme="majorBidi"/>
                <w:color w:val="4F81BD"/>
                <w:sz w:val="20"/>
                <w:szCs w:val="20"/>
              </w:rPr>
              <w:t>1.</w:t>
            </w:r>
            <w:r w:rsidR="003379D8">
              <w:rPr>
                <w:rFonts w:asciiTheme="majorBidi" w:hAnsiTheme="majorBidi" w:cstheme="majorBidi"/>
                <w:color w:val="4F81BD"/>
                <w:sz w:val="20"/>
                <w:szCs w:val="20"/>
              </w:rPr>
              <w:t>5</w:t>
            </w:r>
          </w:p>
        </w:tc>
        <w:tc>
          <w:tcPr>
            <w:tcW w:w="1333" w:type="dxa"/>
            <w:tcBorders>
              <w:top w:val="nil"/>
              <w:bottom w:val="single" w:sz="4" w:space="0" w:color="auto"/>
              <w:right w:val="nil"/>
            </w:tcBorders>
            <w:vAlign w:val="center"/>
          </w:tcPr>
          <w:p w14:paraId="7EBF6BB7" w14:textId="756160D1" w:rsidR="00EF7C7B" w:rsidRPr="00EF7C7B" w:rsidRDefault="00EF7C7B" w:rsidP="00EF7C7B">
            <w:pPr>
              <w:bidi w:val="0"/>
              <w:jc w:val="center"/>
              <w:rPr>
                <w:rFonts w:asciiTheme="majorBidi" w:hAnsiTheme="majorBidi" w:cstheme="majorBidi"/>
                <w:sz w:val="20"/>
                <w:szCs w:val="20"/>
              </w:rPr>
            </w:pPr>
            <w:r w:rsidRPr="00EF7C7B">
              <w:rPr>
                <w:rFonts w:asciiTheme="majorBidi" w:hAnsiTheme="majorBidi" w:cstheme="majorBidi"/>
                <w:sz w:val="20"/>
                <w:szCs w:val="20"/>
              </w:rPr>
              <w:t>2.5</w:t>
            </w:r>
          </w:p>
        </w:tc>
      </w:tr>
      <w:tr w:rsidR="00EF7C7B" w:rsidRPr="007A4B17" w14:paraId="21EE8F3B" w14:textId="77777777" w:rsidTr="003B4A4B">
        <w:trPr>
          <w:gridAfter w:val="1"/>
          <w:wAfter w:w="8" w:type="dxa"/>
        </w:trPr>
        <w:tc>
          <w:tcPr>
            <w:tcW w:w="4863" w:type="dxa"/>
            <w:tcBorders>
              <w:bottom w:val="single" w:sz="4" w:space="0" w:color="auto"/>
            </w:tcBorders>
            <w:vAlign w:val="bottom"/>
          </w:tcPr>
          <w:p w14:paraId="0926EB1D" w14:textId="77777777" w:rsidR="00EF7C7B" w:rsidRPr="00A50C95" w:rsidRDefault="00EF7C7B" w:rsidP="00EF7C7B">
            <w:pPr>
              <w:bidi w:val="0"/>
              <w:rPr>
                <w:sz w:val="20"/>
                <w:szCs w:val="20"/>
              </w:rPr>
            </w:pPr>
            <w:r w:rsidRPr="00A50C95">
              <w:rPr>
                <w:sz w:val="20"/>
                <w:szCs w:val="20"/>
              </w:rPr>
              <w:t>Unemployment rate</w:t>
            </w:r>
            <w:r>
              <w:rPr>
                <w:sz w:val="20"/>
                <w:szCs w:val="20"/>
                <w:vertAlign w:val="superscript"/>
              </w:rPr>
              <w:t>b</w:t>
            </w:r>
          </w:p>
        </w:tc>
        <w:tc>
          <w:tcPr>
            <w:tcW w:w="709" w:type="dxa"/>
            <w:tcBorders>
              <w:bottom w:val="single" w:sz="4" w:space="0" w:color="auto"/>
            </w:tcBorders>
            <w:vAlign w:val="center"/>
          </w:tcPr>
          <w:p w14:paraId="35165ECD" w14:textId="75DA25C8" w:rsidR="00EF7C7B" w:rsidRPr="00EF7C7B" w:rsidRDefault="00EF7C7B" w:rsidP="00EF7C7B">
            <w:pPr>
              <w:pStyle w:val="Tablenc"/>
              <w:bidi w:val="0"/>
              <w:jc w:val="center"/>
              <w:rPr>
                <w:rFonts w:asciiTheme="majorBidi" w:hAnsiTheme="majorBidi" w:cstheme="majorBidi"/>
              </w:rPr>
            </w:pPr>
            <w:r w:rsidRPr="00EF7C7B">
              <w:rPr>
                <w:rFonts w:asciiTheme="majorBidi" w:hAnsiTheme="majorBidi" w:cstheme="majorBidi"/>
              </w:rPr>
              <w:t>3.3</w:t>
            </w:r>
          </w:p>
        </w:tc>
        <w:tc>
          <w:tcPr>
            <w:tcW w:w="992" w:type="dxa"/>
            <w:tcBorders>
              <w:bottom w:val="single" w:sz="4" w:space="0" w:color="auto"/>
              <w:right w:val="nil"/>
            </w:tcBorders>
            <w:vAlign w:val="center"/>
          </w:tcPr>
          <w:p w14:paraId="363FA458" w14:textId="35849FC3" w:rsidR="00EF7C7B" w:rsidRPr="00EF7C7B" w:rsidRDefault="00EF7C7B" w:rsidP="00EF7C7B">
            <w:pPr>
              <w:bidi w:val="0"/>
              <w:jc w:val="center"/>
              <w:rPr>
                <w:rFonts w:asciiTheme="majorBidi" w:hAnsiTheme="majorBidi" w:cstheme="majorBidi"/>
                <w:sz w:val="20"/>
                <w:szCs w:val="20"/>
              </w:rPr>
            </w:pPr>
            <w:r w:rsidRPr="00EF7C7B">
              <w:rPr>
                <w:rFonts w:asciiTheme="majorBidi" w:hAnsiTheme="majorBidi" w:cstheme="majorBidi"/>
                <w:sz w:val="20"/>
                <w:szCs w:val="20"/>
              </w:rPr>
              <w:t>3.3</w:t>
            </w:r>
          </w:p>
        </w:tc>
        <w:tc>
          <w:tcPr>
            <w:tcW w:w="993" w:type="dxa"/>
            <w:tcBorders>
              <w:left w:val="nil"/>
              <w:bottom w:val="single" w:sz="4" w:space="0" w:color="auto"/>
            </w:tcBorders>
            <w:vAlign w:val="center"/>
          </w:tcPr>
          <w:p w14:paraId="42909933" w14:textId="595F6A43" w:rsidR="00EF7C7B" w:rsidRPr="00EF7C7B" w:rsidRDefault="00EF7C7B" w:rsidP="00EF7C7B">
            <w:pPr>
              <w:bidi w:val="0"/>
              <w:jc w:val="center"/>
              <w:rPr>
                <w:rFonts w:asciiTheme="majorBidi" w:hAnsiTheme="majorBidi" w:cstheme="majorBidi"/>
                <w:color w:val="0070C0"/>
                <w:sz w:val="20"/>
                <w:szCs w:val="20"/>
              </w:rPr>
            </w:pPr>
            <w:r w:rsidRPr="00EF7C7B">
              <w:rPr>
                <w:rFonts w:asciiTheme="majorBidi" w:hAnsiTheme="majorBidi" w:cstheme="majorBidi"/>
                <w:color w:val="4F81BD"/>
                <w:sz w:val="20"/>
                <w:szCs w:val="20"/>
              </w:rPr>
              <w:t>-0.1</w:t>
            </w:r>
          </w:p>
        </w:tc>
        <w:tc>
          <w:tcPr>
            <w:tcW w:w="1333" w:type="dxa"/>
            <w:tcBorders>
              <w:bottom w:val="single" w:sz="4" w:space="0" w:color="auto"/>
              <w:right w:val="nil"/>
            </w:tcBorders>
            <w:vAlign w:val="center"/>
          </w:tcPr>
          <w:p w14:paraId="405217CA" w14:textId="388FB1A2" w:rsidR="00EF7C7B" w:rsidRPr="00EF7C7B" w:rsidRDefault="00EF7C7B" w:rsidP="00EF7C7B">
            <w:pPr>
              <w:bidi w:val="0"/>
              <w:jc w:val="center"/>
              <w:rPr>
                <w:rFonts w:asciiTheme="majorBidi" w:hAnsiTheme="majorBidi" w:cstheme="majorBidi"/>
                <w:sz w:val="20"/>
                <w:szCs w:val="20"/>
              </w:rPr>
            </w:pPr>
            <w:r w:rsidRPr="00EF7C7B">
              <w:rPr>
                <w:rFonts w:asciiTheme="majorBidi" w:hAnsiTheme="majorBidi" w:cstheme="majorBidi"/>
                <w:sz w:val="20"/>
                <w:szCs w:val="20"/>
              </w:rPr>
              <w:t>3.3</w:t>
            </w:r>
          </w:p>
        </w:tc>
      </w:tr>
      <w:tr w:rsidR="00EF7C7B" w:rsidRPr="007A4B17" w14:paraId="5EE69991" w14:textId="77777777" w:rsidTr="003B4A4B">
        <w:trPr>
          <w:gridAfter w:val="1"/>
          <w:wAfter w:w="8" w:type="dxa"/>
        </w:trPr>
        <w:tc>
          <w:tcPr>
            <w:tcW w:w="4863" w:type="dxa"/>
            <w:tcBorders>
              <w:bottom w:val="nil"/>
            </w:tcBorders>
            <w:vAlign w:val="bottom"/>
          </w:tcPr>
          <w:p w14:paraId="57F98866" w14:textId="77777777" w:rsidR="00EF7C7B" w:rsidRPr="00A50C95" w:rsidRDefault="00EF7C7B" w:rsidP="00EF7C7B">
            <w:pPr>
              <w:bidi w:val="0"/>
              <w:rPr>
                <w:sz w:val="20"/>
                <w:szCs w:val="20"/>
              </w:rPr>
            </w:pPr>
            <w:r w:rsidRPr="00A50C95">
              <w:rPr>
                <w:sz w:val="20"/>
                <w:szCs w:val="20"/>
              </w:rPr>
              <w:t>Inflation rate</w:t>
            </w:r>
            <w:r>
              <w:rPr>
                <w:sz w:val="20"/>
                <w:szCs w:val="20"/>
                <w:vertAlign w:val="superscript"/>
              </w:rPr>
              <w:t>c</w:t>
            </w:r>
          </w:p>
        </w:tc>
        <w:tc>
          <w:tcPr>
            <w:tcW w:w="709" w:type="dxa"/>
            <w:tcBorders>
              <w:bottom w:val="nil"/>
            </w:tcBorders>
            <w:vAlign w:val="center"/>
          </w:tcPr>
          <w:p w14:paraId="1AF29337" w14:textId="09C4DF06" w:rsidR="00EF7C7B" w:rsidRPr="00EF7C7B" w:rsidRDefault="00EF7C7B" w:rsidP="00EF7C7B">
            <w:pPr>
              <w:pStyle w:val="Tablenc"/>
              <w:bidi w:val="0"/>
              <w:jc w:val="center"/>
              <w:rPr>
                <w:rFonts w:asciiTheme="majorBidi" w:hAnsiTheme="majorBidi" w:cstheme="majorBidi"/>
              </w:rPr>
            </w:pPr>
            <w:r w:rsidRPr="00EF7C7B">
              <w:rPr>
                <w:rFonts w:asciiTheme="majorBidi" w:hAnsiTheme="majorBidi" w:cstheme="majorBidi"/>
              </w:rPr>
              <w:t>0.4</w:t>
            </w:r>
          </w:p>
        </w:tc>
        <w:tc>
          <w:tcPr>
            <w:tcW w:w="992" w:type="dxa"/>
            <w:tcBorders>
              <w:bottom w:val="nil"/>
              <w:right w:val="nil"/>
            </w:tcBorders>
            <w:vAlign w:val="center"/>
          </w:tcPr>
          <w:p w14:paraId="67065682" w14:textId="462996B2" w:rsidR="00EF7C7B" w:rsidRPr="00EF7C7B" w:rsidRDefault="00EF7C7B" w:rsidP="00EF7C7B">
            <w:pPr>
              <w:bidi w:val="0"/>
              <w:jc w:val="center"/>
              <w:rPr>
                <w:rFonts w:asciiTheme="majorBidi" w:hAnsiTheme="majorBidi" w:cstheme="majorBidi"/>
                <w:sz w:val="20"/>
                <w:szCs w:val="20"/>
              </w:rPr>
            </w:pPr>
            <w:r w:rsidRPr="00EF7C7B">
              <w:rPr>
                <w:rFonts w:asciiTheme="majorBidi" w:hAnsiTheme="majorBidi" w:cstheme="majorBidi"/>
                <w:sz w:val="20"/>
                <w:szCs w:val="20"/>
              </w:rPr>
              <w:t>1.0</w:t>
            </w:r>
          </w:p>
        </w:tc>
        <w:tc>
          <w:tcPr>
            <w:tcW w:w="993" w:type="dxa"/>
            <w:tcBorders>
              <w:left w:val="nil"/>
              <w:bottom w:val="nil"/>
            </w:tcBorders>
            <w:vAlign w:val="center"/>
          </w:tcPr>
          <w:p w14:paraId="79319589" w14:textId="0F14BA19" w:rsidR="00EF7C7B" w:rsidRPr="00EF7C7B" w:rsidRDefault="00EF7C7B" w:rsidP="00EF7C7B">
            <w:pPr>
              <w:bidi w:val="0"/>
              <w:jc w:val="center"/>
              <w:rPr>
                <w:rFonts w:asciiTheme="majorBidi" w:hAnsiTheme="majorBidi" w:cstheme="majorBidi"/>
                <w:color w:val="0070C0"/>
                <w:sz w:val="20"/>
                <w:szCs w:val="20"/>
              </w:rPr>
            </w:pPr>
            <w:r w:rsidRPr="00EF7C7B">
              <w:rPr>
                <w:rFonts w:asciiTheme="majorBidi" w:hAnsiTheme="majorBidi" w:cstheme="majorBidi"/>
                <w:color w:val="4F81BD"/>
                <w:sz w:val="20"/>
                <w:szCs w:val="20"/>
              </w:rPr>
              <w:t>-0.2</w:t>
            </w:r>
          </w:p>
        </w:tc>
        <w:tc>
          <w:tcPr>
            <w:tcW w:w="1333" w:type="dxa"/>
            <w:tcBorders>
              <w:bottom w:val="nil"/>
              <w:right w:val="nil"/>
            </w:tcBorders>
            <w:vAlign w:val="center"/>
          </w:tcPr>
          <w:p w14:paraId="7E42A094" w14:textId="088109DD" w:rsidR="00EF7C7B" w:rsidRPr="00EF7C7B" w:rsidRDefault="00EF7C7B" w:rsidP="00EF7C7B">
            <w:pPr>
              <w:bidi w:val="0"/>
              <w:jc w:val="center"/>
              <w:rPr>
                <w:rFonts w:asciiTheme="majorBidi" w:hAnsiTheme="majorBidi" w:cstheme="majorBidi"/>
                <w:sz w:val="20"/>
                <w:szCs w:val="20"/>
              </w:rPr>
            </w:pPr>
            <w:r w:rsidRPr="00EF7C7B">
              <w:rPr>
                <w:rFonts w:asciiTheme="majorBidi" w:hAnsiTheme="majorBidi" w:cstheme="majorBidi"/>
                <w:sz w:val="20"/>
                <w:szCs w:val="20"/>
              </w:rPr>
              <w:t>1.4</w:t>
            </w:r>
          </w:p>
        </w:tc>
      </w:tr>
    </w:tbl>
    <w:p w14:paraId="72A9A199" w14:textId="4641F4B8" w:rsidR="002E3EE1" w:rsidRPr="00467167" w:rsidRDefault="002E3EE1" w:rsidP="000D6AF9">
      <w:pPr>
        <w:bidi w:val="0"/>
        <w:rPr>
          <w:sz w:val="20"/>
          <w:szCs w:val="20"/>
        </w:rPr>
      </w:pPr>
      <w:r w:rsidRPr="00467167">
        <w:rPr>
          <w:sz w:val="20"/>
          <w:szCs w:val="20"/>
        </w:rPr>
        <w:t>a) National Accounts data</w:t>
      </w:r>
      <w:r w:rsidR="00BD2B1A">
        <w:rPr>
          <w:sz w:val="20"/>
          <w:szCs w:val="20"/>
        </w:rPr>
        <w:t>—first estimate by the Central Bureau of Statistics</w:t>
      </w:r>
      <w:r w:rsidR="000D6AF9">
        <w:rPr>
          <w:sz w:val="20"/>
          <w:szCs w:val="20"/>
        </w:rPr>
        <w:t>.</w:t>
      </w:r>
    </w:p>
    <w:p w14:paraId="70A9520E" w14:textId="77777777" w:rsidR="002E3EE1" w:rsidRPr="00467167" w:rsidRDefault="002E3EE1" w:rsidP="002E3EE1">
      <w:pPr>
        <w:bidi w:val="0"/>
        <w:rPr>
          <w:sz w:val="20"/>
          <w:szCs w:val="20"/>
        </w:rPr>
      </w:pPr>
      <w:r w:rsidRPr="00467167">
        <w:rPr>
          <w:sz w:val="20"/>
          <w:szCs w:val="20"/>
        </w:rPr>
        <w:t>b) Annual average of unemployment in the prim</w:t>
      </w:r>
      <w:r>
        <w:rPr>
          <w:sz w:val="20"/>
          <w:szCs w:val="20"/>
        </w:rPr>
        <w:t>e</w:t>
      </w:r>
      <w:r w:rsidRPr="00467167">
        <w:rPr>
          <w:sz w:val="20"/>
          <w:szCs w:val="20"/>
        </w:rPr>
        <w:t xml:space="preserve"> working ages (25–64).</w:t>
      </w:r>
    </w:p>
    <w:p w14:paraId="2ABDDD72" w14:textId="2B6A3FB5" w:rsidR="002E3EE1" w:rsidRDefault="002E3EE1" w:rsidP="002E3EE1">
      <w:pPr>
        <w:bidi w:val="0"/>
        <w:rPr>
          <w:sz w:val="20"/>
          <w:szCs w:val="20"/>
        </w:rPr>
      </w:pPr>
      <w:r w:rsidRPr="00467167">
        <w:rPr>
          <w:sz w:val="20"/>
          <w:szCs w:val="20"/>
        </w:rPr>
        <w:t>c) Average CPI reading in the final quarter of the year compared with the final-quarter average in the previous year.</w:t>
      </w:r>
    </w:p>
    <w:p w14:paraId="261AD447" w14:textId="77777777" w:rsidR="005B061D" w:rsidRPr="00467167" w:rsidRDefault="005B061D" w:rsidP="005B061D">
      <w:pPr>
        <w:bidi w:val="0"/>
        <w:rPr>
          <w:sz w:val="20"/>
          <w:szCs w:val="20"/>
        </w:rPr>
      </w:pPr>
    </w:p>
    <w:p w14:paraId="669D9889" w14:textId="77777777" w:rsidR="00A21D01" w:rsidRPr="008738E6" w:rsidRDefault="00A21D01" w:rsidP="00A21D01">
      <w:pPr>
        <w:numPr>
          <w:ilvl w:val="0"/>
          <w:numId w:val="9"/>
        </w:numPr>
        <w:bidi w:val="0"/>
        <w:spacing w:line="360" w:lineRule="auto"/>
        <w:ind w:left="357" w:hanging="357"/>
        <w:jc w:val="both"/>
        <w:rPr>
          <w:b/>
          <w:bCs/>
        </w:rPr>
      </w:pPr>
      <w:r w:rsidRPr="008738E6">
        <w:rPr>
          <w:b/>
          <w:bCs/>
        </w:rPr>
        <w:t xml:space="preserve">Inflation and interest rate estimates </w:t>
      </w:r>
    </w:p>
    <w:p w14:paraId="0C949C5D" w14:textId="6D6518AE" w:rsidR="00377DFF" w:rsidRPr="008738E6" w:rsidRDefault="00F75C0A" w:rsidP="007B2A02">
      <w:pPr>
        <w:bidi w:val="0"/>
        <w:jc w:val="both"/>
        <w:rPr>
          <w:b/>
          <w:bCs/>
        </w:rPr>
      </w:pPr>
      <w:r w:rsidRPr="00E622F3">
        <w:t>According to the staff forecast</w:t>
      </w:r>
      <w:r w:rsidR="00A21D01" w:rsidRPr="00E622F3">
        <w:t>,</w:t>
      </w:r>
      <w:r w:rsidR="00A21D01" w:rsidRPr="008738E6">
        <w:rPr>
          <w:b/>
          <w:bCs/>
        </w:rPr>
        <w:t xml:space="preserve"> </w:t>
      </w:r>
      <w:r w:rsidR="00987A72" w:rsidRPr="008738E6">
        <w:rPr>
          <w:b/>
          <w:bCs/>
        </w:rPr>
        <w:t xml:space="preserve">the </w:t>
      </w:r>
      <w:r w:rsidR="00A21D01" w:rsidRPr="008738E6">
        <w:rPr>
          <w:b/>
          <w:bCs/>
        </w:rPr>
        <w:t xml:space="preserve">inflation </w:t>
      </w:r>
      <w:r w:rsidR="00987A72" w:rsidRPr="008738E6">
        <w:rPr>
          <w:b/>
          <w:bCs/>
        </w:rPr>
        <w:t xml:space="preserve">rate </w:t>
      </w:r>
      <w:r w:rsidR="00705A5F" w:rsidRPr="008738E6">
        <w:rPr>
          <w:b/>
          <w:bCs/>
        </w:rPr>
        <w:t>in</w:t>
      </w:r>
      <w:r w:rsidR="00BC385E" w:rsidRPr="008738E6">
        <w:rPr>
          <w:b/>
          <w:bCs/>
        </w:rPr>
        <w:t xml:space="preserve"> </w:t>
      </w:r>
      <w:r w:rsidR="009F17F3" w:rsidRPr="008738E6">
        <w:rPr>
          <w:b/>
          <w:bCs/>
        </w:rPr>
        <w:t xml:space="preserve">the </w:t>
      </w:r>
      <w:r w:rsidR="00435DE5" w:rsidRPr="008738E6">
        <w:rPr>
          <w:b/>
          <w:bCs/>
        </w:rPr>
        <w:t xml:space="preserve">next </w:t>
      </w:r>
      <w:r w:rsidR="009F17F3" w:rsidRPr="008738E6">
        <w:rPr>
          <w:b/>
          <w:bCs/>
        </w:rPr>
        <w:t xml:space="preserve">four quarters </w:t>
      </w:r>
      <w:r w:rsidR="0048372A" w:rsidRPr="008738E6">
        <w:rPr>
          <w:b/>
          <w:bCs/>
        </w:rPr>
        <w:t>is</w:t>
      </w:r>
      <w:r w:rsidR="003E19C1" w:rsidRPr="008738E6">
        <w:rPr>
          <w:b/>
          <w:bCs/>
        </w:rPr>
        <w:t xml:space="preserve"> </w:t>
      </w:r>
      <w:r w:rsidR="0048372A" w:rsidRPr="008738E6">
        <w:rPr>
          <w:b/>
          <w:bCs/>
        </w:rPr>
        <w:t>expected to</w:t>
      </w:r>
      <w:r w:rsidR="00A1285C" w:rsidRPr="008738E6">
        <w:rPr>
          <w:b/>
          <w:bCs/>
        </w:rPr>
        <w:t xml:space="preserve"> be </w:t>
      </w:r>
      <w:r w:rsidR="0042257A" w:rsidRPr="008738E6">
        <w:rPr>
          <w:b/>
          <w:bCs/>
        </w:rPr>
        <w:t>1.</w:t>
      </w:r>
      <w:r w:rsidR="006015C8" w:rsidRPr="008738E6">
        <w:rPr>
          <w:b/>
          <w:bCs/>
        </w:rPr>
        <w:t>0</w:t>
      </w:r>
      <w:r w:rsidR="00A1285C" w:rsidRPr="008738E6">
        <w:rPr>
          <w:b/>
          <w:bCs/>
        </w:rPr>
        <w:t xml:space="preserve"> percent</w:t>
      </w:r>
      <w:r w:rsidR="00FE0350" w:rsidRPr="008738E6">
        <w:rPr>
          <w:b/>
          <w:bCs/>
        </w:rPr>
        <w:t>, slightly lower than our previous assessment</w:t>
      </w:r>
      <w:r w:rsidR="00A1285C" w:rsidRPr="008738E6">
        <w:rPr>
          <w:b/>
          <w:bCs/>
        </w:rPr>
        <w:t>.</w:t>
      </w:r>
      <w:r w:rsidR="00735B53" w:rsidRPr="008738E6">
        <w:rPr>
          <w:b/>
          <w:bCs/>
        </w:rPr>
        <w:t xml:space="preserve"> </w:t>
      </w:r>
      <w:r w:rsidR="00FE0350" w:rsidRPr="008738E6">
        <w:rPr>
          <w:b/>
          <w:bCs/>
        </w:rPr>
        <w:t xml:space="preserve">The inflation rate in the end of 2021 is expected to be 1.4 percent. </w:t>
      </w:r>
      <w:r w:rsidR="00C74EA1" w:rsidRPr="00D820A1">
        <w:t>We assess that</w:t>
      </w:r>
      <w:r w:rsidR="003E19C1" w:rsidRPr="00D820A1">
        <w:t xml:space="preserve"> </w:t>
      </w:r>
      <w:r w:rsidR="00C74EA1" w:rsidRPr="00D820A1">
        <w:t>the labor market is stabilizing in the environment of f</w:t>
      </w:r>
      <w:r w:rsidR="003447A4">
        <w:t>u</w:t>
      </w:r>
      <w:r w:rsidR="00C74EA1" w:rsidRPr="00D820A1">
        <w:t>ll employment, so that pressure</w:t>
      </w:r>
      <w:r w:rsidR="00CD587B">
        <w:t>s</w:t>
      </w:r>
      <w:r w:rsidR="00C74EA1" w:rsidRPr="00D820A1">
        <w:t xml:space="preserve"> on domestic prices from </w:t>
      </w:r>
      <w:r w:rsidR="007A1A37" w:rsidRPr="00D820A1">
        <w:t xml:space="preserve">this direction </w:t>
      </w:r>
      <w:r w:rsidR="00CD587B">
        <w:t>are</w:t>
      </w:r>
      <w:r w:rsidR="00CD587B" w:rsidRPr="00D820A1">
        <w:t xml:space="preserve"> </w:t>
      </w:r>
      <w:r w:rsidR="00C74EA1" w:rsidRPr="00D820A1">
        <w:t>not expected</w:t>
      </w:r>
      <w:r w:rsidR="00CD587B">
        <w:t xml:space="preserve"> to increase</w:t>
      </w:r>
      <w:r w:rsidR="00C74EA1" w:rsidRPr="00D820A1">
        <w:t xml:space="preserve">. </w:t>
      </w:r>
      <w:r w:rsidR="00EC2B3F">
        <w:t xml:space="preserve">In </w:t>
      </w:r>
      <w:r w:rsidR="00377DFF" w:rsidRPr="00D820A1">
        <w:t xml:space="preserve">particular, we assess that wage </w:t>
      </w:r>
      <w:r w:rsidR="004A1017">
        <w:lastRenderedPageBreak/>
        <w:t>increases</w:t>
      </w:r>
      <w:r w:rsidR="00377DFF" w:rsidRPr="00D820A1">
        <w:t xml:space="preserve"> will </w:t>
      </w:r>
      <w:r w:rsidR="00D40F03" w:rsidRPr="00D820A1">
        <w:t>continue</w:t>
      </w:r>
      <w:r w:rsidR="00377DFF" w:rsidRPr="00D820A1">
        <w:t xml:space="preserve"> to </w:t>
      </w:r>
      <w:r w:rsidR="00D40F03" w:rsidRPr="00D820A1">
        <w:t>contribute</w:t>
      </w:r>
      <w:r w:rsidR="00377DFF" w:rsidRPr="00D820A1">
        <w:t xml:space="preserve"> to </w:t>
      </w:r>
      <w:r w:rsidR="00D40F03" w:rsidRPr="00D820A1">
        <w:t xml:space="preserve">inflation </w:t>
      </w:r>
      <w:r w:rsidR="00377DFF" w:rsidRPr="00D820A1">
        <w:t xml:space="preserve">in the prices of services and nontradable goods to the same extent that they contributed in the </w:t>
      </w:r>
      <w:r w:rsidR="00D40F03" w:rsidRPr="00D820A1">
        <w:t>recent</w:t>
      </w:r>
      <w:r w:rsidR="00377DFF" w:rsidRPr="00D820A1">
        <w:t xml:space="preserve"> period. As far as </w:t>
      </w:r>
      <w:r w:rsidR="007B2A02">
        <w:t xml:space="preserve">inflation in </w:t>
      </w:r>
      <w:r w:rsidR="00377DFF" w:rsidRPr="00D820A1">
        <w:t>tradable goods</w:t>
      </w:r>
      <w:r w:rsidR="00E919DF">
        <w:t xml:space="preserve"> prices</w:t>
      </w:r>
      <w:r w:rsidR="00377DFF" w:rsidRPr="00D820A1">
        <w:t xml:space="preserve">, we assess that the </w:t>
      </w:r>
      <w:r w:rsidR="00D40F03" w:rsidRPr="00D820A1">
        <w:t>process</w:t>
      </w:r>
      <w:r w:rsidR="00377DFF" w:rsidRPr="00D820A1">
        <w:t xml:space="preserve"> of growth in compe</w:t>
      </w:r>
      <w:r w:rsidR="00D40F03" w:rsidRPr="00D820A1">
        <w:t>ti</w:t>
      </w:r>
      <w:r w:rsidR="00377DFF" w:rsidRPr="00D820A1">
        <w:t>tion has not yet been exhausted, a process that w</w:t>
      </w:r>
      <w:r w:rsidR="001A20F2">
        <w:t>a</w:t>
      </w:r>
      <w:r w:rsidR="00377DFF" w:rsidRPr="00D820A1">
        <w:t>s impacted</w:t>
      </w:r>
      <w:r w:rsidR="00D40F03" w:rsidRPr="00D820A1">
        <w:t>, among</w:t>
      </w:r>
      <w:r w:rsidR="00377DFF" w:rsidRPr="00D820A1">
        <w:t xml:space="preserve"> other </w:t>
      </w:r>
      <w:r w:rsidR="00D40F03" w:rsidRPr="00D820A1">
        <w:t>t</w:t>
      </w:r>
      <w:r w:rsidR="00377DFF" w:rsidRPr="00D820A1">
        <w:t>hings, by the development of e-</w:t>
      </w:r>
      <w:r w:rsidR="00D40F03" w:rsidRPr="00D820A1">
        <w:t>c</w:t>
      </w:r>
      <w:r w:rsidR="00377DFF" w:rsidRPr="00D820A1">
        <w:t xml:space="preserve">ommerce. </w:t>
      </w:r>
      <w:r w:rsidR="007B2A02">
        <w:t xml:space="preserve">The prices of tradable goods are expected to continue being impacted by this process as well as by the accumulated appreciation in the shekel. </w:t>
      </w:r>
      <w:r w:rsidR="00377DFF" w:rsidRPr="00D820A1">
        <w:t>I</w:t>
      </w:r>
      <w:r w:rsidR="00D40F03" w:rsidRPr="00D820A1">
        <w:t xml:space="preserve">n </w:t>
      </w:r>
      <w:r w:rsidR="00377DFF" w:rsidRPr="00D820A1">
        <w:t>v</w:t>
      </w:r>
      <w:r w:rsidR="00D40F03" w:rsidRPr="00D820A1">
        <w:t>i</w:t>
      </w:r>
      <w:r w:rsidR="00377DFF" w:rsidRPr="00D820A1">
        <w:t xml:space="preserve">ew of all this, we continue to </w:t>
      </w:r>
      <w:r w:rsidR="00D40F03" w:rsidRPr="00D820A1">
        <w:t xml:space="preserve">assess that </w:t>
      </w:r>
      <w:r w:rsidR="00377DFF" w:rsidRPr="00D820A1">
        <w:t>the increase</w:t>
      </w:r>
      <w:r w:rsidR="00D40F03" w:rsidRPr="00D820A1">
        <w:t xml:space="preserve"> </w:t>
      </w:r>
      <w:r w:rsidR="00377DFF" w:rsidRPr="00D820A1">
        <w:t xml:space="preserve">in </w:t>
      </w:r>
      <w:r w:rsidR="00AD496A" w:rsidRPr="00D820A1">
        <w:t xml:space="preserve">overall </w:t>
      </w:r>
      <w:r w:rsidR="00377DFF" w:rsidRPr="00D820A1">
        <w:t xml:space="preserve">inflation in the forecast </w:t>
      </w:r>
      <w:r w:rsidR="00F55B85">
        <w:t xml:space="preserve">range </w:t>
      </w:r>
      <w:r w:rsidR="00377DFF" w:rsidRPr="00D820A1">
        <w:t>will be gradu</w:t>
      </w:r>
      <w:r w:rsidR="00D40F03" w:rsidRPr="00D820A1">
        <w:t>al</w:t>
      </w:r>
      <w:r w:rsidR="00377DFF" w:rsidRPr="00D820A1">
        <w:t>.</w:t>
      </w:r>
    </w:p>
    <w:p w14:paraId="63FE8CF1" w14:textId="77777777" w:rsidR="00377DFF" w:rsidRDefault="00377DFF" w:rsidP="00377DFF">
      <w:pPr>
        <w:bidi w:val="0"/>
        <w:jc w:val="both"/>
        <w:rPr>
          <w:b/>
          <w:bCs/>
          <w:highlight w:val="green"/>
        </w:rPr>
      </w:pPr>
    </w:p>
    <w:p w14:paraId="3F84917D" w14:textId="41BE7347" w:rsidR="005D773A" w:rsidRDefault="00517FFC" w:rsidP="00B13B2A">
      <w:pPr>
        <w:bidi w:val="0"/>
        <w:jc w:val="both"/>
      </w:pPr>
      <w:r w:rsidRPr="00D820A1">
        <w:t>We assess that</w:t>
      </w:r>
      <w:r w:rsidRPr="00D820A1">
        <w:rPr>
          <w:b/>
          <w:bCs/>
        </w:rPr>
        <w:t xml:space="preserve"> the interest rate</w:t>
      </w:r>
      <w:r w:rsidR="00CD587B">
        <w:rPr>
          <w:b/>
          <w:bCs/>
        </w:rPr>
        <w:t xml:space="preserve"> in one year</w:t>
      </w:r>
      <w:r w:rsidRPr="00D820A1">
        <w:rPr>
          <w:b/>
          <w:bCs/>
        </w:rPr>
        <w:t xml:space="preserve"> will be 0.25 percent or 0.1 percent </w:t>
      </w:r>
      <w:r>
        <w:t xml:space="preserve">(Table 2). Toward the end of 2021, the expected increase of the inflation rate, together with </w:t>
      </w:r>
      <w:r w:rsidR="00200B11">
        <w:t xml:space="preserve">expected </w:t>
      </w:r>
      <w:r>
        <w:t>growth in a full employment environment, are likely to lead to</w:t>
      </w:r>
      <w:r w:rsidR="00B13B2A">
        <w:t xml:space="preserve"> a gradual increase in</w:t>
      </w:r>
      <w:r>
        <w:t xml:space="preserve"> the interest rate.</w:t>
      </w:r>
    </w:p>
    <w:p w14:paraId="5F51B20E" w14:textId="5C28A158" w:rsidR="00517FFC" w:rsidRDefault="00517FFC" w:rsidP="00517FFC">
      <w:pPr>
        <w:bidi w:val="0"/>
        <w:jc w:val="both"/>
      </w:pPr>
    </w:p>
    <w:p w14:paraId="11DC0DEB" w14:textId="7B59D957" w:rsidR="003F33D5" w:rsidRDefault="00725CB0" w:rsidP="006961CE">
      <w:pPr>
        <w:bidi w:val="0"/>
        <w:jc w:val="both"/>
      </w:pPr>
      <w:r>
        <w:t>Table 2 indicates that the forecast compiled by the Research Department regarding</w:t>
      </w:r>
      <w:r w:rsidR="00B540ED">
        <w:t xml:space="preserve"> inflation</w:t>
      </w:r>
      <w:r w:rsidR="00E75CF0">
        <w:t xml:space="preserve"> </w:t>
      </w:r>
      <w:r w:rsidR="00567BD9">
        <w:t>in</w:t>
      </w:r>
      <w:r w:rsidR="00B540ED">
        <w:t xml:space="preserve"> </w:t>
      </w:r>
      <w:r w:rsidR="00DB05DA">
        <w:t>one</w:t>
      </w:r>
      <w:r w:rsidR="00B540ED">
        <w:t xml:space="preserve"> year </w:t>
      </w:r>
      <w:r w:rsidR="005338C5">
        <w:t>is</w:t>
      </w:r>
      <w:r w:rsidR="00B540ED">
        <w:t xml:space="preserve"> </w:t>
      </w:r>
      <w:r w:rsidR="00DB05DA">
        <w:t>similar to</w:t>
      </w:r>
      <w:r w:rsidR="00E75CF0">
        <w:t xml:space="preserve"> those </w:t>
      </w:r>
      <w:r w:rsidR="00B540ED">
        <w:t xml:space="preserve">of the private forecasters and </w:t>
      </w:r>
      <w:r w:rsidR="00DB1B83">
        <w:t xml:space="preserve">slightly higher </w:t>
      </w:r>
      <w:r w:rsidR="008738E6">
        <w:t xml:space="preserve">than </w:t>
      </w:r>
      <w:r w:rsidR="00B540ED">
        <w:t>expectations derived from the capital market.</w:t>
      </w:r>
      <w:r w:rsidR="00E1523A">
        <w:t xml:space="preserve"> </w:t>
      </w:r>
      <w:r w:rsidR="00DB1B83">
        <w:t xml:space="preserve">The forecast compiled by the Research Department regarding the interest rate in one year </w:t>
      </w:r>
      <w:r w:rsidR="005338C5">
        <w:t>is</w:t>
      </w:r>
      <w:r w:rsidR="00DB1B83">
        <w:t xml:space="preserve"> similar to those of the private forecasters and </w:t>
      </w:r>
      <w:r w:rsidR="008B0377">
        <w:t xml:space="preserve">to </w:t>
      </w:r>
      <w:r w:rsidR="00DB1B83">
        <w:t>expectations derived from the capital market.</w:t>
      </w:r>
    </w:p>
    <w:p w14:paraId="40F3D8AA" w14:textId="77777777" w:rsidR="00053C7B" w:rsidRDefault="00053C7B" w:rsidP="00053C7B">
      <w:pPr>
        <w:bidi w:val="0"/>
        <w:jc w:val="both"/>
      </w:pPr>
    </w:p>
    <w:tbl>
      <w:tblPr>
        <w:tblW w:w="8233" w:type="dxa"/>
        <w:tblInd w:w="93" w:type="dxa"/>
        <w:tblLook w:val="04A0" w:firstRow="1" w:lastRow="0" w:firstColumn="1" w:lastColumn="0" w:noHBand="0" w:noVBand="1"/>
      </w:tblPr>
      <w:tblGrid>
        <w:gridCol w:w="2480"/>
        <w:gridCol w:w="2094"/>
        <w:gridCol w:w="1540"/>
        <w:gridCol w:w="2119"/>
      </w:tblGrid>
      <w:tr w:rsidR="00A21D01" w:rsidRPr="00B23575" w14:paraId="475FE59D" w14:textId="77777777" w:rsidTr="00211EF7">
        <w:trPr>
          <w:trHeight w:val="316"/>
          <w:tblHeader/>
        </w:trPr>
        <w:tc>
          <w:tcPr>
            <w:tcW w:w="8233" w:type="dxa"/>
            <w:gridSpan w:val="4"/>
            <w:tcBorders>
              <w:top w:val="nil"/>
              <w:left w:val="nil"/>
              <w:bottom w:val="nil"/>
              <w:right w:val="nil"/>
            </w:tcBorders>
            <w:shd w:val="clear" w:color="000000" w:fill="FFFFFF"/>
            <w:noWrap/>
            <w:vAlign w:val="center"/>
            <w:hideMark/>
          </w:tcPr>
          <w:p w14:paraId="420EA86B" w14:textId="77777777" w:rsidR="00A21D01" w:rsidRPr="00F75C0A" w:rsidRDefault="002945D2" w:rsidP="00211EF7">
            <w:pPr>
              <w:bidi w:val="0"/>
              <w:rPr>
                <w:rFonts w:asciiTheme="majorBidi" w:hAnsiTheme="majorBidi" w:cstheme="majorBidi"/>
                <w:b/>
                <w:bCs/>
                <w:color w:val="0070C0"/>
              </w:rPr>
            </w:pPr>
            <w:r w:rsidRPr="00F75C0A">
              <w:rPr>
                <w:color w:val="0070C0"/>
              </w:rPr>
              <w:br w:type="page"/>
            </w:r>
            <w:r w:rsidR="00A21D01" w:rsidRPr="00F75C0A">
              <w:rPr>
                <w:rFonts w:asciiTheme="majorBidi" w:hAnsiTheme="majorBidi" w:cstheme="majorBidi"/>
                <w:b/>
                <w:bCs/>
                <w:color w:val="0070C0"/>
              </w:rPr>
              <w:t>Table 2</w:t>
            </w:r>
          </w:p>
        </w:tc>
      </w:tr>
      <w:tr w:rsidR="00A21D01" w:rsidRPr="00B23575" w14:paraId="11821336" w14:textId="77777777" w:rsidTr="00211EF7">
        <w:trPr>
          <w:trHeight w:val="316"/>
          <w:tblHeader/>
        </w:trPr>
        <w:tc>
          <w:tcPr>
            <w:tcW w:w="8233" w:type="dxa"/>
            <w:gridSpan w:val="4"/>
            <w:tcBorders>
              <w:top w:val="nil"/>
              <w:left w:val="nil"/>
              <w:bottom w:val="nil"/>
              <w:right w:val="nil"/>
            </w:tcBorders>
            <w:shd w:val="clear" w:color="000000" w:fill="FFFFFF"/>
            <w:noWrap/>
            <w:vAlign w:val="center"/>
            <w:hideMark/>
          </w:tcPr>
          <w:p w14:paraId="44F8A295" w14:textId="77777777" w:rsidR="00A21D01" w:rsidRPr="00F75C0A" w:rsidRDefault="00453D2B" w:rsidP="00211EF7">
            <w:pPr>
              <w:bidi w:val="0"/>
              <w:rPr>
                <w:rFonts w:asciiTheme="majorBidi" w:hAnsiTheme="majorBidi" w:cstheme="majorBidi"/>
                <w:b/>
                <w:bCs/>
                <w:color w:val="0070C0"/>
              </w:rPr>
            </w:pPr>
            <w:r w:rsidRPr="00F75C0A">
              <w:rPr>
                <w:rFonts w:asciiTheme="majorBidi" w:hAnsiTheme="majorBidi" w:cstheme="majorBidi"/>
                <w:b/>
                <w:bCs/>
                <w:color w:val="0070C0"/>
              </w:rPr>
              <w:t>I</w:t>
            </w:r>
            <w:r w:rsidR="00A21D01" w:rsidRPr="00F75C0A">
              <w:rPr>
                <w:rFonts w:asciiTheme="majorBidi" w:hAnsiTheme="majorBidi" w:cstheme="majorBidi"/>
                <w:b/>
                <w:bCs/>
                <w:color w:val="0070C0"/>
              </w:rPr>
              <w:t xml:space="preserve">nflation and interest rate </w:t>
            </w:r>
            <w:r w:rsidRPr="00F75C0A">
              <w:rPr>
                <w:rFonts w:asciiTheme="majorBidi" w:hAnsiTheme="majorBidi" w:cstheme="majorBidi"/>
                <w:b/>
                <w:bCs/>
                <w:color w:val="0070C0"/>
              </w:rPr>
              <w:t xml:space="preserve">forecasts </w:t>
            </w:r>
            <w:r w:rsidR="00A21D01" w:rsidRPr="00F75C0A">
              <w:rPr>
                <w:rFonts w:asciiTheme="majorBidi" w:hAnsiTheme="majorBidi" w:cstheme="majorBidi"/>
                <w:b/>
                <w:bCs/>
                <w:color w:val="0070C0"/>
              </w:rPr>
              <w:t>for the coming year</w:t>
            </w:r>
          </w:p>
        </w:tc>
      </w:tr>
      <w:tr w:rsidR="00A21D01" w:rsidRPr="00B23575" w14:paraId="7C18F230" w14:textId="77777777" w:rsidTr="00211EF7">
        <w:trPr>
          <w:trHeight w:val="316"/>
          <w:tblHeader/>
        </w:trPr>
        <w:tc>
          <w:tcPr>
            <w:tcW w:w="8233" w:type="dxa"/>
            <w:gridSpan w:val="4"/>
            <w:tcBorders>
              <w:top w:val="nil"/>
              <w:left w:val="nil"/>
              <w:bottom w:val="single" w:sz="4" w:space="0" w:color="auto"/>
              <w:right w:val="nil"/>
            </w:tcBorders>
            <w:shd w:val="clear" w:color="000000" w:fill="FFFFFF"/>
            <w:noWrap/>
            <w:vAlign w:val="center"/>
            <w:hideMark/>
          </w:tcPr>
          <w:p w14:paraId="4627B35E" w14:textId="77777777" w:rsidR="00A21D01" w:rsidRPr="00F75C0A" w:rsidRDefault="00A21D01" w:rsidP="00211EF7">
            <w:pPr>
              <w:bidi w:val="0"/>
              <w:jc w:val="right"/>
              <w:rPr>
                <w:rFonts w:asciiTheme="majorBidi" w:hAnsiTheme="majorBidi" w:cstheme="majorBidi"/>
                <w:color w:val="0070C0"/>
                <w:sz w:val="22"/>
                <w:szCs w:val="22"/>
              </w:rPr>
            </w:pPr>
            <w:r w:rsidRPr="00F75C0A">
              <w:rPr>
                <w:rFonts w:asciiTheme="majorBidi" w:hAnsiTheme="majorBidi" w:cstheme="majorBidi"/>
                <w:color w:val="0070C0"/>
                <w:sz w:val="22"/>
                <w:szCs w:val="22"/>
              </w:rPr>
              <w:t>(percent)</w:t>
            </w:r>
          </w:p>
        </w:tc>
      </w:tr>
      <w:tr w:rsidR="00A21D01" w:rsidRPr="00B23575" w14:paraId="1FD84F9F" w14:textId="77777777" w:rsidTr="0044397B">
        <w:trPr>
          <w:trHeight w:val="683"/>
          <w:tblHeader/>
        </w:trPr>
        <w:tc>
          <w:tcPr>
            <w:tcW w:w="2480" w:type="dxa"/>
            <w:tcBorders>
              <w:top w:val="nil"/>
              <w:left w:val="nil"/>
              <w:bottom w:val="nil"/>
              <w:right w:val="nil"/>
            </w:tcBorders>
            <w:shd w:val="clear" w:color="000000" w:fill="FFFFFF"/>
            <w:vAlign w:val="center"/>
            <w:hideMark/>
          </w:tcPr>
          <w:p w14:paraId="641021DB" w14:textId="77777777" w:rsidR="00A21D01" w:rsidRPr="00211EF7" w:rsidRDefault="00A21D01" w:rsidP="0044397B">
            <w:pPr>
              <w:bidi w:val="0"/>
              <w:jc w:val="center"/>
              <w:rPr>
                <w:rFonts w:asciiTheme="majorBidi" w:hAnsiTheme="majorBidi" w:cstheme="majorBidi"/>
              </w:rPr>
            </w:pPr>
          </w:p>
        </w:tc>
        <w:tc>
          <w:tcPr>
            <w:tcW w:w="2094" w:type="dxa"/>
            <w:tcBorders>
              <w:top w:val="nil"/>
              <w:left w:val="nil"/>
              <w:bottom w:val="nil"/>
              <w:right w:val="nil"/>
            </w:tcBorders>
            <w:shd w:val="clear" w:color="000000" w:fill="FFFFFF"/>
            <w:vAlign w:val="center"/>
            <w:hideMark/>
          </w:tcPr>
          <w:p w14:paraId="59EFC9AA" w14:textId="77777777" w:rsidR="00A21D01" w:rsidRPr="00211EF7" w:rsidRDefault="00A21D01" w:rsidP="0044397B">
            <w:pPr>
              <w:bidi w:val="0"/>
              <w:jc w:val="center"/>
              <w:rPr>
                <w:rFonts w:asciiTheme="majorBidi" w:hAnsiTheme="majorBidi" w:cstheme="majorBidi"/>
              </w:rPr>
            </w:pPr>
            <w:r w:rsidRPr="00211EF7">
              <w:rPr>
                <w:rFonts w:asciiTheme="majorBidi" w:hAnsiTheme="majorBidi" w:cstheme="majorBidi"/>
              </w:rPr>
              <w:t>Bank of Israel Research Department</w:t>
            </w:r>
          </w:p>
        </w:tc>
        <w:tc>
          <w:tcPr>
            <w:tcW w:w="1540" w:type="dxa"/>
            <w:tcBorders>
              <w:top w:val="nil"/>
              <w:left w:val="nil"/>
              <w:bottom w:val="nil"/>
              <w:right w:val="nil"/>
            </w:tcBorders>
            <w:shd w:val="clear" w:color="000000" w:fill="FFFFFF"/>
            <w:vAlign w:val="center"/>
            <w:hideMark/>
          </w:tcPr>
          <w:p w14:paraId="5F18694E" w14:textId="77777777" w:rsidR="00A21D01" w:rsidRPr="00211EF7" w:rsidRDefault="00A21D01" w:rsidP="0044397B">
            <w:pPr>
              <w:bidi w:val="0"/>
              <w:jc w:val="center"/>
              <w:rPr>
                <w:rFonts w:asciiTheme="majorBidi" w:hAnsiTheme="majorBidi" w:cstheme="majorBidi"/>
              </w:rPr>
            </w:pPr>
            <w:r w:rsidRPr="00211EF7">
              <w:rPr>
                <w:rFonts w:asciiTheme="majorBidi" w:hAnsiTheme="majorBidi" w:cstheme="majorBidi"/>
              </w:rPr>
              <w:t>Capital markets</w:t>
            </w:r>
            <w:r w:rsidR="00446B32" w:rsidRPr="00211EF7">
              <w:rPr>
                <w:rFonts w:asciiTheme="majorBidi" w:hAnsiTheme="majorBidi" w:cstheme="majorBidi"/>
                <w:vertAlign w:val="superscript"/>
              </w:rPr>
              <w:t>a</w:t>
            </w:r>
          </w:p>
        </w:tc>
        <w:tc>
          <w:tcPr>
            <w:tcW w:w="2119" w:type="dxa"/>
            <w:tcBorders>
              <w:top w:val="nil"/>
              <w:left w:val="nil"/>
              <w:bottom w:val="nil"/>
              <w:right w:val="nil"/>
            </w:tcBorders>
            <w:shd w:val="clear" w:color="000000" w:fill="FFFFFF"/>
            <w:vAlign w:val="center"/>
            <w:hideMark/>
          </w:tcPr>
          <w:p w14:paraId="468CBA6A" w14:textId="77777777" w:rsidR="00A21D01" w:rsidRPr="00211EF7" w:rsidRDefault="00A21D01" w:rsidP="0044397B">
            <w:pPr>
              <w:bidi w:val="0"/>
              <w:jc w:val="center"/>
              <w:rPr>
                <w:rFonts w:asciiTheme="majorBidi" w:hAnsiTheme="majorBidi" w:cstheme="majorBidi"/>
              </w:rPr>
            </w:pPr>
            <w:r w:rsidRPr="00211EF7">
              <w:rPr>
                <w:rFonts w:asciiTheme="majorBidi" w:hAnsiTheme="majorBidi" w:cstheme="majorBidi"/>
              </w:rPr>
              <w:t>Private forecasters</w:t>
            </w:r>
            <w:r w:rsidR="00446B32" w:rsidRPr="00211EF7">
              <w:rPr>
                <w:rFonts w:asciiTheme="majorBidi" w:hAnsiTheme="majorBidi" w:cstheme="majorBidi"/>
                <w:vertAlign w:val="superscript"/>
              </w:rPr>
              <w:t>b</w:t>
            </w:r>
          </w:p>
        </w:tc>
      </w:tr>
      <w:tr w:rsidR="00F53855" w:rsidRPr="00B23575" w14:paraId="5A6E4ACF" w14:textId="77777777" w:rsidTr="00211EF7">
        <w:trPr>
          <w:trHeight w:val="280"/>
          <w:tblHeader/>
        </w:trPr>
        <w:tc>
          <w:tcPr>
            <w:tcW w:w="2480" w:type="dxa"/>
            <w:tcBorders>
              <w:top w:val="single" w:sz="4" w:space="0" w:color="auto"/>
              <w:left w:val="nil"/>
              <w:bottom w:val="nil"/>
              <w:right w:val="nil"/>
            </w:tcBorders>
            <w:shd w:val="clear" w:color="auto" w:fill="auto"/>
            <w:vAlign w:val="center"/>
            <w:hideMark/>
          </w:tcPr>
          <w:p w14:paraId="48735BCE" w14:textId="77777777" w:rsidR="00F53855" w:rsidRPr="00211EF7" w:rsidRDefault="00F53855" w:rsidP="0044397B">
            <w:pPr>
              <w:bidi w:val="0"/>
              <w:jc w:val="center"/>
              <w:rPr>
                <w:rFonts w:asciiTheme="majorBidi" w:hAnsiTheme="majorBidi" w:cstheme="majorBidi"/>
              </w:rPr>
            </w:pPr>
            <w:r w:rsidRPr="00211EF7">
              <w:rPr>
                <w:rFonts w:asciiTheme="majorBidi" w:hAnsiTheme="majorBidi" w:cstheme="majorBidi"/>
              </w:rPr>
              <w:t>Inflation rate</w:t>
            </w:r>
            <w:r w:rsidR="00446B32" w:rsidRPr="00211EF7">
              <w:rPr>
                <w:rFonts w:asciiTheme="majorBidi" w:hAnsiTheme="majorBidi" w:cstheme="majorBidi"/>
                <w:vertAlign w:val="superscript"/>
              </w:rPr>
              <w:t>c</w:t>
            </w:r>
          </w:p>
        </w:tc>
        <w:tc>
          <w:tcPr>
            <w:tcW w:w="2094" w:type="dxa"/>
            <w:tcBorders>
              <w:top w:val="single" w:sz="4" w:space="0" w:color="auto"/>
              <w:left w:val="nil"/>
              <w:bottom w:val="nil"/>
              <w:right w:val="nil"/>
            </w:tcBorders>
            <w:shd w:val="clear" w:color="auto" w:fill="auto"/>
            <w:vAlign w:val="center"/>
            <w:hideMark/>
          </w:tcPr>
          <w:p w14:paraId="0C95CDE6" w14:textId="27FCFD22" w:rsidR="00F53855" w:rsidRPr="00211EF7" w:rsidRDefault="00F53855" w:rsidP="00E75CF0">
            <w:pPr>
              <w:bidi w:val="0"/>
              <w:jc w:val="center"/>
              <w:rPr>
                <w:rFonts w:asciiTheme="majorBidi" w:hAnsiTheme="majorBidi" w:cstheme="majorBidi"/>
              </w:rPr>
            </w:pPr>
            <w:r w:rsidRPr="00211EF7">
              <w:rPr>
                <w:rFonts w:asciiTheme="majorBidi" w:hAnsiTheme="majorBidi" w:cstheme="majorBidi"/>
              </w:rPr>
              <w:t>1.</w:t>
            </w:r>
            <w:r w:rsidR="005554D5">
              <w:rPr>
                <w:rFonts w:asciiTheme="majorBidi" w:hAnsiTheme="majorBidi" w:cstheme="majorBidi"/>
              </w:rPr>
              <w:t>0</w:t>
            </w:r>
          </w:p>
        </w:tc>
        <w:tc>
          <w:tcPr>
            <w:tcW w:w="1540" w:type="dxa"/>
            <w:tcBorders>
              <w:top w:val="single" w:sz="4" w:space="0" w:color="auto"/>
              <w:left w:val="nil"/>
              <w:bottom w:val="nil"/>
              <w:right w:val="nil"/>
            </w:tcBorders>
            <w:shd w:val="clear" w:color="auto" w:fill="auto"/>
            <w:vAlign w:val="center"/>
            <w:hideMark/>
          </w:tcPr>
          <w:p w14:paraId="6A089EC9" w14:textId="3DDCCDA7" w:rsidR="00F53855" w:rsidRPr="00211EF7" w:rsidRDefault="005554D5" w:rsidP="00E75CF0">
            <w:pPr>
              <w:bidi w:val="0"/>
              <w:jc w:val="center"/>
              <w:rPr>
                <w:rFonts w:asciiTheme="majorBidi" w:hAnsiTheme="majorBidi" w:cstheme="majorBidi"/>
              </w:rPr>
            </w:pPr>
            <w:r>
              <w:rPr>
                <w:rFonts w:asciiTheme="majorBidi" w:hAnsiTheme="majorBidi" w:cstheme="majorBidi"/>
              </w:rPr>
              <w:t>0.8</w:t>
            </w:r>
          </w:p>
        </w:tc>
        <w:tc>
          <w:tcPr>
            <w:tcW w:w="2119" w:type="dxa"/>
            <w:tcBorders>
              <w:top w:val="single" w:sz="4" w:space="0" w:color="auto"/>
              <w:left w:val="nil"/>
              <w:bottom w:val="nil"/>
              <w:right w:val="nil"/>
            </w:tcBorders>
            <w:shd w:val="clear" w:color="auto" w:fill="auto"/>
            <w:vAlign w:val="center"/>
            <w:hideMark/>
          </w:tcPr>
          <w:p w14:paraId="67C061A1" w14:textId="1E02CC6F" w:rsidR="00F53855" w:rsidRPr="00211EF7" w:rsidRDefault="00446B32" w:rsidP="00E1523A">
            <w:pPr>
              <w:bidi w:val="0"/>
              <w:jc w:val="center"/>
              <w:rPr>
                <w:rFonts w:asciiTheme="majorBidi" w:hAnsiTheme="majorBidi" w:cstheme="majorBidi"/>
              </w:rPr>
            </w:pPr>
            <w:r w:rsidRPr="00211EF7">
              <w:rPr>
                <w:rFonts w:asciiTheme="majorBidi" w:hAnsiTheme="majorBidi" w:cstheme="majorBidi"/>
              </w:rPr>
              <w:t>1.</w:t>
            </w:r>
            <w:r w:rsidR="005554D5">
              <w:rPr>
                <w:rFonts w:asciiTheme="majorBidi" w:hAnsiTheme="majorBidi" w:cstheme="majorBidi"/>
              </w:rPr>
              <w:t>1</w:t>
            </w:r>
          </w:p>
        </w:tc>
      </w:tr>
      <w:tr w:rsidR="00F53855" w:rsidRPr="00B23575" w14:paraId="7CFAD171" w14:textId="77777777" w:rsidTr="00211EF7">
        <w:trPr>
          <w:trHeight w:val="281"/>
          <w:tblHeader/>
        </w:trPr>
        <w:tc>
          <w:tcPr>
            <w:tcW w:w="2480" w:type="dxa"/>
            <w:tcBorders>
              <w:top w:val="nil"/>
              <w:left w:val="nil"/>
              <w:bottom w:val="single" w:sz="4" w:space="0" w:color="auto"/>
              <w:right w:val="nil"/>
            </w:tcBorders>
            <w:shd w:val="clear" w:color="auto" w:fill="auto"/>
            <w:vAlign w:val="center"/>
            <w:hideMark/>
          </w:tcPr>
          <w:p w14:paraId="5438C190" w14:textId="77777777" w:rsidR="00F53855" w:rsidRPr="00211EF7" w:rsidRDefault="00F53855" w:rsidP="0044397B">
            <w:pPr>
              <w:bidi w:val="0"/>
              <w:jc w:val="center"/>
              <w:rPr>
                <w:rFonts w:asciiTheme="majorBidi" w:hAnsiTheme="majorBidi" w:cstheme="majorBidi"/>
              </w:rPr>
            </w:pPr>
            <w:r w:rsidRPr="00211EF7">
              <w:rPr>
                <w:rFonts w:asciiTheme="majorBidi" w:hAnsiTheme="majorBidi" w:cstheme="majorBidi"/>
              </w:rPr>
              <w:t>(range of forecasts)</w:t>
            </w:r>
          </w:p>
        </w:tc>
        <w:tc>
          <w:tcPr>
            <w:tcW w:w="2094" w:type="dxa"/>
            <w:tcBorders>
              <w:top w:val="nil"/>
              <w:left w:val="nil"/>
              <w:bottom w:val="single" w:sz="4" w:space="0" w:color="auto"/>
              <w:right w:val="nil"/>
            </w:tcBorders>
            <w:shd w:val="clear" w:color="auto" w:fill="auto"/>
            <w:vAlign w:val="center"/>
            <w:hideMark/>
          </w:tcPr>
          <w:p w14:paraId="20668D67" w14:textId="77777777" w:rsidR="00F53855" w:rsidRPr="00211EF7" w:rsidRDefault="00F53855" w:rsidP="0044397B">
            <w:pPr>
              <w:bidi w:val="0"/>
              <w:jc w:val="center"/>
              <w:rPr>
                <w:rFonts w:asciiTheme="majorBidi" w:hAnsiTheme="majorBidi" w:cstheme="majorBidi"/>
              </w:rPr>
            </w:pPr>
          </w:p>
        </w:tc>
        <w:tc>
          <w:tcPr>
            <w:tcW w:w="1540" w:type="dxa"/>
            <w:tcBorders>
              <w:top w:val="nil"/>
              <w:left w:val="nil"/>
              <w:bottom w:val="single" w:sz="4" w:space="0" w:color="auto"/>
              <w:right w:val="nil"/>
            </w:tcBorders>
            <w:shd w:val="clear" w:color="auto" w:fill="auto"/>
            <w:vAlign w:val="center"/>
            <w:hideMark/>
          </w:tcPr>
          <w:p w14:paraId="194B64F6" w14:textId="77777777" w:rsidR="00F53855" w:rsidRPr="00211EF7" w:rsidRDefault="00F53855" w:rsidP="0044397B">
            <w:pPr>
              <w:bidi w:val="0"/>
              <w:jc w:val="center"/>
              <w:rPr>
                <w:rFonts w:asciiTheme="majorBidi" w:hAnsiTheme="majorBidi" w:cstheme="majorBidi"/>
              </w:rPr>
            </w:pPr>
          </w:p>
        </w:tc>
        <w:tc>
          <w:tcPr>
            <w:tcW w:w="2119" w:type="dxa"/>
            <w:tcBorders>
              <w:top w:val="nil"/>
              <w:left w:val="nil"/>
              <w:bottom w:val="nil"/>
              <w:right w:val="nil"/>
            </w:tcBorders>
            <w:shd w:val="clear" w:color="auto" w:fill="auto"/>
            <w:noWrap/>
            <w:vAlign w:val="center"/>
            <w:hideMark/>
          </w:tcPr>
          <w:p w14:paraId="7C6D0236" w14:textId="3ADB3839" w:rsidR="00F53855" w:rsidRPr="00211EF7" w:rsidRDefault="00F53855" w:rsidP="005554D5">
            <w:pPr>
              <w:bidi w:val="0"/>
              <w:jc w:val="center"/>
              <w:rPr>
                <w:rFonts w:asciiTheme="majorBidi" w:hAnsiTheme="majorBidi" w:cstheme="majorBidi"/>
              </w:rPr>
            </w:pPr>
            <w:r w:rsidRPr="00211EF7">
              <w:rPr>
                <w:rFonts w:asciiTheme="majorBidi" w:hAnsiTheme="majorBidi" w:cstheme="majorBidi"/>
              </w:rPr>
              <w:t>(</w:t>
            </w:r>
            <w:r w:rsidR="00E1523A">
              <w:rPr>
                <w:rFonts w:asciiTheme="majorBidi" w:hAnsiTheme="majorBidi" w:cstheme="majorBidi"/>
              </w:rPr>
              <w:t>0.</w:t>
            </w:r>
            <w:r w:rsidR="005554D5">
              <w:rPr>
                <w:rFonts w:asciiTheme="majorBidi" w:hAnsiTheme="majorBidi" w:cstheme="majorBidi"/>
              </w:rPr>
              <w:t>5</w:t>
            </w:r>
            <w:r w:rsidRPr="00211EF7">
              <w:rPr>
                <w:rFonts w:asciiTheme="majorBidi" w:hAnsiTheme="majorBidi" w:cstheme="majorBidi"/>
              </w:rPr>
              <w:t>–</w:t>
            </w:r>
            <w:r w:rsidR="00E1523A">
              <w:rPr>
                <w:rFonts w:asciiTheme="majorBidi" w:hAnsiTheme="majorBidi" w:cstheme="majorBidi"/>
              </w:rPr>
              <w:t>2.</w:t>
            </w:r>
            <w:r w:rsidR="005554D5">
              <w:rPr>
                <w:rFonts w:asciiTheme="majorBidi" w:hAnsiTheme="majorBidi" w:cstheme="majorBidi"/>
              </w:rPr>
              <w:t>0</w:t>
            </w:r>
            <w:r w:rsidRPr="00211EF7">
              <w:rPr>
                <w:rFonts w:asciiTheme="majorBidi" w:hAnsiTheme="majorBidi" w:cstheme="majorBidi"/>
              </w:rPr>
              <w:t>)</w:t>
            </w:r>
          </w:p>
        </w:tc>
      </w:tr>
      <w:tr w:rsidR="00F53855" w:rsidRPr="00B23575" w14:paraId="58F11CD3" w14:textId="77777777" w:rsidTr="00211EF7">
        <w:trPr>
          <w:trHeight w:val="274"/>
          <w:tblHeader/>
        </w:trPr>
        <w:tc>
          <w:tcPr>
            <w:tcW w:w="2480" w:type="dxa"/>
            <w:tcBorders>
              <w:top w:val="nil"/>
              <w:left w:val="nil"/>
              <w:bottom w:val="nil"/>
              <w:right w:val="nil"/>
            </w:tcBorders>
            <w:shd w:val="clear" w:color="auto" w:fill="auto"/>
            <w:vAlign w:val="center"/>
            <w:hideMark/>
          </w:tcPr>
          <w:p w14:paraId="3D41D7C2" w14:textId="77777777" w:rsidR="00F53855" w:rsidRPr="00211EF7" w:rsidRDefault="00F53855" w:rsidP="0044397B">
            <w:pPr>
              <w:bidi w:val="0"/>
              <w:jc w:val="center"/>
              <w:rPr>
                <w:rFonts w:asciiTheme="majorBidi" w:hAnsiTheme="majorBidi" w:cstheme="majorBidi"/>
              </w:rPr>
            </w:pPr>
            <w:r w:rsidRPr="00211EF7">
              <w:rPr>
                <w:rFonts w:asciiTheme="majorBidi" w:hAnsiTheme="majorBidi" w:cstheme="majorBidi"/>
              </w:rPr>
              <w:t>Interest rate</w:t>
            </w:r>
            <w:r w:rsidR="00446B32" w:rsidRPr="00211EF7">
              <w:rPr>
                <w:rFonts w:asciiTheme="majorBidi" w:hAnsiTheme="majorBidi" w:cstheme="majorBidi"/>
                <w:vertAlign w:val="superscript"/>
              </w:rPr>
              <w:t>d</w:t>
            </w:r>
          </w:p>
        </w:tc>
        <w:tc>
          <w:tcPr>
            <w:tcW w:w="2094" w:type="dxa"/>
            <w:tcBorders>
              <w:top w:val="nil"/>
              <w:left w:val="nil"/>
              <w:bottom w:val="nil"/>
              <w:right w:val="nil"/>
            </w:tcBorders>
            <w:shd w:val="clear" w:color="auto" w:fill="auto"/>
            <w:vAlign w:val="center"/>
            <w:hideMark/>
          </w:tcPr>
          <w:p w14:paraId="21FF031F" w14:textId="39BCD7AC" w:rsidR="00F53855" w:rsidRPr="00211EF7" w:rsidRDefault="00F53855" w:rsidP="00DB05DA">
            <w:pPr>
              <w:bidi w:val="0"/>
              <w:jc w:val="center"/>
              <w:rPr>
                <w:rFonts w:asciiTheme="majorBidi" w:hAnsiTheme="majorBidi" w:cstheme="majorBidi"/>
              </w:rPr>
            </w:pPr>
            <w:r w:rsidRPr="00211EF7">
              <w:rPr>
                <w:rFonts w:asciiTheme="majorBidi" w:hAnsiTheme="majorBidi" w:cstheme="majorBidi"/>
              </w:rPr>
              <w:t>0.</w:t>
            </w:r>
            <w:r w:rsidR="00DB05DA">
              <w:rPr>
                <w:rFonts w:asciiTheme="majorBidi" w:hAnsiTheme="majorBidi" w:cstheme="majorBidi"/>
              </w:rPr>
              <w:t>1–0.25</w:t>
            </w:r>
          </w:p>
        </w:tc>
        <w:tc>
          <w:tcPr>
            <w:tcW w:w="1540" w:type="dxa"/>
            <w:tcBorders>
              <w:top w:val="nil"/>
              <w:left w:val="nil"/>
              <w:bottom w:val="nil"/>
              <w:right w:val="nil"/>
            </w:tcBorders>
            <w:shd w:val="clear" w:color="auto" w:fill="auto"/>
            <w:vAlign w:val="center"/>
            <w:hideMark/>
          </w:tcPr>
          <w:p w14:paraId="4F278757" w14:textId="535D5E4F" w:rsidR="00F53855" w:rsidRPr="00211EF7" w:rsidRDefault="00F53855" w:rsidP="00E75CF0">
            <w:pPr>
              <w:bidi w:val="0"/>
              <w:jc w:val="center"/>
              <w:rPr>
                <w:rFonts w:asciiTheme="majorBidi" w:hAnsiTheme="majorBidi" w:cstheme="majorBidi"/>
              </w:rPr>
            </w:pPr>
            <w:r w:rsidRPr="00211EF7">
              <w:rPr>
                <w:rFonts w:asciiTheme="majorBidi" w:hAnsiTheme="majorBidi" w:cstheme="majorBidi"/>
              </w:rPr>
              <w:t>0.</w:t>
            </w:r>
            <w:r w:rsidR="005554D5">
              <w:rPr>
                <w:rFonts w:asciiTheme="majorBidi" w:hAnsiTheme="majorBidi" w:cstheme="majorBidi"/>
              </w:rPr>
              <w:t>1</w:t>
            </w:r>
          </w:p>
        </w:tc>
        <w:tc>
          <w:tcPr>
            <w:tcW w:w="2119" w:type="dxa"/>
            <w:tcBorders>
              <w:top w:val="single" w:sz="4" w:space="0" w:color="auto"/>
              <w:left w:val="nil"/>
              <w:bottom w:val="nil"/>
              <w:right w:val="nil"/>
            </w:tcBorders>
            <w:shd w:val="clear" w:color="auto" w:fill="auto"/>
            <w:vAlign w:val="center"/>
            <w:hideMark/>
          </w:tcPr>
          <w:p w14:paraId="3A7FEE98" w14:textId="697EC6EC" w:rsidR="00F53855" w:rsidRPr="00211EF7" w:rsidRDefault="00F53855" w:rsidP="00E75CF0">
            <w:pPr>
              <w:bidi w:val="0"/>
              <w:jc w:val="center"/>
              <w:rPr>
                <w:rFonts w:asciiTheme="majorBidi" w:hAnsiTheme="majorBidi" w:cstheme="majorBidi"/>
              </w:rPr>
            </w:pPr>
            <w:r w:rsidRPr="00211EF7">
              <w:rPr>
                <w:rFonts w:asciiTheme="majorBidi" w:hAnsiTheme="majorBidi" w:cstheme="majorBidi"/>
              </w:rPr>
              <w:t>0.</w:t>
            </w:r>
            <w:r w:rsidR="005554D5">
              <w:rPr>
                <w:rFonts w:asciiTheme="majorBidi" w:hAnsiTheme="majorBidi" w:cstheme="majorBidi"/>
              </w:rPr>
              <w:t>1</w:t>
            </w:r>
          </w:p>
        </w:tc>
      </w:tr>
      <w:tr w:rsidR="00F53855" w:rsidRPr="00B23575" w14:paraId="037171B1" w14:textId="77777777" w:rsidTr="00211EF7">
        <w:trPr>
          <w:trHeight w:val="275"/>
          <w:tblHeader/>
        </w:trPr>
        <w:tc>
          <w:tcPr>
            <w:tcW w:w="2480" w:type="dxa"/>
            <w:tcBorders>
              <w:top w:val="nil"/>
              <w:left w:val="nil"/>
              <w:bottom w:val="single" w:sz="4" w:space="0" w:color="auto"/>
              <w:right w:val="nil"/>
            </w:tcBorders>
            <w:shd w:val="clear" w:color="auto" w:fill="auto"/>
            <w:vAlign w:val="center"/>
            <w:hideMark/>
          </w:tcPr>
          <w:p w14:paraId="34EBC22A" w14:textId="77777777" w:rsidR="00F53855" w:rsidRPr="00211EF7" w:rsidRDefault="00F53855" w:rsidP="0044397B">
            <w:pPr>
              <w:bidi w:val="0"/>
              <w:jc w:val="center"/>
              <w:rPr>
                <w:rFonts w:asciiTheme="majorBidi" w:hAnsiTheme="majorBidi" w:cstheme="majorBidi"/>
              </w:rPr>
            </w:pPr>
            <w:r w:rsidRPr="00211EF7">
              <w:rPr>
                <w:rFonts w:asciiTheme="majorBidi" w:hAnsiTheme="majorBidi" w:cstheme="majorBidi"/>
              </w:rPr>
              <w:t>(range of forecasts)</w:t>
            </w:r>
          </w:p>
        </w:tc>
        <w:tc>
          <w:tcPr>
            <w:tcW w:w="2094" w:type="dxa"/>
            <w:tcBorders>
              <w:top w:val="nil"/>
              <w:left w:val="nil"/>
              <w:bottom w:val="single" w:sz="4" w:space="0" w:color="auto"/>
              <w:right w:val="nil"/>
            </w:tcBorders>
            <w:shd w:val="clear" w:color="auto" w:fill="auto"/>
            <w:vAlign w:val="center"/>
            <w:hideMark/>
          </w:tcPr>
          <w:p w14:paraId="5384943B" w14:textId="77777777" w:rsidR="00F53855" w:rsidRPr="00211EF7" w:rsidRDefault="00F53855" w:rsidP="0044397B">
            <w:pPr>
              <w:bidi w:val="0"/>
              <w:jc w:val="center"/>
              <w:rPr>
                <w:rFonts w:asciiTheme="majorBidi" w:hAnsiTheme="majorBidi" w:cstheme="majorBidi"/>
              </w:rPr>
            </w:pPr>
          </w:p>
        </w:tc>
        <w:tc>
          <w:tcPr>
            <w:tcW w:w="1540" w:type="dxa"/>
            <w:tcBorders>
              <w:top w:val="nil"/>
              <w:left w:val="nil"/>
              <w:bottom w:val="single" w:sz="4" w:space="0" w:color="auto"/>
              <w:right w:val="nil"/>
            </w:tcBorders>
            <w:shd w:val="clear" w:color="auto" w:fill="auto"/>
            <w:vAlign w:val="center"/>
            <w:hideMark/>
          </w:tcPr>
          <w:p w14:paraId="20378682" w14:textId="77777777" w:rsidR="00F53855" w:rsidRPr="00211EF7" w:rsidRDefault="00F53855" w:rsidP="0044397B">
            <w:pPr>
              <w:bidi w:val="0"/>
              <w:jc w:val="center"/>
              <w:rPr>
                <w:rFonts w:asciiTheme="majorBidi" w:hAnsiTheme="majorBidi" w:cstheme="majorBidi"/>
              </w:rPr>
            </w:pPr>
          </w:p>
        </w:tc>
        <w:tc>
          <w:tcPr>
            <w:tcW w:w="2119" w:type="dxa"/>
            <w:tcBorders>
              <w:top w:val="nil"/>
              <w:left w:val="nil"/>
              <w:bottom w:val="single" w:sz="4" w:space="0" w:color="auto"/>
              <w:right w:val="nil"/>
            </w:tcBorders>
            <w:shd w:val="clear" w:color="auto" w:fill="auto"/>
            <w:noWrap/>
            <w:vAlign w:val="center"/>
            <w:hideMark/>
          </w:tcPr>
          <w:p w14:paraId="0D2FF25C" w14:textId="4DE3C368" w:rsidR="00F53855" w:rsidRPr="00211EF7" w:rsidRDefault="00F53855" w:rsidP="005554D5">
            <w:pPr>
              <w:bidi w:val="0"/>
              <w:jc w:val="center"/>
              <w:rPr>
                <w:rFonts w:asciiTheme="majorBidi" w:hAnsiTheme="majorBidi" w:cstheme="majorBidi"/>
              </w:rPr>
            </w:pPr>
            <w:r w:rsidRPr="00211EF7">
              <w:rPr>
                <w:rFonts w:asciiTheme="majorBidi" w:hAnsiTheme="majorBidi" w:cstheme="majorBidi"/>
              </w:rPr>
              <w:t>(</w:t>
            </w:r>
            <w:r w:rsidR="00E1523A">
              <w:rPr>
                <w:rFonts w:asciiTheme="majorBidi" w:hAnsiTheme="majorBidi" w:cstheme="majorBidi"/>
              </w:rPr>
              <w:t>-0.</w:t>
            </w:r>
            <w:r w:rsidR="00E75CF0">
              <w:rPr>
                <w:rFonts w:asciiTheme="majorBidi" w:hAnsiTheme="majorBidi" w:cstheme="majorBidi"/>
              </w:rPr>
              <w:t>4</w:t>
            </w:r>
            <w:r w:rsidRPr="00211EF7">
              <w:rPr>
                <w:rFonts w:asciiTheme="majorBidi" w:hAnsiTheme="majorBidi" w:cstheme="majorBidi"/>
              </w:rPr>
              <w:t>0–</w:t>
            </w:r>
            <w:r w:rsidR="00E1523A">
              <w:rPr>
                <w:rFonts w:asciiTheme="majorBidi" w:hAnsiTheme="majorBidi" w:cstheme="majorBidi"/>
              </w:rPr>
              <w:t>0</w:t>
            </w:r>
            <w:r w:rsidR="00E75CF0">
              <w:rPr>
                <w:rFonts w:asciiTheme="majorBidi" w:hAnsiTheme="majorBidi" w:cstheme="majorBidi"/>
              </w:rPr>
              <w:t>.</w:t>
            </w:r>
            <w:r w:rsidR="005554D5">
              <w:rPr>
                <w:rFonts w:asciiTheme="majorBidi" w:hAnsiTheme="majorBidi" w:cstheme="majorBidi"/>
              </w:rPr>
              <w:t>2</w:t>
            </w:r>
            <w:r w:rsidR="00E75CF0">
              <w:rPr>
                <w:rFonts w:asciiTheme="majorBidi" w:hAnsiTheme="majorBidi" w:cstheme="majorBidi"/>
              </w:rPr>
              <w:t>5</w:t>
            </w:r>
            <w:r w:rsidRPr="00211EF7">
              <w:rPr>
                <w:rFonts w:asciiTheme="majorBidi" w:hAnsiTheme="majorBidi" w:cstheme="majorBidi"/>
              </w:rPr>
              <w:t>)</w:t>
            </w:r>
          </w:p>
        </w:tc>
      </w:tr>
      <w:tr w:rsidR="00A21D01" w:rsidRPr="00B23575" w14:paraId="2A88FF9C" w14:textId="77777777" w:rsidTr="00A21D01">
        <w:trPr>
          <w:trHeight w:val="257"/>
          <w:tblHeader/>
        </w:trPr>
        <w:tc>
          <w:tcPr>
            <w:tcW w:w="8233" w:type="dxa"/>
            <w:gridSpan w:val="4"/>
            <w:tcBorders>
              <w:top w:val="nil"/>
              <w:left w:val="nil"/>
              <w:bottom w:val="nil"/>
              <w:right w:val="nil"/>
            </w:tcBorders>
            <w:shd w:val="clear" w:color="auto" w:fill="auto"/>
            <w:hideMark/>
          </w:tcPr>
          <w:p w14:paraId="3223449B" w14:textId="3BEC8DAC" w:rsidR="00446B32" w:rsidRDefault="00446B32" w:rsidP="00DC46CD">
            <w:pPr>
              <w:bidi w:val="0"/>
              <w:rPr>
                <w:rFonts w:asciiTheme="majorBidi" w:hAnsiTheme="majorBidi" w:cstheme="majorBidi"/>
                <w:sz w:val="20"/>
                <w:szCs w:val="20"/>
              </w:rPr>
            </w:pPr>
            <w:r>
              <w:rPr>
                <w:rFonts w:asciiTheme="majorBidi" w:hAnsiTheme="majorBidi" w:cstheme="majorBidi"/>
                <w:sz w:val="20"/>
                <w:szCs w:val="20"/>
              </w:rPr>
              <w:t xml:space="preserve">a) Average </w:t>
            </w:r>
            <w:r w:rsidR="00B13B2A">
              <w:rPr>
                <w:rFonts w:asciiTheme="majorBidi" w:hAnsiTheme="majorBidi" w:cstheme="majorBidi"/>
                <w:sz w:val="20"/>
                <w:szCs w:val="20"/>
              </w:rPr>
              <w:t xml:space="preserve">expectations </w:t>
            </w:r>
            <w:r>
              <w:rPr>
                <w:rFonts w:asciiTheme="majorBidi" w:hAnsiTheme="majorBidi" w:cstheme="majorBidi"/>
                <w:sz w:val="20"/>
                <w:szCs w:val="20"/>
              </w:rPr>
              <w:t xml:space="preserve">following publication of the Consumer Price Index for </w:t>
            </w:r>
            <w:r w:rsidR="00DC46CD">
              <w:rPr>
                <w:rFonts w:asciiTheme="majorBidi" w:hAnsiTheme="majorBidi" w:cstheme="majorBidi"/>
                <w:sz w:val="20"/>
                <w:szCs w:val="20"/>
              </w:rPr>
              <w:t>November</w:t>
            </w:r>
            <w:r>
              <w:rPr>
                <w:rFonts w:asciiTheme="majorBidi" w:hAnsiTheme="majorBidi" w:cstheme="majorBidi"/>
                <w:sz w:val="20"/>
                <w:szCs w:val="20"/>
              </w:rPr>
              <w:t>. Inflation expectations are seasonally adjusted.</w:t>
            </w:r>
          </w:p>
          <w:p w14:paraId="0E0BB5B8" w14:textId="748BF608" w:rsidR="00446B32" w:rsidRDefault="00446B32" w:rsidP="003A1EE3">
            <w:pPr>
              <w:bidi w:val="0"/>
              <w:rPr>
                <w:rFonts w:asciiTheme="majorBidi" w:hAnsiTheme="majorBidi" w:cstheme="majorBidi"/>
                <w:sz w:val="20"/>
                <w:szCs w:val="20"/>
              </w:rPr>
            </w:pPr>
            <w:r>
              <w:rPr>
                <w:rFonts w:asciiTheme="majorBidi" w:hAnsiTheme="majorBidi" w:cstheme="majorBidi"/>
                <w:sz w:val="20"/>
                <w:szCs w:val="20"/>
              </w:rPr>
              <w:t xml:space="preserve">b) </w:t>
            </w:r>
            <w:r w:rsidR="00E75CF0">
              <w:rPr>
                <w:rFonts w:asciiTheme="majorBidi" w:hAnsiTheme="majorBidi" w:cstheme="majorBidi"/>
                <w:sz w:val="20"/>
                <w:szCs w:val="20"/>
              </w:rPr>
              <w:t>One-year forward forecasts</w:t>
            </w:r>
            <w:r>
              <w:rPr>
                <w:rFonts w:asciiTheme="majorBidi" w:hAnsiTheme="majorBidi" w:cstheme="majorBidi"/>
                <w:sz w:val="20"/>
                <w:szCs w:val="20"/>
              </w:rPr>
              <w:t xml:space="preserve"> published following the publication of the Consumer Price Index for </w:t>
            </w:r>
            <w:r w:rsidR="003A1EE3">
              <w:rPr>
                <w:rFonts w:asciiTheme="majorBidi" w:hAnsiTheme="majorBidi" w:cstheme="majorBidi"/>
                <w:sz w:val="20"/>
                <w:szCs w:val="20"/>
              </w:rPr>
              <w:t>November</w:t>
            </w:r>
            <w:r>
              <w:rPr>
                <w:rFonts w:asciiTheme="majorBidi" w:hAnsiTheme="majorBidi" w:cstheme="majorBidi"/>
                <w:sz w:val="20"/>
                <w:szCs w:val="20"/>
              </w:rPr>
              <w:t>.</w:t>
            </w:r>
          </w:p>
          <w:p w14:paraId="72470B4A" w14:textId="1849CDD8" w:rsidR="00A21D01" w:rsidRPr="00B23575" w:rsidRDefault="00446B32" w:rsidP="00285037">
            <w:pPr>
              <w:bidi w:val="0"/>
              <w:rPr>
                <w:rFonts w:asciiTheme="majorBidi" w:hAnsiTheme="majorBidi" w:cstheme="majorBidi"/>
                <w:sz w:val="20"/>
                <w:szCs w:val="20"/>
              </w:rPr>
            </w:pPr>
            <w:r>
              <w:rPr>
                <w:rFonts w:asciiTheme="majorBidi" w:hAnsiTheme="majorBidi" w:cstheme="majorBidi"/>
                <w:sz w:val="20"/>
                <w:szCs w:val="20"/>
              </w:rPr>
              <w:t>c</w:t>
            </w:r>
            <w:r w:rsidR="00A21D01" w:rsidRPr="00B23575">
              <w:rPr>
                <w:rFonts w:asciiTheme="majorBidi" w:hAnsiTheme="majorBidi" w:cstheme="majorBidi"/>
                <w:sz w:val="20"/>
                <w:szCs w:val="20"/>
              </w:rPr>
              <w:t xml:space="preserve">) </w:t>
            </w:r>
            <w:r w:rsidR="007864A7">
              <w:rPr>
                <w:rFonts w:asciiTheme="majorBidi" w:hAnsiTheme="majorBidi" w:cstheme="majorBidi"/>
                <w:sz w:val="20"/>
                <w:szCs w:val="20"/>
              </w:rPr>
              <w:t xml:space="preserve">Inflation rate in the coming year. </w:t>
            </w:r>
            <w:r w:rsidR="00A21D01" w:rsidRPr="00B23575">
              <w:rPr>
                <w:rFonts w:asciiTheme="majorBidi" w:hAnsiTheme="majorBidi" w:cstheme="majorBidi"/>
                <w:sz w:val="20"/>
                <w:szCs w:val="20"/>
              </w:rPr>
              <w:t xml:space="preserve">Research </w:t>
            </w:r>
            <w:r w:rsidR="00A21D01" w:rsidRPr="00C378E2">
              <w:rPr>
                <w:rFonts w:asciiTheme="majorBidi" w:hAnsiTheme="majorBidi" w:cstheme="majorBidi"/>
                <w:sz w:val="20"/>
                <w:szCs w:val="20"/>
              </w:rPr>
              <w:t xml:space="preserve">Department: </w:t>
            </w:r>
            <w:r w:rsidR="00C51B50">
              <w:rPr>
                <w:rFonts w:asciiTheme="majorBidi" w:hAnsiTheme="majorBidi" w:cstheme="majorBidi"/>
                <w:sz w:val="20"/>
                <w:szCs w:val="20"/>
              </w:rPr>
              <w:t xml:space="preserve">in the four quarters ending in </w:t>
            </w:r>
            <w:r w:rsidR="00E75CF0">
              <w:rPr>
                <w:rFonts w:asciiTheme="majorBidi" w:hAnsiTheme="majorBidi" w:cstheme="majorBidi"/>
                <w:sz w:val="20"/>
                <w:szCs w:val="20"/>
              </w:rPr>
              <w:t xml:space="preserve">the </w:t>
            </w:r>
            <w:r w:rsidR="00285037">
              <w:rPr>
                <w:rFonts w:asciiTheme="majorBidi" w:hAnsiTheme="majorBidi" w:cstheme="majorBidi"/>
                <w:sz w:val="20"/>
                <w:szCs w:val="20"/>
              </w:rPr>
              <w:t>fourth</w:t>
            </w:r>
            <w:r w:rsidR="00C51B50">
              <w:rPr>
                <w:rFonts w:asciiTheme="majorBidi" w:hAnsiTheme="majorBidi" w:cstheme="majorBidi"/>
                <w:sz w:val="20"/>
                <w:szCs w:val="20"/>
              </w:rPr>
              <w:t xml:space="preserve"> quarter of 2</w:t>
            </w:r>
            <w:r w:rsidR="00725CB0">
              <w:rPr>
                <w:rFonts w:asciiTheme="majorBidi" w:hAnsiTheme="majorBidi" w:cstheme="majorBidi"/>
                <w:sz w:val="20"/>
                <w:szCs w:val="20"/>
              </w:rPr>
              <w:t>020</w:t>
            </w:r>
            <w:r w:rsidR="007864A7" w:rsidRPr="00C378E2">
              <w:rPr>
                <w:rFonts w:asciiTheme="majorBidi" w:hAnsiTheme="majorBidi" w:cstheme="majorBidi"/>
                <w:sz w:val="20"/>
                <w:szCs w:val="20"/>
              </w:rPr>
              <w:t>.</w:t>
            </w:r>
          </w:p>
        </w:tc>
      </w:tr>
      <w:tr w:rsidR="00A21D01" w:rsidRPr="00B23575" w14:paraId="11164718" w14:textId="77777777" w:rsidTr="00A21D01">
        <w:trPr>
          <w:trHeight w:val="445"/>
          <w:tblHeader/>
        </w:trPr>
        <w:tc>
          <w:tcPr>
            <w:tcW w:w="8233" w:type="dxa"/>
            <w:gridSpan w:val="4"/>
            <w:tcBorders>
              <w:top w:val="nil"/>
              <w:left w:val="nil"/>
              <w:bottom w:val="nil"/>
              <w:right w:val="nil"/>
            </w:tcBorders>
            <w:shd w:val="clear" w:color="auto" w:fill="auto"/>
            <w:hideMark/>
          </w:tcPr>
          <w:p w14:paraId="64C2C289" w14:textId="05CAFF3D" w:rsidR="00A21D01" w:rsidRDefault="00446B32" w:rsidP="003D605D">
            <w:pPr>
              <w:bidi w:val="0"/>
              <w:rPr>
                <w:rFonts w:asciiTheme="majorBidi" w:hAnsiTheme="majorBidi" w:cstheme="majorBidi"/>
                <w:sz w:val="20"/>
                <w:szCs w:val="20"/>
              </w:rPr>
            </w:pPr>
            <w:r>
              <w:rPr>
                <w:rFonts w:asciiTheme="majorBidi" w:hAnsiTheme="majorBidi" w:cstheme="majorBidi"/>
                <w:sz w:val="20"/>
                <w:szCs w:val="20"/>
              </w:rPr>
              <w:t>d</w:t>
            </w:r>
            <w:r w:rsidR="00A21D01" w:rsidRPr="00B23575">
              <w:rPr>
                <w:rFonts w:asciiTheme="majorBidi" w:hAnsiTheme="majorBidi" w:cstheme="majorBidi"/>
                <w:sz w:val="20"/>
                <w:szCs w:val="20"/>
              </w:rPr>
              <w:t>)</w:t>
            </w:r>
            <w:r w:rsidR="00A21D01">
              <w:rPr>
                <w:rFonts w:asciiTheme="majorBidi" w:hAnsiTheme="majorBidi" w:cstheme="majorBidi"/>
                <w:sz w:val="20"/>
                <w:szCs w:val="20"/>
              </w:rPr>
              <w:t xml:space="preserve"> </w:t>
            </w:r>
            <w:r w:rsidR="007864A7">
              <w:rPr>
                <w:rFonts w:asciiTheme="majorBidi" w:hAnsiTheme="majorBidi" w:cstheme="majorBidi"/>
                <w:sz w:val="20"/>
                <w:szCs w:val="20"/>
              </w:rPr>
              <w:t xml:space="preserve">The interest rate one year from now. </w:t>
            </w:r>
            <w:r w:rsidR="00D7448E">
              <w:rPr>
                <w:rFonts w:asciiTheme="majorBidi" w:hAnsiTheme="majorBidi" w:cstheme="majorBidi"/>
                <w:sz w:val="20"/>
                <w:szCs w:val="20"/>
              </w:rPr>
              <w:t>(</w:t>
            </w:r>
            <w:r w:rsidR="002945D2">
              <w:rPr>
                <w:rFonts w:asciiTheme="majorBidi" w:hAnsiTheme="majorBidi" w:cstheme="majorBidi"/>
                <w:sz w:val="20"/>
                <w:szCs w:val="20"/>
              </w:rPr>
              <w:t xml:space="preserve">Research Department: in the </w:t>
            </w:r>
            <w:r w:rsidR="003D605D">
              <w:rPr>
                <w:rFonts w:asciiTheme="majorBidi" w:hAnsiTheme="majorBidi" w:cstheme="majorBidi"/>
                <w:sz w:val="20"/>
                <w:szCs w:val="20"/>
              </w:rPr>
              <w:t>fourth</w:t>
            </w:r>
            <w:r w:rsidR="00725CB0">
              <w:rPr>
                <w:rFonts w:asciiTheme="majorBidi" w:hAnsiTheme="majorBidi" w:cstheme="majorBidi"/>
                <w:sz w:val="20"/>
                <w:szCs w:val="20"/>
              </w:rPr>
              <w:t xml:space="preserve"> </w:t>
            </w:r>
            <w:r w:rsidR="002945D2">
              <w:rPr>
                <w:rFonts w:asciiTheme="majorBidi" w:hAnsiTheme="majorBidi" w:cstheme="majorBidi"/>
                <w:sz w:val="20"/>
                <w:szCs w:val="20"/>
              </w:rPr>
              <w:t>quarter of 20</w:t>
            </w:r>
            <w:r w:rsidR="00725CB0">
              <w:rPr>
                <w:rFonts w:asciiTheme="majorBidi" w:hAnsiTheme="majorBidi" w:cstheme="majorBidi"/>
                <w:sz w:val="20"/>
                <w:szCs w:val="20"/>
              </w:rPr>
              <w:t>20</w:t>
            </w:r>
            <w:r w:rsidR="002945D2">
              <w:rPr>
                <w:rFonts w:asciiTheme="majorBidi" w:hAnsiTheme="majorBidi" w:cstheme="majorBidi"/>
                <w:sz w:val="20"/>
                <w:szCs w:val="20"/>
              </w:rPr>
              <w:t>.</w:t>
            </w:r>
            <w:r w:rsidR="00D45EF8">
              <w:rPr>
                <w:rFonts w:asciiTheme="majorBidi" w:hAnsiTheme="majorBidi" w:cstheme="majorBidi"/>
                <w:sz w:val="20"/>
                <w:szCs w:val="20"/>
              </w:rPr>
              <w:t>)</w:t>
            </w:r>
            <w:r w:rsidR="002945D2">
              <w:rPr>
                <w:rFonts w:asciiTheme="majorBidi" w:hAnsiTheme="majorBidi" w:cstheme="majorBidi"/>
                <w:sz w:val="20"/>
                <w:szCs w:val="20"/>
              </w:rPr>
              <w:t xml:space="preserve"> Expectations from the capital market are b</w:t>
            </w:r>
            <w:r w:rsidR="004E71DD">
              <w:rPr>
                <w:rFonts w:asciiTheme="majorBidi" w:hAnsiTheme="majorBidi" w:cstheme="majorBidi"/>
                <w:sz w:val="20"/>
                <w:szCs w:val="20"/>
              </w:rPr>
              <w:t>a</w:t>
            </w:r>
            <w:r w:rsidR="002945D2">
              <w:rPr>
                <w:rFonts w:asciiTheme="majorBidi" w:hAnsiTheme="majorBidi" w:cstheme="majorBidi"/>
                <w:sz w:val="20"/>
                <w:szCs w:val="20"/>
              </w:rPr>
              <w:t xml:space="preserve">sed on the </w:t>
            </w:r>
            <w:r w:rsidR="00D45EF8">
              <w:rPr>
                <w:rFonts w:asciiTheme="majorBidi" w:hAnsiTheme="majorBidi" w:cstheme="majorBidi"/>
                <w:sz w:val="20"/>
                <w:szCs w:val="20"/>
              </w:rPr>
              <w:t>Telbor market</w:t>
            </w:r>
            <w:r w:rsidR="002945D2">
              <w:rPr>
                <w:rFonts w:asciiTheme="majorBidi" w:hAnsiTheme="majorBidi" w:cstheme="majorBidi"/>
                <w:sz w:val="20"/>
                <w:szCs w:val="20"/>
              </w:rPr>
              <w:t>.</w:t>
            </w:r>
          </w:p>
          <w:p w14:paraId="1EADEAD2" w14:textId="77777777" w:rsidR="00FE6484" w:rsidRPr="00B23575" w:rsidRDefault="00FE6484" w:rsidP="00FE6484">
            <w:pPr>
              <w:bidi w:val="0"/>
              <w:rPr>
                <w:rFonts w:asciiTheme="majorBidi" w:hAnsiTheme="majorBidi" w:cstheme="majorBidi"/>
                <w:sz w:val="20"/>
                <w:szCs w:val="20"/>
              </w:rPr>
            </w:pPr>
            <w:r>
              <w:rPr>
                <w:rFonts w:asciiTheme="majorBidi" w:hAnsiTheme="majorBidi" w:cstheme="majorBidi"/>
                <w:sz w:val="20"/>
                <w:szCs w:val="20"/>
              </w:rPr>
              <w:t>SOURCE: Bank of Israel.</w:t>
            </w:r>
          </w:p>
        </w:tc>
      </w:tr>
    </w:tbl>
    <w:p w14:paraId="1EB21E2A" w14:textId="77777777" w:rsidR="00D211EC" w:rsidRDefault="00D211EC" w:rsidP="009335C7">
      <w:pPr>
        <w:bidi w:val="0"/>
        <w:jc w:val="both"/>
        <w:rPr>
          <w:b/>
          <w:bCs/>
        </w:rPr>
      </w:pPr>
    </w:p>
    <w:p w14:paraId="3AB5E26F" w14:textId="77777777" w:rsidR="00A21D01" w:rsidRDefault="00A21D01" w:rsidP="00A21D01">
      <w:pPr>
        <w:bidi w:val="0"/>
        <w:spacing w:line="300" w:lineRule="exact"/>
        <w:jc w:val="both"/>
      </w:pPr>
    </w:p>
    <w:p w14:paraId="6EBC99D5" w14:textId="77777777" w:rsidR="00A21D01" w:rsidRPr="00CD2FC5" w:rsidRDefault="006648AB" w:rsidP="00202CCB">
      <w:pPr>
        <w:numPr>
          <w:ilvl w:val="0"/>
          <w:numId w:val="9"/>
        </w:numPr>
        <w:bidi w:val="0"/>
        <w:spacing w:line="360" w:lineRule="auto"/>
        <w:ind w:left="357" w:hanging="357"/>
        <w:jc w:val="both"/>
        <w:rPr>
          <w:b/>
          <w:bCs/>
        </w:rPr>
      </w:pPr>
      <w:r>
        <w:rPr>
          <w:b/>
          <w:bCs/>
        </w:rPr>
        <w:t>Main r</w:t>
      </w:r>
      <w:r w:rsidR="00A21D01">
        <w:rPr>
          <w:b/>
          <w:bCs/>
        </w:rPr>
        <w:t xml:space="preserve">isks </w:t>
      </w:r>
      <w:r w:rsidR="00202CCB">
        <w:rPr>
          <w:b/>
          <w:bCs/>
        </w:rPr>
        <w:t xml:space="preserve">to </w:t>
      </w:r>
      <w:r w:rsidR="00A21D01">
        <w:rPr>
          <w:b/>
          <w:bCs/>
        </w:rPr>
        <w:t>the forecast</w:t>
      </w:r>
    </w:p>
    <w:p w14:paraId="1A4DAA20" w14:textId="5A70C62B" w:rsidR="00C33745" w:rsidRDefault="00431AC5" w:rsidP="007B2A02">
      <w:pPr>
        <w:bidi w:val="0"/>
        <w:jc w:val="both"/>
      </w:pPr>
      <w:r>
        <w:t>Several factors</w:t>
      </w:r>
      <w:r w:rsidR="00FE4827">
        <w:t xml:space="preserve"> may lead to </w:t>
      </w:r>
      <w:r w:rsidR="00EB1D08">
        <w:t xml:space="preserve">economic developments that differ from those </w:t>
      </w:r>
      <w:r w:rsidR="00FE4827">
        <w:t xml:space="preserve">in </w:t>
      </w:r>
      <w:r w:rsidR="00A21D01" w:rsidRPr="005A485A">
        <w:t>the forecast.</w:t>
      </w:r>
      <w:r w:rsidR="00FE4827">
        <w:t xml:space="preserve"> </w:t>
      </w:r>
      <w:r w:rsidR="00C33745">
        <w:t xml:space="preserve">In the domestic environment, the dispersal of the Knesset and the decision to hold elections in </w:t>
      </w:r>
      <w:r w:rsidR="007B2A02">
        <w:t>March</w:t>
      </w:r>
      <w:r w:rsidR="00C33745">
        <w:t xml:space="preserve"> 2020</w:t>
      </w:r>
      <w:r w:rsidR="008A2D0E">
        <w:t xml:space="preserve"> </w:t>
      </w:r>
      <w:r w:rsidR="00A930B3">
        <w:t xml:space="preserve">kept the </w:t>
      </w:r>
      <w:r w:rsidR="008A2D0E">
        <w:t xml:space="preserve">considerable uncertainty </w:t>
      </w:r>
      <w:r w:rsidR="00A930B3">
        <w:t xml:space="preserve">in place </w:t>
      </w:r>
      <w:r w:rsidR="008A2D0E">
        <w:t xml:space="preserve">regarding the steps that the next government will take in order to deal with the deviation of the deficit from the target, and their effect on growth, inflation, and the interest rate. The risks to the global environment decreased compared with the previous forecast, but they still tend to the downside. These risks include the possibility of a worsening in the trade tensions between the US and China and the uncertainty </w:t>
      </w:r>
      <w:r w:rsidR="007218BC">
        <w:t>regarding a Brexit agreement.</w:t>
      </w:r>
    </w:p>
    <w:p w14:paraId="6605701B" w14:textId="77777777" w:rsidR="00675998" w:rsidRDefault="00675998" w:rsidP="00675998">
      <w:pPr>
        <w:bidi w:val="0"/>
        <w:jc w:val="both"/>
      </w:pPr>
    </w:p>
    <w:p w14:paraId="62B7D3A8" w14:textId="1F131B70" w:rsidR="00AA01B7" w:rsidRDefault="00A21D01" w:rsidP="00053C7B">
      <w:pPr>
        <w:bidi w:val="0"/>
        <w:jc w:val="both"/>
      </w:pPr>
      <w:r w:rsidRPr="00700196">
        <w:lastRenderedPageBreak/>
        <w:t xml:space="preserve">Figures 1 </w:t>
      </w:r>
      <w:r w:rsidR="00C25B57">
        <w:t xml:space="preserve">and 2 </w:t>
      </w:r>
      <w:r w:rsidRPr="00700196">
        <w:t>present fan charts around the inflation rate</w:t>
      </w:r>
      <w:r w:rsidR="00C25B57">
        <w:t xml:space="preserve"> </w:t>
      </w:r>
      <w:r w:rsidRPr="00700196">
        <w:t>and GDP growth forecasts.</w:t>
      </w:r>
      <w:r w:rsidR="00C25B57">
        <w:rPr>
          <w:rStyle w:val="ac"/>
        </w:rPr>
        <w:footnoteReference w:id="4"/>
      </w:r>
      <w:r w:rsidRPr="00700196">
        <w:t xml:space="preserve"> </w:t>
      </w:r>
      <w:r w:rsidR="00942F47" w:rsidRPr="00700196">
        <w:t xml:space="preserve">The center of the fan (the white line) reflects the Research Department’s staff forecast. The broken line represents the baseline forecast from </w:t>
      </w:r>
      <w:r w:rsidR="008305AA" w:rsidRPr="00700196">
        <w:t>the previous quarter</w:t>
      </w:r>
      <w:r w:rsidR="00942F47" w:rsidRPr="00700196">
        <w:t>.</w:t>
      </w:r>
      <w:r w:rsidR="00740F71">
        <w:rPr>
          <w:rStyle w:val="ac"/>
        </w:rPr>
        <w:footnoteReference w:id="5"/>
      </w:r>
      <w:r w:rsidR="00942F47" w:rsidRPr="00700196">
        <w:t xml:space="preserve"> </w:t>
      </w:r>
      <w:r w:rsidRPr="00700196">
        <w:t xml:space="preserve">The width of the fan </w:t>
      </w:r>
      <w:r w:rsidR="00E27CE1" w:rsidRPr="00700196">
        <w:t xml:space="preserve">does not reflect a judgmental assessment of the risks to the forecast or their distribution, but </w:t>
      </w:r>
      <w:r w:rsidRPr="00700196">
        <w:t>is derived from the estimated distribution of the shocks in the Research Department's DSGE model</w:t>
      </w:r>
      <w:r w:rsidR="00E27CE1" w:rsidRPr="00700196">
        <w:t>.</w:t>
      </w:r>
      <w:r w:rsidR="00942F47" w:rsidRPr="00700196">
        <w:t xml:space="preserve"> </w:t>
      </w:r>
      <w:r w:rsidR="00E27CE1" w:rsidRPr="00700196">
        <w:t>T</w:t>
      </w:r>
      <w:r w:rsidR="00942F47" w:rsidRPr="00700196">
        <w:t>he fan encompasses 66 percent of the expected distribution</w:t>
      </w:r>
      <w:r w:rsidRPr="00700196">
        <w:t>.</w:t>
      </w:r>
    </w:p>
    <w:p w14:paraId="3B104CAA" w14:textId="77777777" w:rsidR="00053C7B" w:rsidRDefault="00053C7B" w:rsidP="00053C7B">
      <w:pPr>
        <w:bidi w:val="0"/>
        <w:jc w:val="both"/>
      </w:pPr>
    </w:p>
    <w:p w14:paraId="413FBCA2" w14:textId="77777777" w:rsidR="00A21D01" w:rsidRDefault="00A21D01" w:rsidP="004578CC">
      <w:pPr>
        <w:bidi w:val="0"/>
        <w:spacing w:line="240" w:lineRule="atLeast"/>
      </w:pPr>
      <w:r w:rsidRPr="00D60117">
        <w:rPr>
          <w:b/>
          <w:bCs/>
        </w:rPr>
        <w:t>Figure 1</w:t>
      </w:r>
      <w:r w:rsidRPr="00D60117">
        <w:rPr>
          <w:b/>
          <w:bCs/>
        </w:rPr>
        <w:br/>
        <w:t>Actual Inflation and Fan Chart of Expected Inflation</w:t>
      </w:r>
      <w:r>
        <w:rPr>
          <w:b/>
          <w:bCs/>
        </w:rPr>
        <w:t xml:space="preserve"> </w:t>
      </w:r>
    </w:p>
    <w:p w14:paraId="45345C35" w14:textId="3B0288FC" w:rsidR="00A21D01" w:rsidRDefault="00A22607" w:rsidP="004578CC">
      <w:pPr>
        <w:bidi w:val="0"/>
        <w:spacing w:line="240" w:lineRule="atLeast"/>
        <w:rPr>
          <w:noProof/>
        </w:rPr>
      </w:pPr>
      <w:r>
        <w:t>(C</w:t>
      </w:r>
      <w:r w:rsidR="00A21D01" w:rsidRPr="00D60117">
        <w:t xml:space="preserve">umulative increase in prices in </w:t>
      </w:r>
      <w:r w:rsidR="005715D5">
        <w:t xml:space="preserve">the </w:t>
      </w:r>
      <w:r w:rsidR="00A21D01" w:rsidRPr="00D60117">
        <w:t>previous four quarters)</w:t>
      </w:r>
    </w:p>
    <w:p w14:paraId="0BDBE9C7" w14:textId="684F66AD" w:rsidR="00230ECA" w:rsidRDefault="00B13B2A" w:rsidP="00230ECA">
      <w:pPr>
        <w:bidi w:val="0"/>
        <w:spacing w:line="240" w:lineRule="atLeast"/>
        <w:jc w:val="center"/>
        <w:rPr>
          <w:b/>
          <w:bCs/>
        </w:rPr>
      </w:pPr>
      <w:r>
        <w:rPr>
          <w:b/>
          <w:bCs/>
          <w:noProof/>
        </w:rPr>
        <w:drawing>
          <wp:inline distT="0" distB="0" distL="0" distR="0" wp14:anchorId="39F313E3" wp14:editId="4922DAD5">
            <wp:extent cx="5068800" cy="30888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68800" cy="3088800"/>
                    </a:xfrm>
                    <a:prstGeom prst="rect">
                      <a:avLst/>
                    </a:prstGeom>
                    <a:noFill/>
                  </pic:spPr>
                </pic:pic>
              </a:graphicData>
            </a:graphic>
          </wp:inline>
        </w:drawing>
      </w:r>
    </w:p>
    <w:p w14:paraId="316BB673" w14:textId="77777777" w:rsidR="00AB32FD" w:rsidRDefault="00AB32FD" w:rsidP="001F57FB">
      <w:pPr>
        <w:bidi w:val="0"/>
        <w:spacing w:line="240" w:lineRule="atLeast"/>
        <w:jc w:val="center"/>
        <w:rPr>
          <w:b/>
          <w:bCs/>
        </w:rPr>
      </w:pPr>
    </w:p>
    <w:p w14:paraId="680379DF" w14:textId="453E8280" w:rsidR="00D103A1" w:rsidRDefault="00D103A1" w:rsidP="00D103A1">
      <w:pPr>
        <w:bidi w:val="0"/>
        <w:spacing w:line="240" w:lineRule="atLeast"/>
        <w:jc w:val="center"/>
        <w:rPr>
          <w:b/>
          <w:bCs/>
        </w:rPr>
      </w:pPr>
    </w:p>
    <w:p w14:paraId="0A21317C" w14:textId="36741260" w:rsidR="009056EB" w:rsidRDefault="009056EB" w:rsidP="009056EB">
      <w:pPr>
        <w:bidi w:val="0"/>
        <w:spacing w:line="240" w:lineRule="atLeast"/>
        <w:jc w:val="center"/>
        <w:rPr>
          <w:b/>
          <w:bCs/>
        </w:rPr>
      </w:pPr>
    </w:p>
    <w:p w14:paraId="1DF1CCC9" w14:textId="604A01AD" w:rsidR="009056EB" w:rsidRDefault="009056EB" w:rsidP="009056EB">
      <w:pPr>
        <w:bidi w:val="0"/>
        <w:spacing w:line="240" w:lineRule="atLeast"/>
        <w:jc w:val="center"/>
        <w:rPr>
          <w:b/>
          <w:bCs/>
        </w:rPr>
      </w:pPr>
    </w:p>
    <w:p w14:paraId="122F2EB4" w14:textId="371F7599" w:rsidR="009056EB" w:rsidRDefault="009056EB" w:rsidP="009056EB">
      <w:pPr>
        <w:bidi w:val="0"/>
        <w:spacing w:line="240" w:lineRule="atLeast"/>
        <w:jc w:val="center"/>
        <w:rPr>
          <w:b/>
          <w:bCs/>
        </w:rPr>
      </w:pPr>
    </w:p>
    <w:p w14:paraId="4CEF4FFD" w14:textId="13DC7BD9" w:rsidR="009056EB" w:rsidRDefault="009056EB" w:rsidP="009056EB">
      <w:pPr>
        <w:bidi w:val="0"/>
        <w:spacing w:line="240" w:lineRule="atLeast"/>
        <w:jc w:val="center"/>
        <w:rPr>
          <w:b/>
          <w:bCs/>
        </w:rPr>
      </w:pPr>
    </w:p>
    <w:p w14:paraId="0C87ECA2" w14:textId="558DAA30" w:rsidR="009056EB" w:rsidRDefault="009056EB" w:rsidP="009056EB">
      <w:pPr>
        <w:bidi w:val="0"/>
        <w:spacing w:line="240" w:lineRule="atLeast"/>
        <w:jc w:val="center"/>
        <w:rPr>
          <w:b/>
          <w:bCs/>
        </w:rPr>
      </w:pPr>
    </w:p>
    <w:p w14:paraId="36C6DB24" w14:textId="05D1B68B" w:rsidR="009056EB" w:rsidRDefault="009056EB" w:rsidP="009056EB">
      <w:pPr>
        <w:bidi w:val="0"/>
        <w:spacing w:line="240" w:lineRule="atLeast"/>
        <w:jc w:val="center"/>
        <w:rPr>
          <w:b/>
          <w:bCs/>
        </w:rPr>
      </w:pPr>
    </w:p>
    <w:p w14:paraId="5954AA64" w14:textId="2019AB80" w:rsidR="009056EB" w:rsidRDefault="009056EB" w:rsidP="009056EB">
      <w:pPr>
        <w:bidi w:val="0"/>
        <w:spacing w:line="240" w:lineRule="atLeast"/>
        <w:jc w:val="center"/>
        <w:rPr>
          <w:b/>
          <w:bCs/>
        </w:rPr>
      </w:pPr>
    </w:p>
    <w:p w14:paraId="13D519EE" w14:textId="71507D6D" w:rsidR="009056EB" w:rsidRDefault="009056EB" w:rsidP="009056EB">
      <w:pPr>
        <w:bidi w:val="0"/>
        <w:spacing w:line="240" w:lineRule="atLeast"/>
        <w:jc w:val="center"/>
        <w:rPr>
          <w:b/>
          <w:bCs/>
        </w:rPr>
      </w:pPr>
    </w:p>
    <w:p w14:paraId="37E8A0C1" w14:textId="726BE427" w:rsidR="009056EB" w:rsidRDefault="009056EB" w:rsidP="009056EB">
      <w:pPr>
        <w:bidi w:val="0"/>
        <w:spacing w:line="240" w:lineRule="atLeast"/>
        <w:jc w:val="center"/>
        <w:rPr>
          <w:b/>
          <w:bCs/>
        </w:rPr>
      </w:pPr>
    </w:p>
    <w:p w14:paraId="301C966B" w14:textId="53C3503A" w:rsidR="009056EB" w:rsidRDefault="009056EB" w:rsidP="009056EB">
      <w:pPr>
        <w:bidi w:val="0"/>
        <w:spacing w:line="240" w:lineRule="atLeast"/>
        <w:jc w:val="center"/>
        <w:rPr>
          <w:b/>
          <w:bCs/>
        </w:rPr>
      </w:pPr>
    </w:p>
    <w:p w14:paraId="06E9943F" w14:textId="49E8D9D3" w:rsidR="009056EB" w:rsidRDefault="009056EB" w:rsidP="009056EB">
      <w:pPr>
        <w:bidi w:val="0"/>
        <w:spacing w:line="240" w:lineRule="atLeast"/>
        <w:jc w:val="center"/>
        <w:rPr>
          <w:b/>
          <w:bCs/>
        </w:rPr>
      </w:pPr>
    </w:p>
    <w:p w14:paraId="04F9628D" w14:textId="6E46681A" w:rsidR="009056EB" w:rsidRDefault="009056EB" w:rsidP="009056EB">
      <w:pPr>
        <w:bidi w:val="0"/>
        <w:spacing w:line="240" w:lineRule="atLeast"/>
        <w:jc w:val="center"/>
        <w:rPr>
          <w:b/>
          <w:bCs/>
        </w:rPr>
      </w:pPr>
    </w:p>
    <w:p w14:paraId="1E14A615" w14:textId="19343831" w:rsidR="009056EB" w:rsidRDefault="009056EB" w:rsidP="009056EB">
      <w:pPr>
        <w:bidi w:val="0"/>
        <w:spacing w:line="240" w:lineRule="atLeast"/>
        <w:jc w:val="center"/>
        <w:rPr>
          <w:b/>
          <w:bCs/>
        </w:rPr>
      </w:pPr>
    </w:p>
    <w:p w14:paraId="035C6B00" w14:textId="0B817F26" w:rsidR="009056EB" w:rsidRDefault="009056EB" w:rsidP="009056EB">
      <w:pPr>
        <w:bidi w:val="0"/>
        <w:spacing w:line="240" w:lineRule="atLeast"/>
        <w:jc w:val="center"/>
        <w:rPr>
          <w:b/>
          <w:bCs/>
        </w:rPr>
      </w:pPr>
    </w:p>
    <w:p w14:paraId="01F7855D" w14:textId="77777777" w:rsidR="009056EB" w:rsidRDefault="009056EB" w:rsidP="009056EB">
      <w:pPr>
        <w:bidi w:val="0"/>
        <w:spacing w:line="240" w:lineRule="atLeast"/>
        <w:jc w:val="center"/>
        <w:rPr>
          <w:b/>
          <w:bCs/>
        </w:rPr>
      </w:pPr>
    </w:p>
    <w:p w14:paraId="6867605D" w14:textId="05D3DAD1" w:rsidR="00A21D01" w:rsidRDefault="00A21D01" w:rsidP="004578CC">
      <w:pPr>
        <w:bidi w:val="0"/>
        <w:spacing w:line="240" w:lineRule="atLeast"/>
        <w:rPr>
          <w:b/>
          <w:bCs/>
        </w:rPr>
      </w:pPr>
      <w:r w:rsidRPr="00947879">
        <w:rPr>
          <w:b/>
          <w:bCs/>
        </w:rPr>
        <w:lastRenderedPageBreak/>
        <w:t xml:space="preserve">Figure </w:t>
      </w:r>
      <w:r w:rsidR="004578CC">
        <w:rPr>
          <w:b/>
          <w:bCs/>
        </w:rPr>
        <w:t>2</w:t>
      </w:r>
    </w:p>
    <w:p w14:paraId="60E8AF64" w14:textId="028B3073" w:rsidR="00A21D01" w:rsidRDefault="00A21D01" w:rsidP="004578CC">
      <w:pPr>
        <w:bidi w:val="0"/>
        <w:spacing w:line="240" w:lineRule="atLeast"/>
        <w:rPr>
          <w:b/>
          <w:bCs/>
        </w:rPr>
      </w:pPr>
      <w:r>
        <w:rPr>
          <w:b/>
          <w:bCs/>
        </w:rPr>
        <w:t>Actual GDP Growth Rate in the Past Four Quarters and Fan Chart of Expected Growth Rate</w:t>
      </w:r>
    </w:p>
    <w:p w14:paraId="599D86D6" w14:textId="75D0E710" w:rsidR="00A21D01" w:rsidRDefault="00A21D01" w:rsidP="004578CC">
      <w:pPr>
        <w:bidi w:val="0"/>
        <w:spacing w:line="240" w:lineRule="atLeast"/>
        <w:rPr>
          <w:b/>
          <w:bCs/>
        </w:rPr>
      </w:pPr>
      <w:r w:rsidRPr="00F4681B">
        <w:t>(</w:t>
      </w:r>
      <w:r w:rsidR="009E690A">
        <w:t>T</w:t>
      </w:r>
      <w:r w:rsidRPr="00F4681B">
        <w:t>otal GDP over the past four quarters relative to GDP in the preceding four quarters)</w:t>
      </w:r>
    </w:p>
    <w:p w14:paraId="6A3D4F84" w14:textId="5A84FEF1" w:rsidR="00E44499" w:rsidRPr="00F4681B" w:rsidRDefault="00E44499" w:rsidP="00E44499">
      <w:pPr>
        <w:bidi w:val="0"/>
        <w:spacing w:line="240" w:lineRule="atLeast"/>
        <w:rPr>
          <w:b/>
          <w:bCs/>
        </w:rPr>
      </w:pPr>
      <w:r>
        <w:rPr>
          <w:b/>
          <w:bCs/>
          <w:noProof/>
        </w:rPr>
        <w:drawing>
          <wp:inline distT="0" distB="0" distL="0" distR="0" wp14:anchorId="5601FA11" wp14:editId="13345A9D">
            <wp:extent cx="5065200" cy="3085200"/>
            <wp:effectExtent l="0" t="0" r="0" b="127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65200" cy="3085200"/>
                    </a:xfrm>
                    <a:prstGeom prst="rect">
                      <a:avLst/>
                    </a:prstGeom>
                    <a:noFill/>
                  </pic:spPr>
                </pic:pic>
              </a:graphicData>
            </a:graphic>
          </wp:inline>
        </w:drawing>
      </w:r>
    </w:p>
    <w:p w14:paraId="0B4AB515" w14:textId="6B4DF067" w:rsidR="00AA01B7" w:rsidRDefault="00AA01B7" w:rsidP="00AA01B7">
      <w:pPr>
        <w:bidi w:val="0"/>
        <w:spacing w:line="240" w:lineRule="atLeast"/>
        <w:jc w:val="both"/>
        <w:rPr>
          <w:sz w:val="20"/>
          <w:szCs w:val="20"/>
        </w:rPr>
      </w:pPr>
    </w:p>
    <w:p w14:paraId="22D49DED" w14:textId="408ADB28" w:rsidR="00305F85" w:rsidRPr="00A21D01" w:rsidRDefault="0032394B" w:rsidP="0087184F">
      <w:pPr>
        <w:bidi w:val="0"/>
        <w:spacing w:line="240" w:lineRule="atLeast"/>
        <w:jc w:val="both"/>
      </w:pPr>
    </w:p>
    <w:sectPr w:rsidR="00305F85" w:rsidRPr="00A21D01" w:rsidSect="0087184F">
      <w:headerReference w:type="first" r:id="rId14"/>
      <w:pgSz w:w="11906" w:h="16838"/>
      <w:pgMar w:top="1440" w:right="1800" w:bottom="1276"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FD187" w14:textId="77777777" w:rsidR="007E0AB6" w:rsidRDefault="007E0AB6" w:rsidP="00AD16FC">
      <w:r>
        <w:separator/>
      </w:r>
    </w:p>
  </w:endnote>
  <w:endnote w:type="continuationSeparator" w:id="0">
    <w:p w14:paraId="5EF06F1E" w14:textId="77777777" w:rsidR="007E0AB6" w:rsidRDefault="007E0AB6" w:rsidP="00AD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0000000000000000000"/>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50DA1" w14:textId="77777777" w:rsidR="007E0AB6" w:rsidRDefault="007E0AB6" w:rsidP="00AD16FC">
      <w:r>
        <w:separator/>
      </w:r>
    </w:p>
  </w:footnote>
  <w:footnote w:type="continuationSeparator" w:id="0">
    <w:p w14:paraId="5BDB9396" w14:textId="77777777" w:rsidR="007E0AB6" w:rsidRDefault="007E0AB6" w:rsidP="00AD16FC">
      <w:r>
        <w:continuationSeparator/>
      </w:r>
    </w:p>
  </w:footnote>
  <w:footnote w:id="1">
    <w:p w14:paraId="48533D11" w14:textId="3CF095B0" w:rsidR="000011B9" w:rsidRDefault="000011B9" w:rsidP="00EE66FD">
      <w:pPr>
        <w:pStyle w:val="aa"/>
        <w:bidi w:val="0"/>
      </w:pPr>
      <w:r>
        <w:rPr>
          <w:rStyle w:val="ac"/>
        </w:rPr>
        <w:footnoteRef/>
      </w:r>
      <w:r>
        <w:rPr>
          <w:rtl/>
        </w:rPr>
        <w:t xml:space="preserve"> </w:t>
      </w:r>
      <w:r w:rsidRPr="000011B9">
        <w:t xml:space="preserve">The forecast was presented to the Monetary Committee on </w:t>
      </w:r>
      <w:r w:rsidR="00EE66FD">
        <w:t xml:space="preserve">January 8, 2020 </w:t>
      </w:r>
      <w:r w:rsidRPr="000011B9">
        <w:t xml:space="preserve">during its meeting prior to the decision on the Bank of Israel interest rate reached on </w:t>
      </w:r>
      <w:r w:rsidR="00EE66FD">
        <w:t>January 9, 2020</w:t>
      </w:r>
      <w:r w:rsidRPr="000011B9">
        <w:t>.</w:t>
      </w:r>
      <w:r w:rsidR="000A0CDA">
        <w:t xml:space="preserve">  </w:t>
      </w:r>
    </w:p>
  </w:footnote>
  <w:footnote w:id="2">
    <w:p w14:paraId="3C5A8C51" w14:textId="77777777" w:rsidR="009C7987" w:rsidRDefault="009C7987" w:rsidP="00942F47">
      <w:pPr>
        <w:pStyle w:val="aa"/>
        <w:bidi w:val="0"/>
        <w:jc w:val="both"/>
      </w:pPr>
      <w:r>
        <w:rPr>
          <w:rStyle w:val="ac"/>
        </w:rPr>
        <w:footnoteRef/>
      </w:r>
      <w:r>
        <w:rPr>
          <w:rtl/>
        </w:rPr>
        <w:t xml:space="preserve"> </w:t>
      </w:r>
      <w:r w:rsidRPr="00CA7CFC">
        <w:t>An explanation of the macroeconomic staff forecast</w:t>
      </w:r>
      <w:r>
        <w:t>s</w:t>
      </w:r>
      <w:r w:rsidRPr="00CA7CFC">
        <w:t xml:space="preserve"> compiled by the Research Department</w:t>
      </w:r>
      <w:r>
        <w:t>, as well as a</w:t>
      </w:r>
      <w:r w:rsidRPr="00237ACD">
        <w:t xml:space="preserve"> </w:t>
      </w:r>
      <w:r>
        <w:t>review of the models on which they are based, appear in Inflation Report number 31 (for the second quarter of 2010), Section 3c.</w:t>
      </w:r>
    </w:p>
  </w:footnote>
  <w:footnote w:id="3">
    <w:p w14:paraId="78C5E2C7" w14:textId="0DAE8DCF" w:rsidR="00A21D01" w:rsidRDefault="00A21D01" w:rsidP="00EE6B01">
      <w:pPr>
        <w:bidi w:val="0"/>
        <w:jc w:val="both"/>
      </w:pPr>
      <w:r w:rsidRPr="002E48F4">
        <w:rPr>
          <w:rStyle w:val="ac"/>
          <w:sz w:val="20"/>
          <w:szCs w:val="20"/>
        </w:rPr>
        <w:footnoteRef/>
      </w:r>
      <w:r w:rsidR="00CA7CFC">
        <w:t xml:space="preserve"> </w:t>
      </w:r>
      <w:r w:rsidRPr="00237ACD">
        <w:rPr>
          <w:sz w:val="20"/>
          <w:szCs w:val="20"/>
        </w:rPr>
        <w:t xml:space="preserve">A Discussion Paper on the </w:t>
      </w:r>
      <w:r w:rsidR="00CA7CFC">
        <w:rPr>
          <w:sz w:val="20"/>
          <w:szCs w:val="20"/>
        </w:rPr>
        <w:t xml:space="preserve">DSGE </w:t>
      </w:r>
      <w:r w:rsidRPr="00237ACD">
        <w:rPr>
          <w:sz w:val="20"/>
          <w:szCs w:val="20"/>
        </w:rPr>
        <w:t xml:space="preserve">model </w:t>
      </w:r>
      <w:r>
        <w:rPr>
          <w:sz w:val="20"/>
          <w:szCs w:val="20"/>
        </w:rPr>
        <w:t>is available on the Bank of Israel website, under the title: “</w:t>
      </w:r>
      <w:r w:rsidRPr="00237ACD">
        <w:rPr>
          <w:sz w:val="20"/>
          <w:szCs w:val="20"/>
        </w:rPr>
        <w:t>MOISE: A DSGE Model for the Israeli Econom</w:t>
      </w:r>
      <w:r>
        <w:rPr>
          <w:sz w:val="20"/>
          <w:szCs w:val="20"/>
        </w:rPr>
        <w:t>y,” Discussion Paper No. 2012.06</w:t>
      </w:r>
      <w:r w:rsidRPr="00237ACD">
        <w:rPr>
          <w:sz w:val="20"/>
          <w:szCs w:val="20"/>
        </w:rPr>
        <w:t>.</w:t>
      </w:r>
    </w:p>
  </w:footnote>
  <w:footnote w:id="4">
    <w:p w14:paraId="3E73588B" w14:textId="18CC2CD2" w:rsidR="00C25B57" w:rsidRDefault="00C25B57" w:rsidP="005B28E5">
      <w:pPr>
        <w:pStyle w:val="aa"/>
        <w:bidi w:val="0"/>
      </w:pPr>
      <w:r>
        <w:rPr>
          <w:rStyle w:val="ac"/>
        </w:rPr>
        <w:footnoteRef/>
      </w:r>
      <w:r>
        <w:rPr>
          <w:rtl/>
        </w:rPr>
        <w:t xml:space="preserve"> </w:t>
      </w:r>
      <w:r w:rsidR="005B28E5">
        <w:t>A fan chart for the interest rate forecasts will no longer be published.</w:t>
      </w:r>
      <w:r w:rsidR="006D1888">
        <w:t xml:space="preserve"> </w:t>
      </w:r>
    </w:p>
  </w:footnote>
  <w:footnote w:id="5">
    <w:p w14:paraId="1670C85C" w14:textId="52912235" w:rsidR="00740F71" w:rsidRDefault="00740F71" w:rsidP="00740F71">
      <w:pPr>
        <w:pStyle w:val="aa"/>
        <w:bidi w:val="0"/>
      </w:pPr>
      <w:r>
        <w:rPr>
          <w:rStyle w:val="ac"/>
        </w:rPr>
        <w:footnoteRef/>
      </w:r>
      <w:r>
        <w:rPr>
          <w:rtl/>
        </w:rPr>
        <w:t xml:space="preserve"> </w:t>
      </w:r>
      <w:r>
        <w:t>Regarding GDP growth (Figure 2), until December 2019, the broken line represents the data and estimates that were available at the time the previous forecast was compiled, while the solid line represents the up to date data and estimates (the difference between them derives from new data and overall changes carried out by the Central Bureau of Statistics).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9FC3E" w14:textId="40DEB934" w:rsidR="009056EB" w:rsidRDefault="009056EB">
    <w:pPr>
      <w:pStyle w:val="a3"/>
      <w:rPr>
        <w:rtl/>
      </w:rPr>
    </w:pPr>
  </w:p>
  <w:p w14:paraId="3B73E232" w14:textId="67B97DFD" w:rsidR="009056EB" w:rsidRDefault="009056EB">
    <w:pPr>
      <w:pStyle w:val="a3"/>
      <w:rPr>
        <w:rtl/>
      </w:rPr>
    </w:pPr>
  </w:p>
  <w:p w14:paraId="52234D58" w14:textId="2F5AFB2B" w:rsidR="009056EB" w:rsidRDefault="009056EB">
    <w:pPr>
      <w:pStyle w:val="a3"/>
      <w:rPr>
        <w:rtl/>
      </w:rPr>
    </w:pPr>
  </w:p>
  <w:p w14:paraId="50625E10" w14:textId="68BF638D" w:rsidR="009056EB" w:rsidRDefault="009056EB">
    <w:pPr>
      <w:pStyle w:val="a3"/>
      <w:rPr>
        <w:rtl/>
      </w:rPr>
    </w:pPr>
  </w:p>
  <w:p w14:paraId="115B0CF7" w14:textId="6D0D130E" w:rsidR="009056EB" w:rsidRDefault="009056EB">
    <w:pPr>
      <w:pStyle w:val="a3"/>
      <w:rPr>
        <w:rtl/>
      </w:rPr>
    </w:pPr>
  </w:p>
  <w:p w14:paraId="29A0EA30" w14:textId="1D44EEB5" w:rsidR="009056EB" w:rsidRDefault="009056EB">
    <w:pPr>
      <w:pStyle w:val="a3"/>
      <w:rPr>
        <w:rtl/>
      </w:rPr>
    </w:pPr>
  </w:p>
  <w:p w14:paraId="7886633A" w14:textId="5699A13A" w:rsidR="009056EB" w:rsidRDefault="009056EB">
    <w:pPr>
      <w:pStyle w:val="a3"/>
      <w:rPr>
        <w:rtl/>
      </w:rPr>
    </w:pPr>
  </w:p>
  <w:p w14:paraId="5ECB2355" w14:textId="77777777" w:rsidR="009056EB" w:rsidRDefault="009056E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62CD1"/>
    <w:multiLevelType w:val="multilevel"/>
    <w:tmpl w:val="6C90399E"/>
    <w:lvl w:ilvl="0">
      <w:start w:val="1"/>
      <w:numFmt w:val="decimal"/>
      <w:pStyle w:val="4"/>
      <w:lvlText w:val="%1."/>
      <w:lvlJc w:val="left"/>
      <w:pPr>
        <w:ind w:left="4187" w:hanging="360"/>
      </w:pPr>
    </w:lvl>
    <w:lvl w:ilvl="1">
      <w:start w:val="1"/>
      <w:numFmt w:val="decimal"/>
      <w:pStyle w:val="5"/>
      <w:isLgl/>
      <w:lvlText w:val="%1.%2"/>
      <w:lvlJc w:val="left"/>
      <w:pPr>
        <w:ind w:left="4187" w:hanging="360"/>
      </w:pPr>
      <w:rPr>
        <w:rFonts w:hint="default"/>
      </w:rPr>
    </w:lvl>
    <w:lvl w:ilvl="2">
      <w:start w:val="1"/>
      <w:numFmt w:val="decimal"/>
      <w:pStyle w:val="6"/>
      <w:isLgl/>
      <w:lvlText w:val="%1.%2.%3"/>
      <w:lvlJc w:val="left"/>
      <w:pPr>
        <w:ind w:left="4547" w:hanging="720"/>
      </w:pPr>
      <w:rPr>
        <w:rFonts w:hint="default"/>
      </w:rPr>
    </w:lvl>
    <w:lvl w:ilvl="3">
      <w:start w:val="1"/>
      <w:numFmt w:val="decimal"/>
      <w:isLgl/>
      <w:lvlText w:val="%1.%2.%3.%4"/>
      <w:lvlJc w:val="left"/>
      <w:pPr>
        <w:ind w:left="4547" w:hanging="720"/>
      </w:pPr>
      <w:rPr>
        <w:rFonts w:hint="default"/>
      </w:rPr>
    </w:lvl>
    <w:lvl w:ilvl="4">
      <w:start w:val="1"/>
      <w:numFmt w:val="decimal"/>
      <w:isLgl/>
      <w:lvlText w:val="%1.%2.%3.%4.%5"/>
      <w:lvlJc w:val="left"/>
      <w:pPr>
        <w:ind w:left="4907" w:hanging="1080"/>
      </w:pPr>
      <w:rPr>
        <w:rFonts w:hint="default"/>
      </w:rPr>
    </w:lvl>
    <w:lvl w:ilvl="5">
      <w:start w:val="1"/>
      <w:numFmt w:val="decimal"/>
      <w:isLgl/>
      <w:lvlText w:val="%1.%2.%3.%4.%5.%6"/>
      <w:lvlJc w:val="left"/>
      <w:pPr>
        <w:ind w:left="4907" w:hanging="1080"/>
      </w:pPr>
      <w:rPr>
        <w:rFonts w:hint="default"/>
      </w:rPr>
    </w:lvl>
    <w:lvl w:ilvl="6">
      <w:start w:val="1"/>
      <w:numFmt w:val="decimal"/>
      <w:isLgl/>
      <w:lvlText w:val="%1.%2.%3.%4.%5.%6.%7"/>
      <w:lvlJc w:val="left"/>
      <w:pPr>
        <w:ind w:left="5267" w:hanging="1440"/>
      </w:pPr>
      <w:rPr>
        <w:rFonts w:hint="default"/>
      </w:rPr>
    </w:lvl>
    <w:lvl w:ilvl="7">
      <w:start w:val="1"/>
      <w:numFmt w:val="decimal"/>
      <w:isLgl/>
      <w:lvlText w:val="%1.%2.%3.%4.%5.%6.%7.%8"/>
      <w:lvlJc w:val="left"/>
      <w:pPr>
        <w:ind w:left="5267" w:hanging="1440"/>
      </w:pPr>
      <w:rPr>
        <w:rFonts w:hint="default"/>
      </w:rPr>
    </w:lvl>
    <w:lvl w:ilvl="8">
      <w:start w:val="1"/>
      <w:numFmt w:val="decimal"/>
      <w:isLgl/>
      <w:lvlText w:val="%1.%2.%3.%4.%5.%6.%7.%8.%9"/>
      <w:lvlJc w:val="left"/>
      <w:pPr>
        <w:ind w:left="5627" w:hanging="1800"/>
      </w:pPr>
      <w:rPr>
        <w:rFonts w:hint="default"/>
      </w:rPr>
    </w:lvl>
  </w:abstractNum>
  <w:abstractNum w:abstractNumId="1" w15:restartNumberingAfterBreak="0">
    <w:nsid w:val="691E694E"/>
    <w:multiLevelType w:val="hybridMultilevel"/>
    <w:tmpl w:val="CFA4400A"/>
    <w:lvl w:ilvl="0" w:tplc="410611F2">
      <w:start w:val="1"/>
      <w:numFmt w:val="lowerLetter"/>
      <w:lvlText w:val="%1."/>
      <w:lvlJc w:val="left"/>
      <w:pPr>
        <w:tabs>
          <w:tab w:val="num" w:pos="363"/>
        </w:tabs>
        <w:ind w:left="363" w:hanging="360"/>
      </w:pPr>
      <w:rPr>
        <w:rFonts w:cs="Times New Roman" w:hint="default"/>
      </w:rPr>
    </w:lvl>
    <w:lvl w:ilvl="1" w:tplc="04090019" w:tentative="1">
      <w:start w:val="1"/>
      <w:numFmt w:val="lowerLetter"/>
      <w:lvlText w:val="%2."/>
      <w:lvlJc w:val="left"/>
      <w:pPr>
        <w:tabs>
          <w:tab w:val="num" w:pos="1083"/>
        </w:tabs>
        <w:ind w:left="1083" w:hanging="360"/>
      </w:pPr>
      <w:rPr>
        <w:rFonts w:cs="Times New Roman"/>
      </w:rPr>
    </w:lvl>
    <w:lvl w:ilvl="2" w:tplc="0409001B" w:tentative="1">
      <w:start w:val="1"/>
      <w:numFmt w:val="lowerRoman"/>
      <w:lvlText w:val="%3."/>
      <w:lvlJc w:val="right"/>
      <w:pPr>
        <w:tabs>
          <w:tab w:val="num" w:pos="1803"/>
        </w:tabs>
        <w:ind w:left="1803" w:hanging="180"/>
      </w:pPr>
      <w:rPr>
        <w:rFonts w:cs="Times New Roman"/>
      </w:rPr>
    </w:lvl>
    <w:lvl w:ilvl="3" w:tplc="0409000F" w:tentative="1">
      <w:start w:val="1"/>
      <w:numFmt w:val="decimal"/>
      <w:lvlText w:val="%4."/>
      <w:lvlJc w:val="left"/>
      <w:pPr>
        <w:tabs>
          <w:tab w:val="num" w:pos="2523"/>
        </w:tabs>
        <w:ind w:left="2523" w:hanging="360"/>
      </w:pPr>
      <w:rPr>
        <w:rFonts w:cs="Times New Roman"/>
      </w:rPr>
    </w:lvl>
    <w:lvl w:ilvl="4" w:tplc="04090019" w:tentative="1">
      <w:start w:val="1"/>
      <w:numFmt w:val="lowerLetter"/>
      <w:lvlText w:val="%5."/>
      <w:lvlJc w:val="left"/>
      <w:pPr>
        <w:tabs>
          <w:tab w:val="num" w:pos="3243"/>
        </w:tabs>
        <w:ind w:left="3243" w:hanging="360"/>
      </w:pPr>
      <w:rPr>
        <w:rFonts w:cs="Times New Roman"/>
      </w:rPr>
    </w:lvl>
    <w:lvl w:ilvl="5" w:tplc="0409001B" w:tentative="1">
      <w:start w:val="1"/>
      <w:numFmt w:val="lowerRoman"/>
      <w:lvlText w:val="%6."/>
      <w:lvlJc w:val="right"/>
      <w:pPr>
        <w:tabs>
          <w:tab w:val="num" w:pos="3963"/>
        </w:tabs>
        <w:ind w:left="3963" w:hanging="180"/>
      </w:pPr>
      <w:rPr>
        <w:rFonts w:cs="Times New Roman"/>
      </w:rPr>
    </w:lvl>
    <w:lvl w:ilvl="6" w:tplc="0409000F" w:tentative="1">
      <w:start w:val="1"/>
      <w:numFmt w:val="decimal"/>
      <w:lvlText w:val="%7."/>
      <w:lvlJc w:val="left"/>
      <w:pPr>
        <w:tabs>
          <w:tab w:val="num" w:pos="4683"/>
        </w:tabs>
        <w:ind w:left="4683" w:hanging="360"/>
      </w:pPr>
      <w:rPr>
        <w:rFonts w:cs="Times New Roman"/>
      </w:rPr>
    </w:lvl>
    <w:lvl w:ilvl="7" w:tplc="04090019" w:tentative="1">
      <w:start w:val="1"/>
      <w:numFmt w:val="lowerLetter"/>
      <w:lvlText w:val="%8."/>
      <w:lvlJc w:val="left"/>
      <w:pPr>
        <w:tabs>
          <w:tab w:val="num" w:pos="5403"/>
        </w:tabs>
        <w:ind w:left="5403" w:hanging="360"/>
      </w:pPr>
      <w:rPr>
        <w:rFonts w:cs="Times New Roman"/>
      </w:rPr>
    </w:lvl>
    <w:lvl w:ilvl="8" w:tplc="0409001B" w:tentative="1">
      <w:start w:val="1"/>
      <w:numFmt w:val="lowerRoman"/>
      <w:lvlText w:val="%9."/>
      <w:lvlJc w:val="right"/>
      <w:pPr>
        <w:tabs>
          <w:tab w:val="num" w:pos="6123"/>
        </w:tabs>
        <w:ind w:left="6123"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attachedTemplate r:id="rId1"/>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01"/>
    <w:rsid w:val="000011B9"/>
    <w:rsid w:val="0000410B"/>
    <w:rsid w:val="000062AB"/>
    <w:rsid w:val="00006C8A"/>
    <w:rsid w:val="00012DBD"/>
    <w:rsid w:val="00021A8C"/>
    <w:rsid w:val="000268BA"/>
    <w:rsid w:val="00030DCE"/>
    <w:rsid w:val="0004176B"/>
    <w:rsid w:val="000502B3"/>
    <w:rsid w:val="00050365"/>
    <w:rsid w:val="00053C7B"/>
    <w:rsid w:val="00060F00"/>
    <w:rsid w:val="00061D28"/>
    <w:rsid w:val="00064736"/>
    <w:rsid w:val="0006649E"/>
    <w:rsid w:val="00071EAB"/>
    <w:rsid w:val="00077136"/>
    <w:rsid w:val="000821AD"/>
    <w:rsid w:val="00087BFF"/>
    <w:rsid w:val="000905F1"/>
    <w:rsid w:val="00090662"/>
    <w:rsid w:val="00094471"/>
    <w:rsid w:val="00095D99"/>
    <w:rsid w:val="0009617B"/>
    <w:rsid w:val="000A0CDA"/>
    <w:rsid w:val="000A5761"/>
    <w:rsid w:val="000B2298"/>
    <w:rsid w:val="000B2D7E"/>
    <w:rsid w:val="000B3E5E"/>
    <w:rsid w:val="000B566D"/>
    <w:rsid w:val="000C6D2B"/>
    <w:rsid w:val="000C7FAC"/>
    <w:rsid w:val="000D15A0"/>
    <w:rsid w:val="000D6AF9"/>
    <w:rsid w:val="000E5247"/>
    <w:rsid w:val="000E5777"/>
    <w:rsid w:val="000E72C6"/>
    <w:rsid w:val="000F3385"/>
    <w:rsid w:val="000F36F2"/>
    <w:rsid w:val="000F48F1"/>
    <w:rsid w:val="000F6AA3"/>
    <w:rsid w:val="00101C11"/>
    <w:rsid w:val="001031DD"/>
    <w:rsid w:val="00110005"/>
    <w:rsid w:val="00110630"/>
    <w:rsid w:val="00110CD6"/>
    <w:rsid w:val="00113C06"/>
    <w:rsid w:val="0011529C"/>
    <w:rsid w:val="001156D4"/>
    <w:rsid w:val="0011627D"/>
    <w:rsid w:val="00116C78"/>
    <w:rsid w:val="001222A5"/>
    <w:rsid w:val="001222BC"/>
    <w:rsid w:val="00131575"/>
    <w:rsid w:val="00131A6A"/>
    <w:rsid w:val="00136000"/>
    <w:rsid w:val="00137F6D"/>
    <w:rsid w:val="00143DB3"/>
    <w:rsid w:val="001443DE"/>
    <w:rsid w:val="00144D12"/>
    <w:rsid w:val="001506B8"/>
    <w:rsid w:val="00153D2D"/>
    <w:rsid w:val="0016380B"/>
    <w:rsid w:val="001643BB"/>
    <w:rsid w:val="001723D2"/>
    <w:rsid w:val="00172E4F"/>
    <w:rsid w:val="00176F0B"/>
    <w:rsid w:val="001914F7"/>
    <w:rsid w:val="001A123F"/>
    <w:rsid w:val="001A20F2"/>
    <w:rsid w:val="001A27EF"/>
    <w:rsid w:val="001A44B1"/>
    <w:rsid w:val="001A616D"/>
    <w:rsid w:val="001A7A07"/>
    <w:rsid w:val="001B28EA"/>
    <w:rsid w:val="001B4319"/>
    <w:rsid w:val="001B550D"/>
    <w:rsid w:val="001B7045"/>
    <w:rsid w:val="001B7D9D"/>
    <w:rsid w:val="001C2571"/>
    <w:rsid w:val="001C2680"/>
    <w:rsid w:val="001C3544"/>
    <w:rsid w:val="001D0FE2"/>
    <w:rsid w:val="001D21D1"/>
    <w:rsid w:val="001D76F5"/>
    <w:rsid w:val="001F2F2F"/>
    <w:rsid w:val="001F3D36"/>
    <w:rsid w:val="001F57FB"/>
    <w:rsid w:val="00200B11"/>
    <w:rsid w:val="00202CCB"/>
    <w:rsid w:val="00207522"/>
    <w:rsid w:val="00211EF7"/>
    <w:rsid w:val="0022227C"/>
    <w:rsid w:val="00230ECA"/>
    <w:rsid w:val="00233A26"/>
    <w:rsid w:val="00234A33"/>
    <w:rsid w:val="00235170"/>
    <w:rsid w:val="0023631B"/>
    <w:rsid w:val="002363D1"/>
    <w:rsid w:val="00241E66"/>
    <w:rsid w:val="002439B2"/>
    <w:rsid w:val="0024454F"/>
    <w:rsid w:val="00245F02"/>
    <w:rsid w:val="002461FF"/>
    <w:rsid w:val="00252B31"/>
    <w:rsid w:val="00257892"/>
    <w:rsid w:val="002614E2"/>
    <w:rsid w:val="002621A5"/>
    <w:rsid w:val="00262227"/>
    <w:rsid w:val="00262C88"/>
    <w:rsid w:val="00266083"/>
    <w:rsid w:val="002675D3"/>
    <w:rsid w:val="00270252"/>
    <w:rsid w:val="00275A36"/>
    <w:rsid w:val="00282853"/>
    <w:rsid w:val="00285037"/>
    <w:rsid w:val="00291398"/>
    <w:rsid w:val="00293654"/>
    <w:rsid w:val="002945D2"/>
    <w:rsid w:val="002A3BC1"/>
    <w:rsid w:val="002A7AAA"/>
    <w:rsid w:val="002B2C54"/>
    <w:rsid w:val="002B2C64"/>
    <w:rsid w:val="002B49D9"/>
    <w:rsid w:val="002C0AF6"/>
    <w:rsid w:val="002D452A"/>
    <w:rsid w:val="002E1A22"/>
    <w:rsid w:val="002E37F1"/>
    <w:rsid w:val="002E3EE1"/>
    <w:rsid w:val="002E616F"/>
    <w:rsid w:val="002F0472"/>
    <w:rsid w:val="0030038B"/>
    <w:rsid w:val="00300699"/>
    <w:rsid w:val="00304398"/>
    <w:rsid w:val="00306648"/>
    <w:rsid w:val="003071BC"/>
    <w:rsid w:val="00307FE2"/>
    <w:rsid w:val="00314D4E"/>
    <w:rsid w:val="00322A23"/>
    <w:rsid w:val="0032368A"/>
    <w:rsid w:val="0032394B"/>
    <w:rsid w:val="00326605"/>
    <w:rsid w:val="00326B5C"/>
    <w:rsid w:val="00327BB0"/>
    <w:rsid w:val="0033427A"/>
    <w:rsid w:val="003379D1"/>
    <w:rsid w:val="003379D8"/>
    <w:rsid w:val="003415C9"/>
    <w:rsid w:val="003447A4"/>
    <w:rsid w:val="0034489A"/>
    <w:rsid w:val="00353C9A"/>
    <w:rsid w:val="00356E71"/>
    <w:rsid w:val="00363628"/>
    <w:rsid w:val="003638DE"/>
    <w:rsid w:val="0036663A"/>
    <w:rsid w:val="00370A76"/>
    <w:rsid w:val="00371244"/>
    <w:rsid w:val="00374016"/>
    <w:rsid w:val="0037682D"/>
    <w:rsid w:val="00377DFF"/>
    <w:rsid w:val="00382474"/>
    <w:rsid w:val="0038300A"/>
    <w:rsid w:val="003936A5"/>
    <w:rsid w:val="003A1EE3"/>
    <w:rsid w:val="003A2BCF"/>
    <w:rsid w:val="003A6415"/>
    <w:rsid w:val="003B0F6C"/>
    <w:rsid w:val="003B4A4B"/>
    <w:rsid w:val="003B6E09"/>
    <w:rsid w:val="003C0435"/>
    <w:rsid w:val="003C3A13"/>
    <w:rsid w:val="003C51B3"/>
    <w:rsid w:val="003C7C25"/>
    <w:rsid w:val="003D1C8A"/>
    <w:rsid w:val="003D3C91"/>
    <w:rsid w:val="003D605D"/>
    <w:rsid w:val="003D71BE"/>
    <w:rsid w:val="003E08B6"/>
    <w:rsid w:val="003E19C1"/>
    <w:rsid w:val="003E266A"/>
    <w:rsid w:val="003E5DCB"/>
    <w:rsid w:val="003F14FF"/>
    <w:rsid w:val="003F33D5"/>
    <w:rsid w:val="003F40AA"/>
    <w:rsid w:val="003F5174"/>
    <w:rsid w:val="0041673E"/>
    <w:rsid w:val="0042257A"/>
    <w:rsid w:val="004247E4"/>
    <w:rsid w:val="00431AC5"/>
    <w:rsid w:val="00432907"/>
    <w:rsid w:val="00434CA0"/>
    <w:rsid w:val="00435505"/>
    <w:rsid w:val="00435DE5"/>
    <w:rsid w:val="00442670"/>
    <w:rsid w:val="0044397B"/>
    <w:rsid w:val="004467D9"/>
    <w:rsid w:val="00446B32"/>
    <w:rsid w:val="004501E8"/>
    <w:rsid w:val="00453D2B"/>
    <w:rsid w:val="00454090"/>
    <w:rsid w:val="004548EA"/>
    <w:rsid w:val="00456CAD"/>
    <w:rsid w:val="004578CC"/>
    <w:rsid w:val="004634B5"/>
    <w:rsid w:val="00463684"/>
    <w:rsid w:val="004650F8"/>
    <w:rsid w:val="004654C3"/>
    <w:rsid w:val="0046610D"/>
    <w:rsid w:val="00467167"/>
    <w:rsid w:val="004706AE"/>
    <w:rsid w:val="004749A9"/>
    <w:rsid w:val="0047600F"/>
    <w:rsid w:val="00477EF7"/>
    <w:rsid w:val="0048096C"/>
    <w:rsid w:val="0048372A"/>
    <w:rsid w:val="00490AF3"/>
    <w:rsid w:val="0049210C"/>
    <w:rsid w:val="00496D92"/>
    <w:rsid w:val="004975C8"/>
    <w:rsid w:val="004A0C32"/>
    <w:rsid w:val="004A1017"/>
    <w:rsid w:val="004A56B7"/>
    <w:rsid w:val="004A6FAD"/>
    <w:rsid w:val="004B16A2"/>
    <w:rsid w:val="004B187B"/>
    <w:rsid w:val="004B415E"/>
    <w:rsid w:val="004B687A"/>
    <w:rsid w:val="004C64DB"/>
    <w:rsid w:val="004C6D8F"/>
    <w:rsid w:val="004C77DF"/>
    <w:rsid w:val="004D6484"/>
    <w:rsid w:val="004E1A6E"/>
    <w:rsid w:val="004E439A"/>
    <w:rsid w:val="004E71DD"/>
    <w:rsid w:val="004F6FA6"/>
    <w:rsid w:val="004F745B"/>
    <w:rsid w:val="004F764E"/>
    <w:rsid w:val="00500C71"/>
    <w:rsid w:val="00501059"/>
    <w:rsid w:val="00511532"/>
    <w:rsid w:val="005118A2"/>
    <w:rsid w:val="005138D9"/>
    <w:rsid w:val="005145B3"/>
    <w:rsid w:val="00517FFC"/>
    <w:rsid w:val="00522485"/>
    <w:rsid w:val="005259C8"/>
    <w:rsid w:val="00526A3D"/>
    <w:rsid w:val="00527802"/>
    <w:rsid w:val="00530763"/>
    <w:rsid w:val="00532260"/>
    <w:rsid w:val="005338C5"/>
    <w:rsid w:val="005353CA"/>
    <w:rsid w:val="005371B8"/>
    <w:rsid w:val="00541F01"/>
    <w:rsid w:val="005430AC"/>
    <w:rsid w:val="005462CC"/>
    <w:rsid w:val="00547487"/>
    <w:rsid w:val="00550DB9"/>
    <w:rsid w:val="00553BFE"/>
    <w:rsid w:val="005554D5"/>
    <w:rsid w:val="00567BD9"/>
    <w:rsid w:val="00571311"/>
    <w:rsid w:val="005715D5"/>
    <w:rsid w:val="005746E6"/>
    <w:rsid w:val="0057714E"/>
    <w:rsid w:val="005875FB"/>
    <w:rsid w:val="0059526F"/>
    <w:rsid w:val="0059707C"/>
    <w:rsid w:val="005A7EDF"/>
    <w:rsid w:val="005B00E8"/>
    <w:rsid w:val="005B061D"/>
    <w:rsid w:val="005B2620"/>
    <w:rsid w:val="005B28DF"/>
    <w:rsid w:val="005B28E5"/>
    <w:rsid w:val="005C2BD4"/>
    <w:rsid w:val="005C76FE"/>
    <w:rsid w:val="005C7723"/>
    <w:rsid w:val="005D5724"/>
    <w:rsid w:val="005D6EBF"/>
    <w:rsid w:val="005D773A"/>
    <w:rsid w:val="005E0237"/>
    <w:rsid w:val="005E6AD1"/>
    <w:rsid w:val="005F2B24"/>
    <w:rsid w:val="005F638E"/>
    <w:rsid w:val="005F6830"/>
    <w:rsid w:val="006001D0"/>
    <w:rsid w:val="006015C8"/>
    <w:rsid w:val="006035C8"/>
    <w:rsid w:val="0061045E"/>
    <w:rsid w:val="00611D9B"/>
    <w:rsid w:val="00622CBA"/>
    <w:rsid w:val="006264EC"/>
    <w:rsid w:val="00631795"/>
    <w:rsid w:val="00632EEB"/>
    <w:rsid w:val="00635859"/>
    <w:rsid w:val="00637B9C"/>
    <w:rsid w:val="006418B2"/>
    <w:rsid w:val="00646717"/>
    <w:rsid w:val="0065321D"/>
    <w:rsid w:val="00654B16"/>
    <w:rsid w:val="00655AFC"/>
    <w:rsid w:val="00664763"/>
    <w:rsid w:val="006648AB"/>
    <w:rsid w:val="00667BE4"/>
    <w:rsid w:val="00672497"/>
    <w:rsid w:val="00675998"/>
    <w:rsid w:val="00680A3C"/>
    <w:rsid w:val="0068229E"/>
    <w:rsid w:val="00686EBE"/>
    <w:rsid w:val="00690F17"/>
    <w:rsid w:val="006961CE"/>
    <w:rsid w:val="00697916"/>
    <w:rsid w:val="006A7E98"/>
    <w:rsid w:val="006B2670"/>
    <w:rsid w:val="006B2EE9"/>
    <w:rsid w:val="006C0D25"/>
    <w:rsid w:val="006C2D83"/>
    <w:rsid w:val="006C48FC"/>
    <w:rsid w:val="006D1888"/>
    <w:rsid w:val="006D7526"/>
    <w:rsid w:val="006F37BC"/>
    <w:rsid w:val="006F56F7"/>
    <w:rsid w:val="00700196"/>
    <w:rsid w:val="007002DD"/>
    <w:rsid w:val="00705A5F"/>
    <w:rsid w:val="00716661"/>
    <w:rsid w:val="00717133"/>
    <w:rsid w:val="007218BC"/>
    <w:rsid w:val="00725CB0"/>
    <w:rsid w:val="00733360"/>
    <w:rsid w:val="00734E01"/>
    <w:rsid w:val="00735AB2"/>
    <w:rsid w:val="00735B53"/>
    <w:rsid w:val="00736708"/>
    <w:rsid w:val="00736C6C"/>
    <w:rsid w:val="00740F71"/>
    <w:rsid w:val="00745320"/>
    <w:rsid w:val="00746090"/>
    <w:rsid w:val="00752A06"/>
    <w:rsid w:val="00763946"/>
    <w:rsid w:val="007669FC"/>
    <w:rsid w:val="007674CC"/>
    <w:rsid w:val="00767CA2"/>
    <w:rsid w:val="0077284B"/>
    <w:rsid w:val="00785465"/>
    <w:rsid w:val="007864A7"/>
    <w:rsid w:val="007871AC"/>
    <w:rsid w:val="00790C99"/>
    <w:rsid w:val="00790F87"/>
    <w:rsid w:val="007953DF"/>
    <w:rsid w:val="007A1A37"/>
    <w:rsid w:val="007A4B17"/>
    <w:rsid w:val="007B2A02"/>
    <w:rsid w:val="007B3087"/>
    <w:rsid w:val="007B40F4"/>
    <w:rsid w:val="007B58BE"/>
    <w:rsid w:val="007B61D9"/>
    <w:rsid w:val="007C4EFD"/>
    <w:rsid w:val="007D04C3"/>
    <w:rsid w:val="007D063F"/>
    <w:rsid w:val="007D1DF5"/>
    <w:rsid w:val="007D4F49"/>
    <w:rsid w:val="007D70EA"/>
    <w:rsid w:val="007E0AB6"/>
    <w:rsid w:val="007F2871"/>
    <w:rsid w:val="007F3C4C"/>
    <w:rsid w:val="00802B46"/>
    <w:rsid w:val="00803944"/>
    <w:rsid w:val="00804864"/>
    <w:rsid w:val="008065C4"/>
    <w:rsid w:val="00813118"/>
    <w:rsid w:val="0081703A"/>
    <w:rsid w:val="00820023"/>
    <w:rsid w:val="008277E1"/>
    <w:rsid w:val="008305AA"/>
    <w:rsid w:val="00832B9D"/>
    <w:rsid w:val="00833768"/>
    <w:rsid w:val="00834D8E"/>
    <w:rsid w:val="00834DA7"/>
    <w:rsid w:val="00836E60"/>
    <w:rsid w:val="00840221"/>
    <w:rsid w:val="0084185E"/>
    <w:rsid w:val="00845C66"/>
    <w:rsid w:val="00861F13"/>
    <w:rsid w:val="0086369E"/>
    <w:rsid w:val="00863B19"/>
    <w:rsid w:val="0086708B"/>
    <w:rsid w:val="00870412"/>
    <w:rsid w:val="0087184F"/>
    <w:rsid w:val="008738E6"/>
    <w:rsid w:val="00876B2F"/>
    <w:rsid w:val="00883D6F"/>
    <w:rsid w:val="00886302"/>
    <w:rsid w:val="00890A34"/>
    <w:rsid w:val="00891E50"/>
    <w:rsid w:val="00892A41"/>
    <w:rsid w:val="0089451E"/>
    <w:rsid w:val="008A08E9"/>
    <w:rsid w:val="008A0E53"/>
    <w:rsid w:val="008A2D0E"/>
    <w:rsid w:val="008B0377"/>
    <w:rsid w:val="008B48AF"/>
    <w:rsid w:val="008B6821"/>
    <w:rsid w:val="008C1D94"/>
    <w:rsid w:val="008C50E7"/>
    <w:rsid w:val="008C5D59"/>
    <w:rsid w:val="008C68E4"/>
    <w:rsid w:val="008D1000"/>
    <w:rsid w:val="008D65F1"/>
    <w:rsid w:val="008D6A2E"/>
    <w:rsid w:val="008E6FFD"/>
    <w:rsid w:val="008E78A4"/>
    <w:rsid w:val="008F2323"/>
    <w:rsid w:val="008F5DD7"/>
    <w:rsid w:val="00905330"/>
    <w:rsid w:val="009056EB"/>
    <w:rsid w:val="00907ED4"/>
    <w:rsid w:val="009120C7"/>
    <w:rsid w:val="00912F53"/>
    <w:rsid w:val="00914404"/>
    <w:rsid w:val="00921594"/>
    <w:rsid w:val="00924F7B"/>
    <w:rsid w:val="00931604"/>
    <w:rsid w:val="009335C7"/>
    <w:rsid w:val="00942F47"/>
    <w:rsid w:val="00947E8A"/>
    <w:rsid w:val="009561DE"/>
    <w:rsid w:val="009571F6"/>
    <w:rsid w:val="009638C2"/>
    <w:rsid w:val="00965B42"/>
    <w:rsid w:val="00966BA9"/>
    <w:rsid w:val="00970D63"/>
    <w:rsid w:val="00974091"/>
    <w:rsid w:val="009816FB"/>
    <w:rsid w:val="00982F32"/>
    <w:rsid w:val="00987A72"/>
    <w:rsid w:val="00987DC0"/>
    <w:rsid w:val="00990177"/>
    <w:rsid w:val="0099505F"/>
    <w:rsid w:val="009A5B34"/>
    <w:rsid w:val="009A7496"/>
    <w:rsid w:val="009B2FDE"/>
    <w:rsid w:val="009B66F6"/>
    <w:rsid w:val="009B6B0B"/>
    <w:rsid w:val="009C23BF"/>
    <w:rsid w:val="009C52DE"/>
    <w:rsid w:val="009C7987"/>
    <w:rsid w:val="009D18E9"/>
    <w:rsid w:val="009D204E"/>
    <w:rsid w:val="009D3DC3"/>
    <w:rsid w:val="009D7FDA"/>
    <w:rsid w:val="009E0C68"/>
    <w:rsid w:val="009E690A"/>
    <w:rsid w:val="009F02C1"/>
    <w:rsid w:val="009F17F3"/>
    <w:rsid w:val="009F20F0"/>
    <w:rsid w:val="009F7CC0"/>
    <w:rsid w:val="00A0124F"/>
    <w:rsid w:val="00A034A0"/>
    <w:rsid w:val="00A05E9D"/>
    <w:rsid w:val="00A10196"/>
    <w:rsid w:val="00A1285C"/>
    <w:rsid w:val="00A12B51"/>
    <w:rsid w:val="00A12CDD"/>
    <w:rsid w:val="00A16ACA"/>
    <w:rsid w:val="00A21B4F"/>
    <w:rsid w:val="00A21D01"/>
    <w:rsid w:val="00A22607"/>
    <w:rsid w:val="00A22DC8"/>
    <w:rsid w:val="00A23F35"/>
    <w:rsid w:val="00A259DD"/>
    <w:rsid w:val="00A3378A"/>
    <w:rsid w:val="00A43FFF"/>
    <w:rsid w:val="00A46126"/>
    <w:rsid w:val="00A50C95"/>
    <w:rsid w:val="00A51FEB"/>
    <w:rsid w:val="00A602A3"/>
    <w:rsid w:val="00A651A5"/>
    <w:rsid w:val="00A65273"/>
    <w:rsid w:val="00A73E62"/>
    <w:rsid w:val="00A749D0"/>
    <w:rsid w:val="00A77F12"/>
    <w:rsid w:val="00A80A37"/>
    <w:rsid w:val="00A81DEF"/>
    <w:rsid w:val="00A872A7"/>
    <w:rsid w:val="00A90482"/>
    <w:rsid w:val="00A9134F"/>
    <w:rsid w:val="00A930B3"/>
    <w:rsid w:val="00A93C19"/>
    <w:rsid w:val="00A9470A"/>
    <w:rsid w:val="00A94ED2"/>
    <w:rsid w:val="00A954C5"/>
    <w:rsid w:val="00A962EB"/>
    <w:rsid w:val="00A9787B"/>
    <w:rsid w:val="00AA01B7"/>
    <w:rsid w:val="00AA6475"/>
    <w:rsid w:val="00AB0FEB"/>
    <w:rsid w:val="00AB32FD"/>
    <w:rsid w:val="00AB4B8C"/>
    <w:rsid w:val="00AB4FC8"/>
    <w:rsid w:val="00AB6192"/>
    <w:rsid w:val="00AB635D"/>
    <w:rsid w:val="00AC286C"/>
    <w:rsid w:val="00AC3AB9"/>
    <w:rsid w:val="00AD16FC"/>
    <w:rsid w:val="00AD1EB9"/>
    <w:rsid w:val="00AD2662"/>
    <w:rsid w:val="00AD3BF0"/>
    <w:rsid w:val="00AD43AF"/>
    <w:rsid w:val="00AD496A"/>
    <w:rsid w:val="00AD4C9B"/>
    <w:rsid w:val="00AE0ADC"/>
    <w:rsid w:val="00AE552C"/>
    <w:rsid w:val="00B12495"/>
    <w:rsid w:val="00B12616"/>
    <w:rsid w:val="00B13B2A"/>
    <w:rsid w:val="00B13C35"/>
    <w:rsid w:val="00B2349C"/>
    <w:rsid w:val="00B3457B"/>
    <w:rsid w:val="00B34D7A"/>
    <w:rsid w:val="00B37CA4"/>
    <w:rsid w:val="00B42DBC"/>
    <w:rsid w:val="00B432BB"/>
    <w:rsid w:val="00B509C5"/>
    <w:rsid w:val="00B50BA7"/>
    <w:rsid w:val="00B540ED"/>
    <w:rsid w:val="00B555ED"/>
    <w:rsid w:val="00B61879"/>
    <w:rsid w:val="00B82756"/>
    <w:rsid w:val="00B836CA"/>
    <w:rsid w:val="00B850A8"/>
    <w:rsid w:val="00B904FF"/>
    <w:rsid w:val="00B94616"/>
    <w:rsid w:val="00B95044"/>
    <w:rsid w:val="00BA041B"/>
    <w:rsid w:val="00BA1378"/>
    <w:rsid w:val="00BB6223"/>
    <w:rsid w:val="00BC385E"/>
    <w:rsid w:val="00BC423A"/>
    <w:rsid w:val="00BC65EF"/>
    <w:rsid w:val="00BD2B1A"/>
    <w:rsid w:val="00BD2F5F"/>
    <w:rsid w:val="00BD37A9"/>
    <w:rsid w:val="00BD4CA3"/>
    <w:rsid w:val="00BD5A5E"/>
    <w:rsid w:val="00BD7343"/>
    <w:rsid w:val="00BE2C29"/>
    <w:rsid w:val="00BE7EE2"/>
    <w:rsid w:val="00BF0E02"/>
    <w:rsid w:val="00BF1D60"/>
    <w:rsid w:val="00BF2375"/>
    <w:rsid w:val="00C1167E"/>
    <w:rsid w:val="00C12A1E"/>
    <w:rsid w:val="00C21DB7"/>
    <w:rsid w:val="00C22025"/>
    <w:rsid w:val="00C231D1"/>
    <w:rsid w:val="00C25B57"/>
    <w:rsid w:val="00C25E14"/>
    <w:rsid w:val="00C27023"/>
    <w:rsid w:val="00C27C5C"/>
    <w:rsid w:val="00C33745"/>
    <w:rsid w:val="00C378E2"/>
    <w:rsid w:val="00C401A1"/>
    <w:rsid w:val="00C40927"/>
    <w:rsid w:val="00C4235A"/>
    <w:rsid w:val="00C51B50"/>
    <w:rsid w:val="00C53EF6"/>
    <w:rsid w:val="00C62493"/>
    <w:rsid w:val="00C6593D"/>
    <w:rsid w:val="00C65E19"/>
    <w:rsid w:val="00C66D60"/>
    <w:rsid w:val="00C67AB5"/>
    <w:rsid w:val="00C71567"/>
    <w:rsid w:val="00C74EA1"/>
    <w:rsid w:val="00C74FB1"/>
    <w:rsid w:val="00C8524A"/>
    <w:rsid w:val="00C8590C"/>
    <w:rsid w:val="00C90721"/>
    <w:rsid w:val="00C92943"/>
    <w:rsid w:val="00C95533"/>
    <w:rsid w:val="00C97ABD"/>
    <w:rsid w:val="00CA211E"/>
    <w:rsid w:val="00CA7733"/>
    <w:rsid w:val="00CA7CFC"/>
    <w:rsid w:val="00CB178B"/>
    <w:rsid w:val="00CB43C6"/>
    <w:rsid w:val="00CB6585"/>
    <w:rsid w:val="00CB7971"/>
    <w:rsid w:val="00CC5455"/>
    <w:rsid w:val="00CC6CDD"/>
    <w:rsid w:val="00CD587B"/>
    <w:rsid w:val="00CD79C1"/>
    <w:rsid w:val="00CE50AC"/>
    <w:rsid w:val="00CE7F17"/>
    <w:rsid w:val="00CF1CDA"/>
    <w:rsid w:val="00CF38A0"/>
    <w:rsid w:val="00CF5301"/>
    <w:rsid w:val="00CF7D39"/>
    <w:rsid w:val="00D061FC"/>
    <w:rsid w:val="00D06D1C"/>
    <w:rsid w:val="00D103A1"/>
    <w:rsid w:val="00D171D1"/>
    <w:rsid w:val="00D17CE0"/>
    <w:rsid w:val="00D211EC"/>
    <w:rsid w:val="00D22293"/>
    <w:rsid w:val="00D261C7"/>
    <w:rsid w:val="00D30715"/>
    <w:rsid w:val="00D31E77"/>
    <w:rsid w:val="00D334F9"/>
    <w:rsid w:val="00D367DC"/>
    <w:rsid w:val="00D376AF"/>
    <w:rsid w:val="00D40F03"/>
    <w:rsid w:val="00D413D3"/>
    <w:rsid w:val="00D44004"/>
    <w:rsid w:val="00D45EF8"/>
    <w:rsid w:val="00D45F40"/>
    <w:rsid w:val="00D51ADF"/>
    <w:rsid w:val="00D5690B"/>
    <w:rsid w:val="00D608E8"/>
    <w:rsid w:val="00D646D3"/>
    <w:rsid w:val="00D66FAE"/>
    <w:rsid w:val="00D7044B"/>
    <w:rsid w:val="00D74481"/>
    <w:rsid w:val="00D7448E"/>
    <w:rsid w:val="00D75E63"/>
    <w:rsid w:val="00D820A1"/>
    <w:rsid w:val="00D860B7"/>
    <w:rsid w:val="00D91D85"/>
    <w:rsid w:val="00D96A40"/>
    <w:rsid w:val="00DA00E6"/>
    <w:rsid w:val="00DA1966"/>
    <w:rsid w:val="00DA4590"/>
    <w:rsid w:val="00DB05DA"/>
    <w:rsid w:val="00DB1B83"/>
    <w:rsid w:val="00DC15F5"/>
    <w:rsid w:val="00DC3395"/>
    <w:rsid w:val="00DC46CD"/>
    <w:rsid w:val="00DD4C9F"/>
    <w:rsid w:val="00DD695B"/>
    <w:rsid w:val="00DE62A0"/>
    <w:rsid w:val="00DE7EEA"/>
    <w:rsid w:val="00DF008A"/>
    <w:rsid w:val="00DF57AC"/>
    <w:rsid w:val="00E03A8A"/>
    <w:rsid w:val="00E11913"/>
    <w:rsid w:val="00E1417D"/>
    <w:rsid w:val="00E15173"/>
    <w:rsid w:val="00E1523A"/>
    <w:rsid w:val="00E24D13"/>
    <w:rsid w:val="00E27CE1"/>
    <w:rsid w:val="00E33C8E"/>
    <w:rsid w:val="00E352B9"/>
    <w:rsid w:val="00E3673D"/>
    <w:rsid w:val="00E40FF6"/>
    <w:rsid w:val="00E44499"/>
    <w:rsid w:val="00E44693"/>
    <w:rsid w:val="00E500A5"/>
    <w:rsid w:val="00E5234B"/>
    <w:rsid w:val="00E525D9"/>
    <w:rsid w:val="00E544A8"/>
    <w:rsid w:val="00E60A82"/>
    <w:rsid w:val="00E61DD0"/>
    <w:rsid w:val="00E622F3"/>
    <w:rsid w:val="00E65C57"/>
    <w:rsid w:val="00E66516"/>
    <w:rsid w:val="00E66C4B"/>
    <w:rsid w:val="00E70F48"/>
    <w:rsid w:val="00E72E57"/>
    <w:rsid w:val="00E75CF0"/>
    <w:rsid w:val="00E81591"/>
    <w:rsid w:val="00E81B6C"/>
    <w:rsid w:val="00E8260C"/>
    <w:rsid w:val="00E84BF6"/>
    <w:rsid w:val="00E911EA"/>
    <w:rsid w:val="00E913EE"/>
    <w:rsid w:val="00E91950"/>
    <w:rsid w:val="00E919DF"/>
    <w:rsid w:val="00EA4733"/>
    <w:rsid w:val="00EB0375"/>
    <w:rsid w:val="00EB1D08"/>
    <w:rsid w:val="00EB329D"/>
    <w:rsid w:val="00EC21CC"/>
    <w:rsid w:val="00EC2B3F"/>
    <w:rsid w:val="00EC4006"/>
    <w:rsid w:val="00EC42C6"/>
    <w:rsid w:val="00ED3F52"/>
    <w:rsid w:val="00ED4E9B"/>
    <w:rsid w:val="00ED6FEF"/>
    <w:rsid w:val="00EE082A"/>
    <w:rsid w:val="00EE1F2F"/>
    <w:rsid w:val="00EE5A6D"/>
    <w:rsid w:val="00EE66FD"/>
    <w:rsid w:val="00EE6B01"/>
    <w:rsid w:val="00EF49FC"/>
    <w:rsid w:val="00EF70C1"/>
    <w:rsid w:val="00EF7C7B"/>
    <w:rsid w:val="00F01122"/>
    <w:rsid w:val="00F0702B"/>
    <w:rsid w:val="00F22622"/>
    <w:rsid w:val="00F22F22"/>
    <w:rsid w:val="00F25FE0"/>
    <w:rsid w:val="00F4472E"/>
    <w:rsid w:val="00F50B29"/>
    <w:rsid w:val="00F5107E"/>
    <w:rsid w:val="00F53855"/>
    <w:rsid w:val="00F55B85"/>
    <w:rsid w:val="00F6480D"/>
    <w:rsid w:val="00F65F58"/>
    <w:rsid w:val="00F70963"/>
    <w:rsid w:val="00F71387"/>
    <w:rsid w:val="00F735B1"/>
    <w:rsid w:val="00F75C0A"/>
    <w:rsid w:val="00F7669C"/>
    <w:rsid w:val="00F84166"/>
    <w:rsid w:val="00F85D90"/>
    <w:rsid w:val="00F90556"/>
    <w:rsid w:val="00F90897"/>
    <w:rsid w:val="00F974D9"/>
    <w:rsid w:val="00FA25F5"/>
    <w:rsid w:val="00FA5315"/>
    <w:rsid w:val="00FC00EC"/>
    <w:rsid w:val="00FC09AC"/>
    <w:rsid w:val="00FD18B0"/>
    <w:rsid w:val="00FD4F49"/>
    <w:rsid w:val="00FE0350"/>
    <w:rsid w:val="00FE1A7E"/>
    <w:rsid w:val="00FE4827"/>
    <w:rsid w:val="00FE48F8"/>
    <w:rsid w:val="00FE6484"/>
    <w:rsid w:val="00FF3AAC"/>
    <w:rsid w:val="00FF4D1B"/>
    <w:rsid w:val="00FF6686"/>
    <w:rsid w:val="00FF7A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2DFBA1E"/>
  <w15:docId w15:val="{101B752B-170F-4BE5-9AC3-92007CD8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D0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סגנון4"/>
    <w:basedOn w:val="a"/>
    <w:qFormat/>
    <w:rsid w:val="006418B2"/>
    <w:pPr>
      <w:numPr>
        <w:numId w:val="8"/>
      </w:numPr>
      <w:tabs>
        <w:tab w:val="left" w:pos="567"/>
        <w:tab w:val="left" w:pos="1134"/>
        <w:tab w:val="left" w:pos="1814"/>
        <w:tab w:val="left" w:pos="2665"/>
      </w:tabs>
      <w:spacing w:line="360" w:lineRule="auto"/>
      <w:contextualSpacing/>
      <w:jc w:val="both"/>
    </w:pPr>
    <w:rPr>
      <w:rFonts w:cs="David"/>
    </w:rPr>
  </w:style>
  <w:style w:type="paragraph" w:customStyle="1" w:styleId="5">
    <w:name w:val="סגנון5"/>
    <w:basedOn w:val="4"/>
    <w:qFormat/>
    <w:rsid w:val="006418B2"/>
    <w:pPr>
      <w:numPr>
        <w:ilvl w:val="1"/>
      </w:numPr>
    </w:pPr>
  </w:style>
  <w:style w:type="paragraph" w:customStyle="1" w:styleId="6">
    <w:name w:val="סגנון6"/>
    <w:basedOn w:val="5"/>
    <w:qFormat/>
    <w:rsid w:val="006418B2"/>
    <w:pPr>
      <w:numPr>
        <w:ilvl w:val="2"/>
      </w:numPr>
      <w:tabs>
        <w:tab w:val="left" w:pos="1871"/>
      </w:tabs>
    </w:pPr>
  </w:style>
  <w:style w:type="paragraph" w:styleId="a3">
    <w:name w:val="header"/>
    <w:basedOn w:val="a"/>
    <w:link w:val="a4"/>
    <w:uiPriority w:val="99"/>
    <w:unhideWhenUsed/>
    <w:rsid w:val="00AD16FC"/>
    <w:pPr>
      <w:tabs>
        <w:tab w:val="center" w:pos="4153"/>
        <w:tab w:val="right" w:pos="8306"/>
      </w:tabs>
    </w:pPr>
  </w:style>
  <w:style w:type="character" w:customStyle="1" w:styleId="a4">
    <w:name w:val="כותרת עליונה תו"/>
    <w:basedOn w:val="a0"/>
    <w:link w:val="a3"/>
    <w:uiPriority w:val="99"/>
    <w:rsid w:val="00AD16FC"/>
  </w:style>
  <w:style w:type="paragraph" w:styleId="a5">
    <w:name w:val="footer"/>
    <w:basedOn w:val="a"/>
    <w:link w:val="a6"/>
    <w:uiPriority w:val="99"/>
    <w:unhideWhenUsed/>
    <w:rsid w:val="00AD16FC"/>
    <w:pPr>
      <w:tabs>
        <w:tab w:val="center" w:pos="4153"/>
        <w:tab w:val="right" w:pos="8306"/>
      </w:tabs>
    </w:pPr>
  </w:style>
  <w:style w:type="character" w:customStyle="1" w:styleId="a6">
    <w:name w:val="כותרת תחתונה תו"/>
    <w:basedOn w:val="a0"/>
    <w:link w:val="a5"/>
    <w:uiPriority w:val="99"/>
    <w:rsid w:val="00AD16FC"/>
  </w:style>
  <w:style w:type="table" w:styleId="a7">
    <w:name w:val="Table Grid"/>
    <w:basedOn w:val="a1"/>
    <w:uiPriority w:val="59"/>
    <w:rsid w:val="00AD16F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16FC"/>
    <w:rPr>
      <w:rFonts w:ascii="Tahoma" w:hAnsi="Tahoma" w:cs="Tahoma"/>
      <w:sz w:val="16"/>
      <w:szCs w:val="16"/>
    </w:rPr>
  </w:style>
  <w:style w:type="character" w:customStyle="1" w:styleId="a9">
    <w:name w:val="טקסט בלונים תו"/>
    <w:basedOn w:val="a0"/>
    <w:link w:val="a8"/>
    <w:uiPriority w:val="99"/>
    <w:semiHidden/>
    <w:rsid w:val="00AD16FC"/>
    <w:rPr>
      <w:rFonts w:ascii="Tahoma" w:hAnsi="Tahoma" w:cs="Tahoma"/>
      <w:sz w:val="16"/>
      <w:szCs w:val="16"/>
    </w:rPr>
  </w:style>
  <w:style w:type="paragraph" w:styleId="aa">
    <w:name w:val="footnote text"/>
    <w:basedOn w:val="a"/>
    <w:link w:val="ab"/>
    <w:uiPriority w:val="99"/>
    <w:semiHidden/>
    <w:rsid w:val="00A21D01"/>
    <w:rPr>
      <w:sz w:val="20"/>
      <w:szCs w:val="20"/>
    </w:rPr>
  </w:style>
  <w:style w:type="character" w:customStyle="1" w:styleId="ab">
    <w:name w:val="טקסט הערת שוליים תו"/>
    <w:basedOn w:val="a0"/>
    <w:link w:val="aa"/>
    <w:uiPriority w:val="99"/>
    <w:semiHidden/>
    <w:rsid w:val="00A21D01"/>
    <w:rPr>
      <w:rFonts w:ascii="Times New Roman" w:eastAsia="Times New Roman" w:hAnsi="Times New Roman" w:cs="Times New Roman"/>
      <w:sz w:val="20"/>
      <w:szCs w:val="20"/>
    </w:rPr>
  </w:style>
  <w:style w:type="character" w:styleId="ac">
    <w:name w:val="footnote reference"/>
    <w:basedOn w:val="a0"/>
    <w:uiPriority w:val="99"/>
    <w:semiHidden/>
    <w:rsid w:val="00A21D01"/>
    <w:rPr>
      <w:rFonts w:cs="Times New Roman"/>
      <w:vertAlign w:val="superscript"/>
    </w:rPr>
  </w:style>
  <w:style w:type="character" w:styleId="ad">
    <w:name w:val="annotation reference"/>
    <w:basedOn w:val="a0"/>
    <w:uiPriority w:val="99"/>
    <w:semiHidden/>
    <w:unhideWhenUsed/>
    <w:rsid w:val="00BF2375"/>
    <w:rPr>
      <w:sz w:val="16"/>
      <w:szCs w:val="16"/>
    </w:rPr>
  </w:style>
  <w:style w:type="paragraph" w:styleId="ae">
    <w:name w:val="annotation text"/>
    <w:basedOn w:val="a"/>
    <w:link w:val="af"/>
    <w:uiPriority w:val="99"/>
    <w:semiHidden/>
    <w:unhideWhenUsed/>
    <w:rsid w:val="00BF2375"/>
    <w:rPr>
      <w:sz w:val="20"/>
      <w:szCs w:val="20"/>
    </w:rPr>
  </w:style>
  <w:style w:type="character" w:customStyle="1" w:styleId="af">
    <w:name w:val="טקסט הערה תו"/>
    <w:basedOn w:val="a0"/>
    <w:link w:val="ae"/>
    <w:uiPriority w:val="99"/>
    <w:semiHidden/>
    <w:rsid w:val="00BF2375"/>
    <w:rPr>
      <w:rFonts w:ascii="Times New Roman" w:eastAsia="Times New Roman" w:hAnsi="Times New Roman" w:cs="Times New Roman"/>
      <w:sz w:val="20"/>
      <w:szCs w:val="20"/>
    </w:rPr>
  </w:style>
  <w:style w:type="paragraph" w:styleId="af0">
    <w:name w:val="annotation subject"/>
    <w:basedOn w:val="ae"/>
    <w:next w:val="ae"/>
    <w:link w:val="af1"/>
    <w:uiPriority w:val="99"/>
    <w:semiHidden/>
    <w:unhideWhenUsed/>
    <w:rsid w:val="00BF2375"/>
    <w:rPr>
      <w:b/>
      <w:bCs/>
    </w:rPr>
  </w:style>
  <w:style w:type="character" w:customStyle="1" w:styleId="af1">
    <w:name w:val="נושא הערה תו"/>
    <w:basedOn w:val="af"/>
    <w:link w:val="af0"/>
    <w:uiPriority w:val="99"/>
    <w:semiHidden/>
    <w:rsid w:val="00BF2375"/>
    <w:rPr>
      <w:rFonts w:ascii="Times New Roman" w:eastAsia="Times New Roman" w:hAnsi="Times New Roman" w:cs="Times New Roman"/>
      <w:b/>
      <w:bCs/>
      <w:sz w:val="20"/>
      <w:szCs w:val="20"/>
    </w:rPr>
  </w:style>
  <w:style w:type="paragraph" w:styleId="af2">
    <w:name w:val="Revision"/>
    <w:hidden/>
    <w:uiPriority w:val="99"/>
    <w:semiHidden/>
    <w:rsid w:val="00BE7EE2"/>
    <w:pPr>
      <w:spacing w:after="0" w:line="240" w:lineRule="auto"/>
    </w:pPr>
    <w:rPr>
      <w:rFonts w:ascii="Times New Roman" w:eastAsia="Times New Roman" w:hAnsi="Times New Roman" w:cs="Times New Roman"/>
      <w:sz w:val="24"/>
      <w:szCs w:val="24"/>
    </w:rPr>
  </w:style>
  <w:style w:type="paragraph" w:styleId="af3">
    <w:name w:val="List Paragraph"/>
    <w:basedOn w:val="a"/>
    <w:uiPriority w:val="34"/>
    <w:qFormat/>
    <w:rsid w:val="00136000"/>
    <w:pPr>
      <w:ind w:left="720"/>
      <w:contextualSpacing/>
    </w:pPr>
  </w:style>
  <w:style w:type="paragraph" w:customStyle="1" w:styleId="Tablenc">
    <w:name w:val="Table_nc"/>
    <w:basedOn w:val="a"/>
    <w:link w:val="TablencChar"/>
    <w:qFormat/>
    <w:rsid w:val="001D21D1"/>
    <w:pPr>
      <w:ind w:left="113"/>
      <w:jc w:val="both"/>
    </w:pPr>
    <w:rPr>
      <w:rFonts w:asciiTheme="minorHAnsi" w:eastAsiaTheme="minorHAnsi" w:hAnsiTheme="minorHAnsi" w:cstheme="minorBidi"/>
      <w:sz w:val="20"/>
      <w:szCs w:val="20"/>
    </w:rPr>
  </w:style>
  <w:style w:type="character" w:customStyle="1" w:styleId="TablencChar">
    <w:name w:val="Table_nc Char"/>
    <w:basedOn w:val="a0"/>
    <w:link w:val="Tablenc"/>
    <w:rsid w:val="001D21D1"/>
    <w:rPr>
      <w:sz w:val="20"/>
      <w:szCs w:val="20"/>
    </w:rPr>
  </w:style>
  <w:style w:type="paragraph" w:customStyle="1" w:styleId="LetterheadBOI">
    <w:name w:val="Letterhead BOI"/>
    <w:basedOn w:val="a"/>
    <w:link w:val="LetterheadBOIChar"/>
    <w:qFormat/>
    <w:rsid w:val="00672497"/>
    <w:pPr>
      <w:bidi w:val="0"/>
      <w:spacing w:line="300" w:lineRule="atLeast"/>
      <w:jc w:val="center"/>
    </w:pPr>
    <w:rPr>
      <w:rFonts w:cs="David"/>
      <w:b/>
    </w:rPr>
  </w:style>
  <w:style w:type="paragraph" w:customStyle="1" w:styleId="Letterhead2">
    <w:name w:val="Letterhead 2"/>
    <w:basedOn w:val="a"/>
    <w:link w:val="Letterhead2Char"/>
    <w:qFormat/>
    <w:rsid w:val="00672497"/>
    <w:pPr>
      <w:bidi w:val="0"/>
      <w:spacing w:line="300" w:lineRule="atLeast"/>
      <w:jc w:val="center"/>
    </w:pPr>
    <w:rPr>
      <w:sz w:val="26"/>
      <w:szCs w:val="26"/>
    </w:rPr>
  </w:style>
  <w:style w:type="character" w:customStyle="1" w:styleId="LetterheadBOIChar">
    <w:name w:val="Letterhead BOI Char"/>
    <w:basedOn w:val="a0"/>
    <w:link w:val="LetterheadBOI"/>
    <w:rsid w:val="00672497"/>
    <w:rPr>
      <w:rFonts w:ascii="Times New Roman" w:eastAsia="Times New Roman" w:hAnsi="Times New Roman" w:cs="David"/>
      <w:b/>
      <w:sz w:val="24"/>
      <w:szCs w:val="24"/>
    </w:rPr>
  </w:style>
  <w:style w:type="character" w:customStyle="1" w:styleId="Letterhead2Char">
    <w:name w:val="Letterhead 2 Char"/>
    <w:basedOn w:val="a0"/>
    <w:link w:val="Letterhead2"/>
    <w:rsid w:val="00672497"/>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461002">
      <w:bodyDiv w:val="1"/>
      <w:marLeft w:val="0"/>
      <w:marRight w:val="0"/>
      <w:marTop w:val="0"/>
      <w:marBottom w:val="0"/>
      <w:divBdr>
        <w:top w:val="none" w:sz="0" w:space="0" w:color="auto"/>
        <w:left w:val="none" w:sz="0" w:space="0" w:color="auto"/>
        <w:bottom w:val="none" w:sz="0" w:space="0" w:color="auto"/>
        <w:right w:val="none" w:sz="0" w:space="0" w:color="auto"/>
      </w:divBdr>
    </w:div>
    <w:div w:id="16963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15e\Desktop\&#1514;&#1489;&#1504;&#1497;&#1514;%20&#1504;&#1490;&#1497;&#1513;&#1492;%20&#1488;&#1504;&#1490;&#1500;&#1497;&#1514;%20&#1495;&#1496;&#1497;&#1489;&#1514;%20&#1492;&#1502;&#1495;&#1511;&#151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WaveListOrderValu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EA6ABE364D39464997C59CE615C4473E" ma:contentTypeVersion="0" ma:contentTypeDescription="צור מסמך חדש." ma:contentTypeScope="" ma:versionID="c3b15bf818241f336fdc1608c232fa30">
  <xsd:schema xmlns:xsd="http://www.w3.org/2001/XMLSchema" xmlns:xs="http://www.w3.org/2001/XMLSchema" xmlns:p="http://schemas.microsoft.com/office/2006/metadata/properties" xmlns:ns1="http://schemas.microsoft.com/sharepoint/v3" targetNamespace="http://schemas.microsoft.com/office/2006/metadata/properties" ma:root="true" ma:fieldsID="75d97c86552d2a85024ee878482ec1ec" ns1:_="">
    <xsd:import namespace="http://schemas.microsoft.com/sharepoint/v3"/>
    <xsd:element name="properties">
      <xsd:complexType>
        <xsd:sequence>
          <xsd:element name="documentManagement">
            <xsd:complexType>
              <xsd:all>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WaveListOrderValue" ma:index="8" nillable="true" ma:displayName="סידור" ma:decimals="2" ma:internalName="eWaveListOrderValue"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C7062-E22A-4BE6-89DF-DF5375157C1B}"/>
</file>

<file path=customXml/itemProps2.xml><?xml version="1.0" encoding="utf-8"?>
<ds:datastoreItem xmlns:ds="http://schemas.openxmlformats.org/officeDocument/2006/customXml" ds:itemID="{ED2CCC02-1A0E-4C88-BFED-DA98E5438911}"/>
</file>

<file path=customXml/itemProps3.xml><?xml version="1.0" encoding="utf-8"?>
<ds:datastoreItem xmlns:ds="http://schemas.openxmlformats.org/officeDocument/2006/customXml" ds:itemID="{BD782D08-B1B2-4A30-8E24-97F61D895642}"/>
</file>

<file path=customXml/itemProps4.xml><?xml version="1.0" encoding="utf-8"?>
<ds:datastoreItem xmlns:ds="http://schemas.openxmlformats.org/officeDocument/2006/customXml" ds:itemID="{76BA2326-3A80-40DB-8776-78F069604576}"/>
</file>

<file path=docProps/app.xml><?xml version="1.0" encoding="utf-8"?>
<Properties xmlns="http://schemas.openxmlformats.org/officeDocument/2006/extended-properties" xmlns:vt="http://schemas.openxmlformats.org/officeDocument/2006/docPropsVTypes">
  <Template>תבנית נגישה אנגלית חטיבת המחקר.dotx</Template>
  <TotalTime>1</TotalTime>
  <Pages>5</Pages>
  <Words>1461</Words>
  <Characters>7306</Characters>
  <Application>Microsoft Office Word</Application>
  <DocSecurity>0</DocSecurity>
  <Lines>60</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דוד בן מיכאל</dc:creator>
  <cp:lastModifiedBy>אילנית שרון</cp:lastModifiedBy>
  <cp:revision>2</cp:revision>
  <cp:lastPrinted>2018-07-08T13:15:00Z</cp:lastPrinted>
  <dcterms:created xsi:type="dcterms:W3CDTF">2020-01-12T08:22:00Z</dcterms:created>
  <dcterms:modified xsi:type="dcterms:W3CDTF">2020-01-12T08:22:00Z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0x010100EA6ABE364D39464997C59CE615C4473E</vt:lpwstr>
  </property>
</Properties>
</file>