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140"/>
        <w:gridCol w:w="4169"/>
      </w:tblGrid>
      <w:tr w:rsidR="002D24DF" w:rsidRPr="004A350A" w:rsidTr="00BD519F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D24DF" w:rsidRPr="000E0B32" w:rsidRDefault="002D24DF" w:rsidP="002D24DF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overflowPunct/>
              <w:autoSpaceDE/>
              <w:autoSpaceDN/>
              <w:adjustRightInd/>
              <w:spacing w:before="240" w:line="360" w:lineRule="auto"/>
              <w:textAlignment w:val="auto"/>
              <w:rPr>
                <w:rFonts w:ascii="David" w:hAnsi="David" w:cs="David"/>
                <w:sz w:val="24"/>
                <w:szCs w:val="24"/>
                <w:rtl/>
              </w:rPr>
            </w:pPr>
            <w:bookmarkStart w:id="0" w:name="D001"/>
            <w:r w:rsidRPr="000E0B3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פיקוח על הבנקים</w:t>
            </w:r>
          </w:p>
          <w:p w:rsidR="002D24DF" w:rsidRPr="000E0B32" w:rsidRDefault="002D24DF" w:rsidP="002D24DF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David" w:hAnsi="David" w:cs="David"/>
                <w:sz w:val="24"/>
                <w:szCs w:val="24"/>
                <w:rtl/>
              </w:rPr>
            </w:pPr>
            <w:r w:rsidRPr="000E0B32">
              <w:rPr>
                <w:rFonts w:ascii="David" w:hAnsi="David" w:cs="David"/>
                <w:sz w:val="24"/>
                <w:szCs w:val="24"/>
                <w:rtl/>
              </w:rPr>
              <w:t>לשכת המפקח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2D24DF" w:rsidRPr="004A350A" w:rsidRDefault="002D24DF" w:rsidP="00D44562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overflowPunct/>
              <w:autoSpaceDE/>
              <w:autoSpaceDN/>
              <w:bidi w:val="0"/>
              <w:adjustRightInd/>
              <w:spacing w:before="240" w:line="360" w:lineRule="auto"/>
              <w:textAlignment w:val="auto"/>
              <w:rPr>
                <w:rFonts w:ascii="David" w:hAnsi="David" w:cs="David"/>
                <w:sz w:val="24"/>
                <w:szCs w:val="24"/>
              </w:rPr>
            </w:pPr>
            <w:r w:rsidRPr="004A350A">
              <w:rPr>
                <w:rFonts w:ascii="David" w:hAnsi="David" w:cs="David"/>
                <w:sz w:val="24"/>
                <w:szCs w:val="24"/>
                <w:rtl/>
              </w:rPr>
              <w:t>ירושלים</w:t>
            </w:r>
            <w:r w:rsidR="00D44562" w:rsidRPr="004A350A">
              <w:rPr>
                <w:rFonts w:ascii="David" w:hAnsi="David" w:cs="David"/>
                <w:sz w:val="24"/>
                <w:szCs w:val="24"/>
                <w:rtl/>
              </w:rPr>
              <w:fldChar w:fldCharType="begin"/>
            </w:r>
            <w:r w:rsidR="00D44562" w:rsidRPr="004A350A"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 w:rsidR="00D44562" w:rsidRPr="004A350A">
              <w:rPr>
                <w:rFonts w:ascii="David" w:hAnsi="David" w:cs="David" w:hint="cs"/>
                <w:sz w:val="24"/>
                <w:szCs w:val="24"/>
              </w:rPr>
              <w:instrText>DATE</w:instrText>
            </w:r>
            <w:r w:rsidR="00D44562" w:rsidRPr="004A350A">
              <w:rPr>
                <w:rFonts w:ascii="David" w:hAnsi="David" w:cs="David" w:hint="cs"/>
                <w:sz w:val="24"/>
                <w:szCs w:val="24"/>
                <w:rtl/>
              </w:rPr>
              <w:instrText xml:space="preserve"> \@ "</w:instrText>
            </w:r>
            <w:r w:rsidR="00D44562" w:rsidRPr="004A350A">
              <w:rPr>
                <w:rFonts w:ascii="David" w:hAnsi="David" w:cs="David" w:hint="cs"/>
                <w:sz w:val="24"/>
                <w:szCs w:val="24"/>
              </w:rPr>
              <w:instrText>dd MMMM yyyy" \h</w:instrText>
            </w:r>
            <w:r w:rsidR="00D44562" w:rsidRPr="004A350A"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 w:rsidR="00D44562" w:rsidRPr="004A350A"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 w:rsidR="004A350A" w:rsidRPr="004A350A">
              <w:rPr>
                <w:rFonts w:ascii="David" w:hAnsi="David" w:cs="David"/>
                <w:noProof/>
                <w:sz w:val="24"/>
                <w:szCs w:val="24"/>
                <w:rtl/>
              </w:rPr>
              <w:t>‏</w:t>
            </w:r>
            <w:r w:rsidR="004A350A" w:rsidRPr="004A350A">
              <w:rPr>
                <w:rFonts w:ascii="David" w:hAnsi="David" w:cs="David" w:hint="cs"/>
                <w:noProof/>
                <w:sz w:val="24"/>
                <w:szCs w:val="24"/>
                <w:rtl/>
              </w:rPr>
              <w:t xml:space="preserve"> </w:t>
            </w:r>
            <w:r w:rsidR="004A350A" w:rsidRPr="004A350A">
              <w:rPr>
                <w:rFonts w:ascii="David" w:hAnsi="David" w:cs="David"/>
                <w:noProof/>
                <w:sz w:val="24"/>
                <w:szCs w:val="24"/>
                <w:rtl/>
              </w:rPr>
              <w:t>כ"ח שבט תשפ"ד</w:t>
            </w:r>
            <w:r w:rsidR="00D44562" w:rsidRPr="004A350A"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</w:p>
          <w:p w:rsidR="002D24DF" w:rsidRPr="004A350A" w:rsidRDefault="004A350A" w:rsidP="00090CCC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overflowPunct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07</w:t>
            </w:r>
            <w:bookmarkStart w:id="1" w:name="_GoBack"/>
            <w:bookmarkEnd w:id="1"/>
            <w:r w:rsidR="00B55C06" w:rsidRPr="004A350A">
              <w:rPr>
                <w:rFonts w:ascii="David" w:hAnsi="David" w:cs="David" w:hint="cs"/>
                <w:sz w:val="24"/>
                <w:szCs w:val="24"/>
                <w:rtl/>
              </w:rPr>
              <w:t xml:space="preserve"> בפברואר 2024</w:t>
            </w:r>
          </w:p>
        </w:tc>
      </w:tr>
    </w:tbl>
    <w:p w:rsidR="000D6D6A" w:rsidRDefault="000D6D6A" w:rsidP="006A2004">
      <w:pPr>
        <w:pStyle w:val="Heading20"/>
        <w:keepNext/>
        <w:keepLines/>
        <w:spacing w:line="240" w:lineRule="auto"/>
        <w:ind w:right="-426"/>
        <w:jc w:val="center"/>
        <w:rPr>
          <w:color w:val="000000"/>
          <w:sz w:val="24"/>
          <w:szCs w:val="24"/>
          <w:u w:val="none"/>
          <w:rtl/>
        </w:rPr>
      </w:pPr>
      <w:bookmarkStart w:id="2" w:name="bookmark6"/>
      <w:bookmarkStart w:id="3" w:name="bookmark7"/>
      <w:bookmarkStart w:id="4" w:name="bookmark8"/>
      <w:bookmarkEnd w:id="0"/>
    </w:p>
    <w:p w:rsidR="00CE2B56" w:rsidRDefault="00CE2B56" w:rsidP="008C174A">
      <w:pPr>
        <w:pStyle w:val="Heading20"/>
        <w:keepNext/>
        <w:keepLines/>
        <w:spacing w:line="360" w:lineRule="auto"/>
        <w:ind w:left="425" w:hanging="425"/>
        <w:jc w:val="center"/>
        <w:rPr>
          <w:sz w:val="28"/>
          <w:szCs w:val="28"/>
          <w:rtl/>
        </w:rPr>
      </w:pPr>
      <w:r w:rsidRPr="000D6D6A">
        <w:rPr>
          <w:color w:val="000000"/>
          <w:sz w:val="28"/>
          <w:szCs w:val="28"/>
          <w:rtl/>
        </w:rPr>
        <w:t xml:space="preserve">החלטה בדבר הטלת עיצום כספי </w:t>
      </w:r>
      <w:bookmarkEnd w:id="2"/>
      <w:bookmarkEnd w:id="3"/>
      <w:bookmarkEnd w:id="4"/>
      <w:r w:rsidR="002929C4" w:rsidRPr="000D6D6A">
        <w:rPr>
          <w:rFonts w:hint="cs"/>
          <w:color w:val="000000"/>
          <w:sz w:val="28"/>
          <w:szCs w:val="28"/>
          <w:rtl/>
        </w:rPr>
        <w:t>בגין</w:t>
      </w:r>
      <w:r w:rsidR="002929C4" w:rsidRPr="000D6D6A">
        <w:rPr>
          <w:color w:val="000000"/>
          <w:sz w:val="28"/>
          <w:szCs w:val="28"/>
          <w:rtl/>
        </w:rPr>
        <w:t xml:space="preserve"> </w:t>
      </w:r>
      <w:r w:rsidRPr="000D6D6A">
        <w:rPr>
          <w:color w:val="000000"/>
          <w:sz w:val="28"/>
          <w:szCs w:val="28"/>
          <w:rtl/>
        </w:rPr>
        <w:t>הפר</w:t>
      </w:r>
      <w:r w:rsidR="008C174A">
        <w:rPr>
          <w:rFonts w:hint="cs"/>
          <w:color w:val="000000"/>
          <w:sz w:val="28"/>
          <w:szCs w:val="28"/>
          <w:rtl/>
        </w:rPr>
        <w:t>ת סעיפים בחוק הבנקאות (שירות ללקוח)</w:t>
      </w:r>
      <w:r w:rsidR="00F24281">
        <w:rPr>
          <w:rFonts w:hint="cs"/>
          <w:color w:val="000000"/>
          <w:sz w:val="28"/>
          <w:szCs w:val="28"/>
          <w:rtl/>
        </w:rPr>
        <w:t>, התשמ"א-1981</w:t>
      </w:r>
    </w:p>
    <w:p w:rsidR="00C60322" w:rsidRPr="006C2FA5" w:rsidRDefault="00C60322" w:rsidP="00C60322">
      <w:pPr>
        <w:spacing w:line="360" w:lineRule="auto"/>
        <w:jc w:val="both"/>
        <w:rPr>
          <w:rFonts w:cs="David"/>
          <w:sz w:val="24"/>
          <w:szCs w:val="24"/>
          <w:lang w:eastAsia="he-IL"/>
        </w:rPr>
      </w:pPr>
      <w:r>
        <w:rPr>
          <w:rFonts w:ascii="David" w:eastAsia="Calibri" w:hAnsi="David" w:cs="David" w:hint="cs"/>
          <w:sz w:val="24"/>
          <w:szCs w:val="24"/>
          <w:rtl/>
        </w:rPr>
        <w:t>בהתאם ל</w:t>
      </w:r>
      <w:r w:rsidRPr="002027C9">
        <w:rPr>
          <w:rFonts w:ascii="David" w:eastAsia="Calibri" w:hAnsi="David" w:cs="David"/>
          <w:sz w:val="24"/>
          <w:szCs w:val="24"/>
          <w:rtl/>
        </w:rPr>
        <w:t xml:space="preserve">סמכותי </w:t>
      </w:r>
      <w:r w:rsidRPr="00646891">
        <w:rPr>
          <w:rFonts w:cs="David" w:hint="cs"/>
          <w:snapToGrid w:val="0"/>
          <w:sz w:val="24"/>
          <w:szCs w:val="24"/>
          <w:rtl/>
        </w:rPr>
        <w:t xml:space="preserve">לפי סעיף </w:t>
      </w:r>
      <w:r w:rsidRPr="00727363">
        <w:rPr>
          <w:rFonts w:cs="David" w:hint="cs"/>
          <w:snapToGrid w:val="0"/>
          <w:sz w:val="24"/>
          <w:szCs w:val="24"/>
          <w:rtl/>
        </w:rPr>
        <w:t>11א</w:t>
      </w:r>
      <w:r>
        <w:rPr>
          <w:rFonts w:cs="David" w:hint="cs"/>
          <w:snapToGrid w:val="0"/>
          <w:sz w:val="24"/>
          <w:szCs w:val="24"/>
          <w:rtl/>
        </w:rPr>
        <w:t>(א)</w:t>
      </w:r>
      <w:r w:rsidRPr="00727363">
        <w:rPr>
          <w:rFonts w:cs="David" w:hint="cs"/>
          <w:snapToGrid w:val="0"/>
          <w:sz w:val="24"/>
          <w:szCs w:val="24"/>
          <w:rtl/>
        </w:rPr>
        <w:t>(1א) לחוק</w:t>
      </w:r>
      <w:r>
        <w:rPr>
          <w:rFonts w:cs="David" w:hint="cs"/>
          <w:snapToGrid w:val="0"/>
          <w:sz w:val="24"/>
          <w:szCs w:val="24"/>
          <w:rtl/>
        </w:rPr>
        <w:t xml:space="preserve"> הבנקאות (שירות ללקוח)</w:t>
      </w:r>
      <w:r w:rsidRPr="00646891">
        <w:rPr>
          <w:rFonts w:cs="David" w:hint="cs"/>
          <w:snapToGrid w:val="0"/>
          <w:sz w:val="24"/>
          <w:szCs w:val="24"/>
          <w:rtl/>
        </w:rPr>
        <w:t>,</w:t>
      </w:r>
      <w:r>
        <w:rPr>
          <w:rFonts w:cs="David" w:hint="cs"/>
          <w:snapToGrid w:val="0"/>
          <w:sz w:val="24"/>
          <w:szCs w:val="24"/>
          <w:rtl/>
        </w:rPr>
        <w:t xml:space="preserve"> התשמ"א-1981</w:t>
      </w:r>
      <w:r w:rsidRPr="00646891">
        <w:rPr>
          <w:rFonts w:cs="David" w:hint="cs"/>
          <w:snapToGrid w:val="0"/>
          <w:sz w:val="24"/>
          <w:szCs w:val="24"/>
          <w:rtl/>
        </w:rPr>
        <w:t xml:space="preserve"> </w:t>
      </w:r>
      <w:r>
        <w:rPr>
          <w:rFonts w:cs="David" w:hint="cs"/>
          <w:snapToGrid w:val="0"/>
          <w:sz w:val="24"/>
          <w:szCs w:val="24"/>
          <w:rtl/>
        </w:rPr>
        <w:t xml:space="preserve">(להלן: החוק), </w:t>
      </w:r>
      <w:r>
        <w:rPr>
          <w:rFonts w:cs="David" w:hint="cs"/>
          <w:sz w:val="24"/>
          <w:szCs w:val="24"/>
          <w:rtl/>
          <w:lang w:eastAsia="he-IL"/>
        </w:rPr>
        <w:t xml:space="preserve">ולאחר ששקלתי את טענות חברת ישראכרט בע"מ </w:t>
      </w:r>
      <w:r w:rsidRPr="006C2FA5">
        <w:rPr>
          <w:rFonts w:cs="David" w:hint="cs"/>
          <w:sz w:val="24"/>
          <w:szCs w:val="24"/>
          <w:rtl/>
          <w:lang w:eastAsia="he-IL"/>
        </w:rPr>
        <w:t xml:space="preserve">(להלן: </w:t>
      </w:r>
      <w:r w:rsidRPr="001B7848">
        <w:rPr>
          <w:rFonts w:cs="David"/>
          <w:sz w:val="24"/>
          <w:szCs w:val="24"/>
          <w:rtl/>
          <w:lang w:eastAsia="he-IL"/>
        </w:rPr>
        <w:t>"</w:t>
      </w:r>
      <w:r w:rsidRPr="001B7848">
        <w:rPr>
          <w:rFonts w:cs="David" w:hint="eastAsia"/>
          <w:sz w:val="24"/>
          <w:szCs w:val="24"/>
          <w:rtl/>
          <w:lang w:eastAsia="he-IL"/>
        </w:rPr>
        <w:t>ה</w:t>
      </w:r>
      <w:r>
        <w:rPr>
          <w:rFonts w:cs="David" w:hint="cs"/>
          <w:sz w:val="24"/>
          <w:szCs w:val="24"/>
          <w:rtl/>
          <w:lang w:eastAsia="he-IL"/>
        </w:rPr>
        <w:t>חברה"</w:t>
      </w:r>
      <w:r w:rsidRPr="006C2FA5">
        <w:rPr>
          <w:rFonts w:cs="David" w:hint="cs"/>
          <w:sz w:val="24"/>
          <w:szCs w:val="24"/>
          <w:rtl/>
          <w:lang w:eastAsia="he-IL"/>
        </w:rPr>
        <w:t xml:space="preserve">) כפי </w:t>
      </w:r>
      <w:r>
        <w:rPr>
          <w:rFonts w:cs="David" w:hint="cs"/>
          <w:sz w:val="24"/>
          <w:szCs w:val="24"/>
          <w:rtl/>
          <w:lang w:eastAsia="he-IL"/>
        </w:rPr>
        <w:t xml:space="preserve">שנמסרו </w:t>
      </w:r>
      <w:r w:rsidRPr="00B84A03">
        <w:rPr>
          <w:rFonts w:ascii="David" w:eastAsia="Calibri" w:hAnsi="David" w:cs="David"/>
          <w:sz w:val="24"/>
          <w:szCs w:val="24"/>
          <w:rtl/>
        </w:rPr>
        <w:t xml:space="preserve">במכתבכם מיום </w:t>
      </w:r>
      <w:r>
        <w:rPr>
          <w:rFonts w:ascii="David" w:eastAsia="Calibri" w:hAnsi="David" w:cs="David" w:hint="cs"/>
          <w:sz w:val="24"/>
          <w:szCs w:val="24"/>
          <w:rtl/>
        </w:rPr>
        <w:t>15 ביולי 2023 וכן במכתבכם מיום 6 בספטמבר 2023</w:t>
      </w:r>
      <w:r w:rsidRPr="00B84A03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CA1E75">
        <w:rPr>
          <w:rFonts w:ascii="David" w:eastAsia="Calibri" w:hAnsi="David" w:cs="David"/>
          <w:sz w:val="24"/>
          <w:szCs w:val="24"/>
          <w:rtl/>
        </w:rPr>
        <w:t>ובשי</w:t>
      </w:r>
      <w:r w:rsidRPr="00CA1E75">
        <w:rPr>
          <w:rFonts w:ascii="David" w:eastAsia="Calibri" w:hAnsi="David" w:cs="David" w:hint="cs"/>
          <w:sz w:val="24"/>
          <w:szCs w:val="24"/>
          <w:rtl/>
        </w:rPr>
        <w:t>חה</w:t>
      </w:r>
      <w:r w:rsidRPr="00CA1E75">
        <w:rPr>
          <w:rFonts w:ascii="David" w:eastAsia="Calibri" w:hAnsi="David" w:cs="David"/>
          <w:sz w:val="24"/>
          <w:szCs w:val="24"/>
          <w:rtl/>
        </w:rPr>
        <w:t xml:space="preserve"> שנער</w:t>
      </w:r>
      <w:r w:rsidRPr="00CA1E75">
        <w:rPr>
          <w:rFonts w:ascii="David" w:eastAsia="Calibri" w:hAnsi="David" w:cs="David" w:hint="cs"/>
          <w:sz w:val="24"/>
          <w:szCs w:val="24"/>
          <w:rtl/>
        </w:rPr>
        <w:t>כה</w:t>
      </w:r>
      <w:r w:rsidRPr="00CA1E75">
        <w:rPr>
          <w:rFonts w:ascii="David" w:eastAsia="Calibri" w:hAnsi="David" w:cs="David"/>
          <w:sz w:val="24"/>
          <w:szCs w:val="24"/>
          <w:rtl/>
        </w:rPr>
        <w:t xml:space="preserve"> בעל פה ביום </w:t>
      </w:r>
      <w:r w:rsidRPr="00CA1E75">
        <w:rPr>
          <w:rFonts w:ascii="David" w:eastAsia="Calibri" w:hAnsi="David" w:cs="David" w:hint="cs"/>
          <w:sz w:val="24"/>
          <w:szCs w:val="24"/>
          <w:rtl/>
        </w:rPr>
        <w:t>13</w:t>
      </w:r>
      <w:r w:rsidRPr="00CA1E75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CA1E75">
        <w:rPr>
          <w:rFonts w:ascii="David" w:eastAsia="Calibri" w:hAnsi="David" w:cs="David" w:hint="cs"/>
          <w:sz w:val="24"/>
          <w:szCs w:val="24"/>
          <w:rtl/>
        </w:rPr>
        <w:t>ביולי</w:t>
      </w:r>
      <w:r w:rsidRPr="00CA1E75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CA1E75">
        <w:rPr>
          <w:rFonts w:ascii="David" w:eastAsia="Calibri" w:hAnsi="David" w:cs="David" w:hint="cs"/>
          <w:sz w:val="24"/>
          <w:szCs w:val="24"/>
          <w:rtl/>
        </w:rPr>
        <w:t>2023</w:t>
      </w:r>
      <w:r w:rsidRPr="00CA1E75">
        <w:rPr>
          <w:rFonts w:cs="David" w:hint="cs"/>
          <w:sz w:val="24"/>
          <w:szCs w:val="24"/>
          <w:rtl/>
          <w:lang w:eastAsia="he-IL"/>
        </w:rPr>
        <w:t>,</w:t>
      </w:r>
      <w:r w:rsidRPr="006C2FA5">
        <w:rPr>
          <w:rFonts w:cs="David" w:hint="cs"/>
          <w:sz w:val="24"/>
          <w:szCs w:val="24"/>
          <w:rtl/>
          <w:lang w:eastAsia="he-IL"/>
        </w:rPr>
        <w:t xml:space="preserve"> הנני מטיל על ה</w:t>
      </w:r>
      <w:r>
        <w:rPr>
          <w:rFonts w:cs="David" w:hint="cs"/>
          <w:sz w:val="24"/>
          <w:szCs w:val="24"/>
          <w:rtl/>
          <w:lang w:eastAsia="he-IL"/>
        </w:rPr>
        <w:t>חברה</w:t>
      </w:r>
      <w:r w:rsidRPr="006C2FA5">
        <w:rPr>
          <w:rFonts w:cs="David" w:hint="cs"/>
          <w:sz w:val="24"/>
          <w:szCs w:val="24"/>
          <w:rtl/>
          <w:lang w:eastAsia="he-IL"/>
        </w:rPr>
        <w:t xml:space="preserve"> עיצום כספי בסך </w:t>
      </w:r>
      <w:r>
        <w:rPr>
          <w:rFonts w:cs="David" w:hint="cs"/>
          <w:sz w:val="24"/>
          <w:szCs w:val="24"/>
          <w:rtl/>
          <w:lang w:eastAsia="he-IL"/>
        </w:rPr>
        <w:t>2</w:t>
      </w:r>
      <w:r w:rsidRPr="006C2FA5">
        <w:rPr>
          <w:rFonts w:cs="David" w:hint="cs"/>
          <w:sz w:val="24"/>
          <w:szCs w:val="24"/>
          <w:rtl/>
          <w:lang w:eastAsia="he-IL"/>
        </w:rPr>
        <w:t xml:space="preserve">50,000 </w:t>
      </w:r>
      <w:r>
        <w:rPr>
          <w:rFonts w:cs="David" w:hint="cs"/>
          <w:sz w:val="24"/>
          <w:szCs w:val="24"/>
          <w:rtl/>
          <w:lang w:eastAsia="he-IL"/>
        </w:rPr>
        <w:t>ש"ח</w:t>
      </w:r>
      <w:r w:rsidRPr="006C2FA5">
        <w:rPr>
          <w:rFonts w:cs="David" w:hint="cs"/>
          <w:sz w:val="24"/>
          <w:szCs w:val="24"/>
          <w:rtl/>
          <w:lang w:eastAsia="he-IL"/>
        </w:rPr>
        <w:t>.</w:t>
      </w:r>
    </w:p>
    <w:p w:rsidR="006C2FA5" w:rsidRPr="00C60322" w:rsidRDefault="006C2FA5" w:rsidP="001B7848">
      <w:pPr>
        <w:overflowPunct/>
        <w:autoSpaceDE/>
        <w:autoSpaceDN/>
        <w:adjustRightInd/>
        <w:spacing w:before="240" w:line="360" w:lineRule="auto"/>
        <w:jc w:val="both"/>
        <w:textAlignment w:val="auto"/>
        <w:rPr>
          <w:rFonts w:cs="David"/>
          <w:b/>
          <w:bCs/>
          <w:sz w:val="24"/>
          <w:szCs w:val="24"/>
          <w:lang w:eastAsia="he-IL"/>
        </w:rPr>
      </w:pPr>
      <w:r w:rsidRPr="00C60322">
        <w:rPr>
          <w:rFonts w:cs="David" w:hint="eastAsia"/>
          <w:b/>
          <w:bCs/>
          <w:sz w:val="24"/>
          <w:szCs w:val="24"/>
          <w:rtl/>
          <w:lang w:eastAsia="he-IL"/>
        </w:rPr>
        <w:t>תיאור</w:t>
      </w:r>
      <w:r w:rsidRPr="00C60322">
        <w:rPr>
          <w:rFonts w:cs="David"/>
          <w:b/>
          <w:bCs/>
          <w:sz w:val="24"/>
          <w:szCs w:val="24"/>
          <w:rtl/>
          <w:lang w:eastAsia="he-IL"/>
        </w:rPr>
        <w:t xml:space="preserve"> </w:t>
      </w:r>
      <w:r w:rsidR="001E4C35">
        <w:rPr>
          <w:rFonts w:cs="David" w:hint="eastAsia"/>
          <w:b/>
          <w:bCs/>
          <w:sz w:val="24"/>
          <w:szCs w:val="24"/>
          <w:rtl/>
          <w:lang w:eastAsia="he-IL"/>
        </w:rPr>
        <w:t>ההפר</w:t>
      </w:r>
      <w:r w:rsidR="001E4C35">
        <w:rPr>
          <w:rFonts w:cs="David" w:hint="cs"/>
          <w:b/>
          <w:bCs/>
          <w:sz w:val="24"/>
          <w:szCs w:val="24"/>
          <w:rtl/>
          <w:lang w:eastAsia="he-IL"/>
        </w:rPr>
        <w:t>ות</w:t>
      </w:r>
    </w:p>
    <w:p w:rsidR="00C60322" w:rsidRDefault="00C60322" w:rsidP="00C60322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cs="David"/>
          <w:sz w:val="24"/>
          <w:szCs w:val="24"/>
          <w:lang w:eastAsia="he-IL"/>
        </w:rPr>
      </w:pPr>
      <w:r w:rsidRPr="006C2FA5">
        <w:rPr>
          <w:rFonts w:cs="David" w:hint="cs"/>
          <w:sz w:val="24"/>
          <w:szCs w:val="24"/>
          <w:rtl/>
          <w:lang w:eastAsia="he-IL"/>
        </w:rPr>
        <w:t xml:space="preserve">ביום </w:t>
      </w:r>
      <w:r>
        <w:rPr>
          <w:rFonts w:cs="David" w:hint="cs"/>
          <w:sz w:val="24"/>
          <w:szCs w:val="24"/>
          <w:rtl/>
          <w:lang w:eastAsia="he-IL"/>
        </w:rPr>
        <w:t>20</w:t>
      </w:r>
      <w:r w:rsidRPr="006C2FA5">
        <w:rPr>
          <w:rFonts w:cs="David" w:hint="cs"/>
          <w:sz w:val="24"/>
          <w:szCs w:val="24"/>
          <w:rtl/>
          <w:lang w:eastAsia="he-IL"/>
        </w:rPr>
        <w:t xml:space="preserve"> ב</w:t>
      </w:r>
      <w:r>
        <w:rPr>
          <w:rFonts w:cs="David" w:hint="cs"/>
          <w:sz w:val="24"/>
          <w:szCs w:val="24"/>
          <w:rtl/>
          <w:lang w:eastAsia="he-IL"/>
        </w:rPr>
        <w:t>אוגוסט</w:t>
      </w:r>
      <w:r w:rsidRPr="006C2FA5">
        <w:rPr>
          <w:rFonts w:cs="David" w:hint="cs"/>
          <w:sz w:val="24"/>
          <w:szCs w:val="24"/>
          <w:rtl/>
          <w:lang w:eastAsia="he-IL"/>
        </w:rPr>
        <w:t xml:space="preserve"> 202</w:t>
      </w:r>
      <w:r>
        <w:rPr>
          <w:rFonts w:cs="David" w:hint="cs"/>
          <w:sz w:val="24"/>
          <w:szCs w:val="24"/>
          <w:rtl/>
          <w:lang w:eastAsia="he-IL"/>
        </w:rPr>
        <w:t>3 נמסרה לחברה</w:t>
      </w:r>
      <w:r w:rsidRPr="006C2FA5">
        <w:rPr>
          <w:rFonts w:cs="David" w:hint="cs"/>
          <w:sz w:val="24"/>
          <w:szCs w:val="24"/>
          <w:rtl/>
          <w:lang w:eastAsia="he-IL"/>
        </w:rPr>
        <w:t xml:space="preserve"> הודעה על כוונה להטיל עיצום כספי בסך כולל של </w:t>
      </w:r>
      <w:r>
        <w:rPr>
          <w:rFonts w:cs="David" w:hint="cs"/>
          <w:sz w:val="24"/>
          <w:szCs w:val="24"/>
          <w:rtl/>
          <w:lang w:eastAsia="he-IL"/>
        </w:rPr>
        <w:t>250,000</w:t>
      </w:r>
      <w:r w:rsidRPr="006C2FA5">
        <w:rPr>
          <w:rFonts w:cs="David" w:hint="cs"/>
          <w:sz w:val="24"/>
          <w:szCs w:val="24"/>
          <w:rtl/>
          <w:lang w:eastAsia="he-IL"/>
        </w:rPr>
        <w:t xml:space="preserve"> </w:t>
      </w:r>
      <w:r>
        <w:rPr>
          <w:rFonts w:cs="David" w:hint="cs"/>
          <w:sz w:val="24"/>
          <w:szCs w:val="24"/>
          <w:rtl/>
          <w:lang w:eastAsia="he-IL"/>
        </w:rPr>
        <w:t>ש"ח</w:t>
      </w:r>
      <w:r w:rsidRPr="006C2FA5">
        <w:rPr>
          <w:rFonts w:cs="David" w:hint="cs"/>
          <w:sz w:val="24"/>
          <w:szCs w:val="24"/>
          <w:rtl/>
          <w:lang w:eastAsia="he-IL"/>
        </w:rPr>
        <w:t>, וניתנה ל</w:t>
      </w:r>
      <w:r>
        <w:rPr>
          <w:rFonts w:cs="David" w:hint="cs"/>
          <w:sz w:val="24"/>
          <w:szCs w:val="24"/>
          <w:rtl/>
          <w:lang w:eastAsia="he-IL"/>
        </w:rPr>
        <w:t>ה</w:t>
      </w:r>
      <w:r w:rsidRPr="006C2FA5">
        <w:rPr>
          <w:rFonts w:cs="David" w:hint="cs"/>
          <w:sz w:val="24"/>
          <w:szCs w:val="24"/>
          <w:rtl/>
          <w:lang w:eastAsia="he-IL"/>
        </w:rPr>
        <w:t xml:space="preserve"> הזכות להגיש את טענותי</w:t>
      </w:r>
      <w:r>
        <w:rPr>
          <w:rFonts w:cs="David" w:hint="cs"/>
          <w:sz w:val="24"/>
          <w:szCs w:val="24"/>
          <w:rtl/>
          <w:lang w:eastAsia="he-IL"/>
        </w:rPr>
        <w:t xml:space="preserve">ה </w:t>
      </w:r>
      <w:r w:rsidRPr="006C2FA5">
        <w:rPr>
          <w:rFonts w:cs="David" w:hint="cs"/>
          <w:sz w:val="24"/>
          <w:szCs w:val="24"/>
          <w:rtl/>
          <w:lang w:eastAsia="he-IL"/>
        </w:rPr>
        <w:t>באשר לעצם הטלת העיצום הכספי ובאשר לסכומו</w:t>
      </w:r>
      <w:r>
        <w:rPr>
          <w:rFonts w:cs="David" w:hint="cs"/>
          <w:sz w:val="24"/>
          <w:szCs w:val="24"/>
          <w:rtl/>
          <w:lang w:eastAsia="he-IL"/>
        </w:rPr>
        <w:t xml:space="preserve"> </w:t>
      </w:r>
      <w:r w:rsidRPr="00A33276">
        <w:rPr>
          <w:rFonts w:cs="David" w:hint="cs"/>
          <w:sz w:val="24"/>
          <w:szCs w:val="24"/>
          <w:rtl/>
          <w:lang w:eastAsia="he-IL"/>
        </w:rPr>
        <w:t>(להלן</w:t>
      </w:r>
      <w:r w:rsidRPr="006F1943">
        <w:rPr>
          <w:rFonts w:cs="David"/>
          <w:sz w:val="24"/>
          <w:szCs w:val="24"/>
          <w:rtl/>
          <w:lang w:eastAsia="he-IL"/>
        </w:rPr>
        <w:t xml:space="preserve">: </w:t>
      </w:r>
      <w:r w:rsidRPr="001B7848">
        <w:rPr>
          <w:rFonts w:cs="David"/>
          <w:sz w:val="24"/>
          <w:szCs w:val="24"/>
          <w:rtl/>
          <w:lang w:eastAsia="he-IL"/>
        </w:rPr>
        <w:t xml:space="preserve">"הודעת </w:t>
      </w:r>
      <w:r>
        <w:rPr>
          <w:rFonts w:cs="David" w:hint="cs"/>
          <w:sz w:val="24"/>
          <w:szCs w:val="24"/>
          <w:rtl/>
          <w:lang w:eastAsia="he-IL"/>
        </w:rPr>
        <w:t>ה</w:t>
      </w:r>
      <w:r w:rsidRPr="001B7848">
        <w:rPr>
          <w:rFonts w:cs="David" w:hint="eastAsia"/>
          <w:sz w:val="24"/>
          <w:szCs w:val="24"/>
          <w:rtl/>
          <w:lang w:eastAsia="he-IL"/>
        </w:rPr>
        <w:t>כוונה</w:t>
      </w:r>
      <w:r w:rsidRPr="001B7848">
        <w:rPr>
          <w:rFonts w:cs="David"/>
          <w:sz w:val="24"/>
          <w:szCs w:val="24"/>
          <w:rtl/>
          <w:lang w:eastAsia="he-IL"/>
        </w:rPr>
        <w:t>"</w:t>
      </w:r>
      <w:r w:rsidRPr="006F1943">
        <w:rPr>
          <w:rFonts w:cs="David"/>
          <w:sz w:val="24"/>
          <w:szCs w:val="24"/>
          <w:rtl/>
          <w:lang w:eastAsia="he-IL"/>
        </w:rPr>
        <w:t>).</w:t>
      </w:r>
    </w:p>
    <w:p w:rsidR="001E4C35" w:rsidRPr="001E4C35" w:rsidRDefault="00C60322" w:rsidP="0037320B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cs="David"/>
          <w:sz w:val="24"/>
          <w:szCs w:val="24"/>
          <w:lang w:eastAsia="he-IL"/>
        </w:rPr>
      </w:pPr>
      <w:r w:rsidRPr="006D5A3A">
        <w:rPr>
          <w:rFonts w:cs="David" w:hint="eastAsia"/>
          <w:sz w:val="24"/>
          <w:szCs w:val="24"/>
          <w:rtl/>
          <w:lang w:eastAsia="he-IL"/>
        </w:rPr>
        <w:t>כאמור</w:t>
      </w:r>
      <w:r w:rsidRPr="006D5A3A">
        <w:rPr>
          <w:rFonts w:cs="David"/>
          <w:sz w:val="24"/>
          <w:szCs w:val="24"/>
          <w:rtl/>
          <w:lang w:eastAsia="he-IL"/>
        </w:rPr>
        <w:t xml:space="preserve"> </w:t>
      </w:r>
      <w:r w:rsidRPr="006D5A3A">
        <w:rPr>
          <w:rFonts w:cs="David" w:hint="eastAsia"/>
          <w:sz w:val="24"/>
          <w:szCs w:val="24"/>
          <w:rtl/>
          <w:lang w:eastAsia="he-IL"/>
        </w:rPr>
        <w:t>בהודעה</w:t>
      </w:r>
      <w:r w:rsidRPr="006D5A3A">
        <w:rPr>
          <w:rFonts w:cs="David"/>
          <w:sz w:val="24"/>
          <w:szCs w:val="24"/>
          <w:rtl/>
          <w:lang w:eastAsia="he-IL"/>
        </w:rPr>
        <w:t xml:space="preserve">, </w:t>
      </w:r>
      <w:r w:rsidRPr="006D5A3A">
        <w:rPr>
          <w:rFonts w:cs="David" w:hint="eastAsia"/>
          <w:sz w:val="24"/>
          <w:szCs w:val="24"/>
          <w:rtl/>
          <w:lang w:eastAsia="he-IL"/>
        </w:rPr>
        <w:t>הכוונה</w:t>
      </w:r>
      <w:r w:rsidRPr="006D5A3A">
        <w:rPr>
          <w:rFonts w:cs="David"/>
          <w:sz w:val="24"/>
          <w:szCs w:val="24"/>
          <w:rtl/>
          <w:lang w:eastAsia="he-IL"/>
        </w:rPr>
        <w:t xml:space="preserve"> </w:t>
      </w:r>
      <w:r w:rsidRPr="006D5A3A">
        <w:rPr>
          <w:rFonts w:cs="David" w:hint="eastAsia"/>
          <w:sz w:val="24"/>
          <w:szCs w:val="24"/>
          <w:rtl/>
          <w:lang w:eastAsia="he-IL"/>
        </w:rPr>
        <w:t>להטיל</w:t>
      </w:r>
      <w:r w:rsidRPr="006D5A3A">
        <w:rPr>
          <w:rFonts w:cs="David"/>
          <w:sz w:val="24"/>
          <w:szCs w:val="24"/>
          <w:rtl/>
          <w:lang w:eastAsia="he-IL"/>
        </w:rPr>
        <w:t xml:space="preserve"> </w:t>
      </w:r>
      <w:r w:rsidRPr="006D5A3A">
        <w:rPr>
          <w:rFonts w:cs="David" w:hint="eastAsia"/>
          <w:sz w:val="24"/>
          <w:szCs w:val="24"/>
          <w:rtl/>
          <w:lang w:eastAsia="he-IL"/>
        </w:rPr>
        <w:t>עיצום</w:t>
      </w:r>
      <w:r w:rsidRPr="006D5A3A">
        <w:rPr>
          <w:rFonts w:cs="David"/>
          <w:sz w:val="24"/>
          <w:szCs w:val="24"/>
          <w:rtl/>
          <w:lang w:eastAsia="he-IL"/>
        </w:rPr>
        <w:t xml:space="preserve"> </w:t>
      </w:r>
      <w:r w:rsidRPr="006D5A3A">
        <w:rPr>
          <w:rFonts w:cs="David" w:hint="eastAsia"/>
          <w:sz w:val="24"/>
          <w:szCs w:val="24"/>
          <w:rtl/>
          <w:lang w:eastAsia="he-IL"/>
        </w:rPr>
        <w:t>כספי</w:t>
      </w:r>
      <w:r w:rsidRPr="006D5A3A">
        <w:rPr>
          <w:rFonts w:cs="David"/>
          <w:sz w:val="24"/>
          <w:szCs w:val="24"/>
          <w:rtl/>
          <w:lang w:eastAsia="he-IL"/>
        </w:rPr>
        <w:t xml:space="preserve"> </w:t>
      </w:r>
      <w:r w:rsidRPr="006D5A3A">
        <w:rPr>
          <w:rFonts w:cs="David" w:hint="eastAsia"/>
          <w:sz w:val="24"/>
          <w:szCs w:val="24"/>
          <w:rtl/>
          <w:lang w:eastAsia="he-IL"/>
        </w:rPr>
        <w:t>לפי</w:t>
      </w:r>
      <w:r w:rsidRPr="006D5A3A">
        <w:rPr>
          <w:rFonts w:cs="David"/>
          <w:sz w:val="24"/>
          <w:szCs w:val="24"/>
          <w:rtl/>
          <w:lang w:eastAsia="he-IL"/>
        </w:rPr>
        <w:t xml:space="preserve"> </w:t>
      </w:r>
      <w:r w:rsidRPr="006D5A3A">
        <w:rPr>
          <w:rFonts w:cs="David" w:hint="eastAsia"/>
          <w:sz w:val="24"/>
          <w:szCs w:val="24"/>
          <w:rtl/>
          <w:lang w:eastAsia="he-IL"/>
        </w:rPr>
        <w:t>ס</w:t>
      </w:r>
      <w:r w:rsidRPr="006D5A3A">
        <w:rPr>
          <w:rFonts w:cs="David"/>
          <w:sz w:val="24"/>
          <w:szCs w:val="24"/>
          <w:rtl/>
          <w:lang w:eastAsia="he-IL"/>
        </w:rPr>
        <w:t xml:space="preserve">עיף 11א(א)(1א) לחוק </w:t>
      </w:r>
      <w:r w:rsidRPr="006D5A3A">
        <w:rPr>
          <w:rFonts w:cs="David" w:hint="eastAsia"/>
          <w:sz w:val="24"/>
          <w:szCs w:val="24"/>
          <w:rtl/>
          <w:lang w:eastAsia="he-IL"/>
        </w:rPr>
        <w:t>היא</w:t>
      </w:r>
      <w:r w:rsidRPr="006D5A3A">
        <w:rPr>
          <w:rFonts w:cs="David"/>
          <w:sz w:val="24"/>
          <w:szCs w:val="24"/>
          <w:rtl/>
          <w:lang w:eastAsia="he-IL"/>
        </w:rPr>
        <w:t xml:space="preserve"> בשל </w:t>
      </w:r>
      <w:r w:rsidRPr="006D5A3A">
        <w:rPr>
          <w:rFonts w:cs="David" w:hint="eastAsia"/>
          <w:sz w:val="24"/>
          <w:szCs w:val="24"/>
          <w:rtl/>
          <w:lang w:eastAsia="he-IL"/>
        </w:rPr>
        <w:t>הפרה</w:t>
      </w:r>
      <w:r w:rsidRPr="006D5A3A">
        <w:rPr>
          <w:rFonts w:cs="David"/>
          <w:sz w:val="24"/>
          <w:szCs w:val="24"/>
          <w:rtl/>
          <w:lang w:eastAsia="he-IL"/>
        </w:rPr>
        <w:t xml:space="preserve"> של </w:t>
      </w:r>
      <w:r w:rsidRPr="006D5A3A">
        <w:rPr>
          <w:rFonts w:cs="David" w:hint="eastAsia"/>
          <w:sz w:val="24"/>
          <w:szCs w:val="24"/>
          <w:rtl/>
          <w:lang w:eastAsia="he-IL"/>
        </w:rPr>
        <w:t>סעיפים</w:t>
      </w:r>
      <w:r w:rsidRPr="006D5A3A">
        <w:rPr>
          <w:rFonts w:cs="David"/>
          <w:sz w:val="24"/>
          <w:szCs w:val="24"/>
          <w:rtl/>
          <w:lang w:eastAsia="he-IL"/>
        </w:rPr>
        <w:t xml:space="preserve"> 5א3(ג) </w:t>
      </w:r>
      <w:r w:rsidRPr="006D5A3A">
        <w:rPr>
          <w:rFonts w:cs="David" w:hint="eastAsia"/>
          <w:sz w:val="24"/>
          <w:szCs w:val="24"/>
          <w:rtl/>
          <w:lang w:eastAsia="he-IL"/>
        </w:rPr>
        <w:t>ו</w:t>
      </w:r>
      <w:r w:rsidRPr="006D5A3A">
        <w:rPr>
          <w:rFonts w:cs="David"/>
          <w:sz w:val="24"/>
          <w:szCs w:val="24"/>
          <w:rtl/>
          <w:lang w:eastAsia="he-IL"/>
        </w:rPr>
        <w:t xml:space="preserve">-(ד)(1) </w:t>
      </w:r>
      <w:r w:rsidRPr="006D5A3A">
        <w:rPr>
          <w:rFonts w:cs="David" w:hint="eastAsia"/>
          <w:sz w:val="24"/>
          <w:szCs w:val="24"/>
          <w:rtl/>
          <w:lang w:eastAsia="he-IL"/>
        </w:rPr>
        <w:t>לחוק</w:t>
      </w:r>
      <w:r w:rsidRPr="006D5A3A">
        <w:rPr>
          <w:rFonts w:cs="David"/>
          <w:sz w:val="24"/>
          <w:szCs w:val="24"/>
          <w:rtl/>
          <w:lang w:eastAsia="he-IL"/>
        </w:rPr>
        <w:t xml:space="preserve"> לפי</w:t>
      </w:r>
      <w:r>
        <w:rPr>
          <w:rFonts w:cs="David" w:hint="cs"/>
          <w:sz w:val="24"/>
          <w:szCs w:val="24"/>
          <w:rtl/>
          <w:lang w:eastAsia="he-IL"/>
        </w:rPr>
        <w:t>הם</w:t>
      </w:r>
      <w:r w:rsidRPr="006D5A3A">
        <w:rPr>
          <w:rFonts w:cs="David"/>
          <w:sz w:val="24"/>
          <w:szCs w:val="24"/>
          <w:rtl/>
          <w:lang w:eastAsia="he-IL"/>
        </w:rPr>
        <w:t xml:space="preserve"> </w:t>
      </w:r>
      <w:r w:rsidRPr="006D5A3A">
        <w:rPr>
          <w:rFonts w:cs="David" w:hint="eastAsia"/>
          <w:sz w:val="24"/>
          <w:szCs w:val="24"/>
          <w:rtl/>
          <w:lang w:eastAsia="he-IL"/>
        </w:rPr>
        <w:t>משך</w:t>
      </w:r>
      <w:r w:rsidRPr="006D5A3A">
        <w:rPr>
          <w:rFonts w:cs="David"/>
          <w:sz w:val="24"/>
          <w:szCs w:val="24"/>
          <w:rtl/>
          <w:lang w:eastAsia="he-IL"/>
        </w:rPr>
        <w:t xml:space="preserve"> ההמתנה לקבלת מענה אנושי מקצועי אצל תאגיד בנקאי המספק שירות טלפוני הכולל מערכת אוטומטית לניתוב שיחות, בכל הנוגע לשירותי טיפול בתקלה, בירור חשבון וסיום התקשרות, לא יעלה על 6 דקות מתחילת השיחה. </w:t>
      </w:r>
    </w:p>
    <w:p w:rsidR="008C174A" w:rsidRDefault="008C174A" w:rsidP="004F2E33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cs="David"/>
          <w:sz w:val="24"/>
          <w:szCs w:val="24"/>
          <w:lang w:eastAsia="he-IL"/>
        </w:rPr>
      </w:pPr>
      <w:r w:rsidRPr="0037320B">
        <w:rPr>
          <w:rFonts w:cs="David" w:hint="cs"/>
          <w:snapToGrid w:val="0"/>
          <w:sz w:val="24"/>
          <w:szCs w:val="24"/>
          <w:rtl/>
        </w:rPr>
        <w:t xml:space="preserve">מנתוני הדיווח עולה כי </w:t>
      </w:r>
      <w:r w:rsidR="004F2E33">
        <w:rPr>
          <w:rFonts w:cs="David" w:hint="cs"/>
          <w:snapToGrid w:val="0"/>
          <w:sz w:val="24"/>
          <w:szCs w:val="24"/>
          <w:rtl/>
        </w:rPr>
        <w:t>במהלך תקופה דצמבר 2022 ועד יוני 2023, נמצאו הפרות מהותיות בעניין משך ההמתנה לקבלת מענה אנושי מקצועי בשלושת השירותים האמורים המנויים בחוק.</w:t>
      </w:r>
    </w:p>
    <w:p w:rsidR="001E4C35" w:rsidRPr="001E4C35" w:rsidRDefault="001E4C35" w:rsidP="00A64FC7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cs="David"/>
          <w:sz w:val="24"/>
          <w:szCs w:val="24"/>
          <w:lang w:eastAsia="he-IL"/>
        </w:rPr>
      </w:pPr>
      <w:r>
        <w:rPr>
          <w:rFonts w:cs="David" w:hint="cs"/>
          <w:sz w:val="24"/>
          <w:szCs w:val="24"/>
          <w:rtl/>
          <w:lang w:eastAsia="he-IL"/>
        </w:rPr>
        <w:t xml:space="preserve">בעקבות ממצאים אלו נמסרה </w:t>
      </w:r>
      <w:r w:rsidR="00A64FC7">
        <w:rPr>
          <w:rFonts w:cs="David" w:hint="cs"/>
          <w:sz w:val="24"/>
          <w:szCs w:val="24"/>
          <w:rtl/>
          <w:lang w:eastAsia="he-IL"/>
        </w:rPr>
        <w:t xml:space="preserve">לחברה </w:t>
      </w:r>
      <w:r>
        <w:rPr>
          <w:rFonts w:cs="David" w:hint="cs"/>
          <w:sz w:val="24"/>
          <w:szCs w:val="24"/>
          <w:rtl/>
          <w:lang w:eastAsia="he-IL"/>
        </w:rPr>
        <w:t>הודעת הכוונה להטיל עליו עיצום כספי.</w:t>
      </w:r>
    </w:p>
    <w:p w:rsidR="001E4C35" w:rsidRPr="001E4C35" w:rsidRDefault="001E4C35" w:rsidP="00A64FC7">
      <w:pPr>
        <w:spacing w:before="240"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1E4C35">
        <w:rPr>
          <w:rFonts w:cs="David" w:hint="cs"/>
          <w:b/>
          <w:bCs/>
          <w:sz w:val="24"/>
          <w:szCs w:val="24"/>
          <w:u w:val="single"/>
          <w:rtl/>
        </w:rPr>
        <w:t xml:space="preserve">טענות </w:t>
      </w:r>
      <w:r w:rsidR="00A64FC7">
        <w:rPr>
          <w:rFonts w:cs="David" w:hint="cs"/>
          <w:b/>
          <w:bCs/>
          <w:sz w:val="24"/>
          <w:szCs w:val="24"/>
          <w:u w:val="single"/>
          <w:rtl/>
        </w:rPr>
        <w:t>החברה</w:t>
      </w:r>
    </w:p>
    <w:p w:rsidR="006C2FA5" w:rsidRPr="001E4C35" w:rsidRDefault="001E4C35" w:rsidP="003B17E0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8201EB">
        <w:rPr>
          <w:rFonts w:cs="David" w:hint="cs"/>
          <w:sz w:val="24"/>
          <w:szCs w:val="24"/>
          <w:rtl/>
        </w:rPr>
        <w:t xml:space="preserve">בתגובת </w:t>
      </w:r>
      <w:r w:rsidR="00A64FC7">
        <w:rPr>
          <w:rFonts w:cs="David" w:hint="cs"/>
          <w:sz w:val="24"/>
          <w:szCs w:val="24"/>
          <w:rtl/>
        </w:rPr>
        <w:t>החברה</w:t>
      </w:r>
      <w:r w:rsidR="00A64FC7" w:rsidRPr="008201EB">
        <w:rPr>
          <w:rFonts w:cs="David" w:hint="cs"/>
          <w:sz w:val="24"/>
          <w:szCs w:val="24"/>
          <w:rtl/>
        </w:rPr>
        <w:t xml:space="preserve"> </w:t>
      </w:r>
      <w:r w:rsidR="004F2E33">
        <w:rPr>
          <w:rFonts w:cs="David" w:hint="cs"/>
          <w:sz w:val="24"/>
          <w:szCs w:val="24"/>
          <w:rtl/>
        </w:rPr>
        <w:t>להודעת הכוונה, טענה החברה כי אין בכוונתה לערער על ההחלטה על הטלת עיצום כספי, עם זאת ביקשה החברה</w:t>
      </w:r>
      <w:r w:rsidRPr="008201EB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</w:t>
      </w:r>
      <w:r w:rsidR="003B17E0">
        <w:rPr>
          <w:rFonts w:cs="David" w:hint="cs"/>
          <w:sz w:val="24"/>
          <w:szCs w:val="24"/>
          <w:rtl/>
        </w:rPr>
        <w:t xml:space="preserve">בחון הפחתה </w:t>
      </w:r>
      <w:r>
        <w:rPr>
          <w:rFonts w:cs="David" w:hint="cs"/>
          <w:sz w:val="24"/>
          <w:szCs w:val="24"/>
          <w:rtl/>
        </w:rPr>
        <w:t xml:space="preserve">מסכום העיצום הכספי </w:t>
      </w:r>
      <w:r w:rsidRPr="008201EB">
        <w:rPr>
          <w:rFonts w:cs="David" w:hint="cs"/>
          <w:sz w:val="24"/>
          <w:szCs w:val="24"/>
          <w:rtl/>
        </w:rPr>
        <w:t>בהתאם לכללי ההפחתה</w:t>
      </w:r>
      <w:r w:rsidR="003B17E0">
        <w:rPr>
          <w:rFonts w:cs="David" w:hint="cs"/>
          <w:sz w:val="24"/>
          <w:szCs w:val="24"/>
          <w:rtl/>
        </w:rPr>
        <w:t>,</w:t>
      </w:r>
      <w:r w:rsidR="004F2E33">
        <w:rPr>
          <w:rFonts w:cs="David" w:hint="cs"/>
          <w:sz w:val="24"/>
          <w:szCs w:val="24"/>
          <w:rtl/>
        </w:rPr>
        <w:t xml:space="preserve"> לאור פעולות שנקטה לצמצום זמני המענה</w:t>
      </w:r>
      <w:r w:rsidRPr="008201EB">
        <w:rPr>
          <w:rFonts w:cs="David" w:hint="cs"/>
          <w:sz w:val="24"/>
          <w:szCs w:val="24"/>
          <w:rtl/>
        </w:rPr>
        <w:t xml:space="preserve">. </w:t>
      </w:r>
    </w:p>
    <w:p w:rsidR="006C2FA5" w:rsidRDefault="006C2FA5" w:rsidP="001B7848">
      <w:pPr>
        <w:overflowPunct/>
        <w:autoSpaceDE/>
        <w:autoSpaceDN/>
        <w:adjustRightInd/>
        <w:spacing w:before="240" w:line="360" w:lineRule="auto"/>
        <w:jc w:val="both"/>
        <w:textAlignment w:val="auto"/>
        <w:rPr>
          <w:rFonts w:cs="David"/>
          <w:b/>
          <w:bCs/>
          <w:sz w:val="24"/>
          <w:szCs w:val="24"/>
          <w:u w:val="single"/>
          <w:lang w:eastAsia="he-IL"/>
        </w:rPr>
      </w:pPr>
      <w:r w:rsidRPr="001B7848">
        <w:rPr>
          <w:rFonts w:cs="David" w:hint="eastAsia"/>
          <w:b/>
          <w:bCs/>
          <w:sz w:val="24"/>
          <w:szCs w:val="24"/>
          <w:u w:val="single"/>
          <w:rtl/>
          <w:lang w:eastAsia="he-IL"/>
        </w:rPr>
        <w:t>החלטה</w:t>
      </w:r>
    </w:p>
    <w:p w:rsidR="001E4C35" w:rsidRDefault="0037320B" w:rsidP="001E4C35">
      <w:pPr>
        <w:pStyle w:val="ab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David" w:hAnsi="David" w:cs="David"/>
          <w:sz w:val="24"/>
          <w:szCs w:val="24"/>
          <w:lang w:eastAsia="he-IL"/>
        </w:rPr>
      </w:pPr>
      <w:r>
        <w:rPr>
          <w:rFonts w:ascii="David" w:hAnsi="David" w:cs="David" w:hint="cs"/>
          <w:sz w:val="24"/>
          <w:szCs w:val="24"/>
          <w:rtl/>
          <w:lang w:eastAsia="he-IL"/>
        </w:rPr>
        <w:t>בהתאם</w:t>
      </w:r>
      <w:r>
        <w:rPr>
          <w:rFonts w:ascii="David" w:eastAsia="Calibri" w:hAnsi="David" w:cs="David" w:hint="cs"/>
          <w:sz w:val="24"/>
          <w:szCs w:val="24"/>
          <w:rtl/>
        </w:rPr>
        <w:t xml:space="preserve"> ל</w:t>
      </w:r>
      <w:r w:rsidRPr="00646891">
        <w:rPr>
          <w:rFonts w:cs="David" w:hint="cs"/>
          <w:snapToGrid w:val="0"/>
          <w:sz w:val="24"/>
          <w:szCs w:val="24"/>
          <w:rtl/>
        </w:rPr>
        <w:t xml:space="preserve">סעיף </w:t>
      </w:r>
      <w:r w:rsidRPr="00727363">
        <w:rPr>
          <w:rFonts w:cs="David" w:hint="cs"/>
          <w:snapToGrid w:val="0"/>
          <w:sz w:val="24"/>
          <w:szCs w:val="24"/>
          <w:rtl/>
        </w:rPr>
        <w:t>11א</w:t>
      </w:r>
      <w:r>
        <w:rPr>
          <w:rFonts w:cs="David" w:hint="cs"/>
          <w:snapToGrid w:val="0"/>
          <w:sz w:val="24"/>
          <w:szCs w:val="24"/>
          <w:rtl/>
        </w:rPr>
        <w:t>(א)</w:t>
      </w:r>
      <w:r w:rsidRPr="00727363">
        <w:rPr>
          <w:rFonts w:cs="David" w:hint="cs"/>
          <w:snapToGrid w:val="0"/>
          <w:sz w:val="24"/>
          <w:szCs w:val="24"/>
          <w:rtl/>
        </w:rPr>
        <w:t>(1א)</w:t>
      </w:r>
      <w:r>
        <w:rPr>
          <w:rFonts w:ascii="David" w:hAnsi="David" w:cs="David" w:hint="cs"/>
          <w:sz w:val="24"/>
          <w:szCs w:val="24"/>
          <w:rtl/>
          <w:lang w:eastAsia="he-IL"/>
        </w:rPr>
        <w:t xml:space="preserve"> לחוק</w:t>
      </w:r>
      <w:r w:rsidRPr="005C74DD">
        <w:rPr>
          <w:rFonts w:ascii="David" w:hAnsi="David" w:cs="David" w:hint="cs"/>
          <w:sz w:val="24"/>
          <w:szCs w:val="24"/>
          <w:rtl/>
          <w:lang w:eastAsia="he-IL"/>
        </w:rPr>
        <w:t xml:space="preserve">, </w:t>
      </w:r>
      <w:r>
        <w:rPr>
          <w:rFonts w:ascii="David" w:hAnsi="David" w:cs="David" w:hint="cs"/>
          <w:sz w:val="24"/>
          <w:szCs w:val="24"/>
          <w:rtl/>
          <w:lang w:eastAsia="he-IL"/>
        </w:rPr>
        <w:t xml:space="preserve">היה למפקח יסוד סביר להניח כי תאגיד בנקאי לא נתן מענה אנושי מקצועי ללקוח בהתאם לסעיף 5א3 לחוק רשאי הוא </w:t>
      </w:r>
      <w:r w:rsidRPr="005C74DD">
        <w:rPr>
          <w:rFonts w:ascii="David" w:hAnsi="David" w:cs="David" w:hint="cs"/>
          <w:sz w:val="24"/>
          <w:szCs w:val="24"/>
          <w:rtl/>
          <w:lang w:eastAsia="he-IL"/>
        </w:rPr>
        <w:t>להטיל</w:t>
      </w:r>
      <w:r>
        <w:rPr>
          <w:rFonts w:ascii="David" w:hAnsi="David" w:cs="David" w:hint="cs"/>
          <w:sz w:val="24"/>
          <w:szCs w:val="24"/>
          <w:rtl/>
          <w:lang w:eastAsia="he-IL"/>
        </w:rPr>
        <w:t xml:space="preserve"> עיצום כספי</w:t>
      </w:r>
      <w:r w:rsidRPr="005C74DD">
        <w:rPr>
          <w:rFonts w:ascii="David" w:hAnsi="David" w:cs="David" w:hint="cs"/>
          <w:sz w:val="24"/>
          <w:szCs w:val="24"/>
          <w:rtl/>
          <w:lang w:eastAsia="he-IL"/>
        </w:rPr>
        <w:t xml:space="preserve">. במקרה הנדון, </w:t>
      </w:r>
      <w:r>
        <w:rPr>
          <w:rFonts w:ascii="David" w:hAnsi="David" w:cs="David" w:hint="cs"/>
          <w:sz w:val="24"/>
          <w:szCs w:val="24"/>
          <w:rtl/>
          <w:lang w:eastAsia="he-IL"/>
        </w:rPr>
        <w:t xml:space="preserve">הופרו </w:t>
      </w:r>
      <w:r w:rsidRPr="008C174A">
        <w:rPr>
          <w:rFonts w:cs="David" w:hint="cs"/>
          <w:snapToGrid w:val="0"/>
          <w:sz w:val="24"/>
          <w:szCs w:val="24"/>
          <w:rtl/>
        </w:rPr>
        <w:t>סעיפים 5א3(ג) ו-(ד)(1) לחוק</w:t>
      </w:r>
      <w:r>
        <w:rPr>
          <w:rFonts w:ascii="David" w:hAnsi="David" w:cs="David" w:hint="cs"/>
          <w:sz w:val="24"/>
          <w:szCs w:val="24"/>
          <w:rtl/>
          <w:lang w:eastAsia="he-IL"/>
        </w:rPr>
        <w:t>.</w:t>
      </w:r>
    </w:p>
    <w:p w:rsidR="0037320B" w:rsidRPr="004F2E33" w:rsidRDefault="0037320B" w:rsidP="00B55C06">
      <w:pPr>
        <w:pStyle w:val="ab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David" w:hAnsi="David" w:cs="David"/>
          <w:sz w:val="24"/>
          <w:szCs w:val="24"/>
          <w:lang w:eastAsia="he-IL"/>
        </w:rPr>
      </w:pPr>
      <w:r w:rsidRPr="004F2E33">
        <w:rPr>
          <w:rFonts w:cs="David" w:hint="cs"/>
          <w:snapToGrid w:val="0"/>
          <w:sz w:val="24"/>
          <w:szCs w:val="24"/>
          <w:rtl/>
        </w:rPr>
        <w:t xml:space="preserve">הגם שהחברה נקטה בצעדים לשיפור משך זמני המענה, </w:t>
      </w:r>
      <w:r w:rsidR="004F2E33" w:rsidRPr="004F2E33">
        <w:rPr>
          <w:rFonts w:cs="David" w:hint="cs"/>
          <w:snapToGrid w:val="0"/>
          <w:sz w:val="24"/>
          <w:szCs w:val="24"/>
          <w:rtl/>
        </w:rPr>
        <w:t xml:space="preserve">נראה  כי </w:t>
      </w:r>
      <w:r w:rsidR="00B55C06">
        <w:rPr>
          <w:rFonts w:cs="David" w:hint="cs"/>
          <w:snapToGrid w:val="0"/>
          <w:sz w:val="24"/>
          <w:szCs w:val="24"/>
          <w:rtl/>
        </w:rPr>
        <w:t xml:space="preserve">נכון למועד ספטמבר 2023, </w:t>
      </w:r>
      <w:r w:rsidR="004F2E33" w:rsidRPr="004F2E33">
        <w:rPr>
          <w:rFonts w:cs="David" w:hint="cs"/>
          <w:snapToGrid w:val="0"/>
          <w:sz w:val="24"/>
          <w:szCs w:val="24"/>
          <w:rtl/>
        </w:rPr>
        <w:t xml:space="preserve">החברה  </w:t>
      </w:r>
      <w:r w:rsidRPr="004F2E33">
        <w:rPr>
          <w:rFonts w:cs="David" w:hint="cs"/>
          <w:snapToGrid w:val="0"/>
          <w:sz w:val="24"/>
          <w:szCs w:val="24"/>
          <w:rtl/>
        </w:rPr>
        <w:t xml:space="preserve">עדיין לא עמדה בהוראות החוק באופן מלא. </w:t>
      </w:r>
    </w:p>
    <w:p w:rsidR="0037320B" w:rsidRDefault="0037320B" w:rsidP="0037320B">
      <w:pPr>
        <w:pStyle w:val="ab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cs="David"/>
          <w:snapToGrid w:val="0"/>
          <w:sz w:val="24"/>
          <w:szCs w:val="24"/>
        </w:rPr>
      </w:pPr>
      <w:r w:rsidRPr="00655AA1">
        <w:rPr>
          <w:rFonts w:cs="David"/>
          <w:snapToGrid w:val="0"/>
          <w:sz w:val="24"/>
          <w:szCs w:val="24"/>
          <w:rtl/>
        </w:rPr>
        <w:t xml:space="preserve">ההפרות שנמצאו אינן נקודתיות </w:t>
      </w:r>
      <w:r w:rsidRPr="00655AA1">
        <w:rPr>
          <w:rFonts w:cs="David" w:hint="cs"/>
          <w:snapToGrid w:val="0"/>
          <w:sz w:val="24"/>
          <w:szCs w:val="24"/>
          <w:rtl/>
        </w:rPr>
        <w:t>ו</w:t>
      </w:r>
      <w:r w:rsidRPr="00655AA1">
        <w:rPr>
          <w:rFonts w:cs="David"/>
          <w:snapToGrid w:val="0"/>
          <w:sz w:val="24"/>
          <w:szCs w:val="24"/>
          <w:rtl/>
        </w:rPr>
        <w:t>מדובר בהפרה מהותית</w:t>
      </w:r>
      <w:r>
        <w:rPr>
          <w:rFonts w:cs="David" w:hint="cs"/>
          <w:snapToGrid w:val="0"/>
          <w:sz w:val="24"/>
          <w:szCs w:val="24"/>
          <w:rtl/>
        </w:rPr>
        <w:t xml:space="preserve">, הן </w:t>
      </w:r>
      <w:r w:rsidRPr="00655AA1">
        <w:rPr>
          <w:rFonts w:cs="David"/>
          <w:snapToGrid w:val="0"/>
          <w:sz w:val="24"/>
          <w:szCs w:val="24"/>
          <w:rtl/>
        </w:rPr>
        <w:t>בהיבט מספר חודשי ההפרה ו</w:t>
      </w:r>
      <w:r>
        <w:rPr>
          <w:rFonts w:cs="David" w:hint="cs"/>
          <w:snapToGrid w:val="0"/>
          <w:sz w:val="24"/>
          <w:szCs w:val="24"/>
          <w:rtl/>
        </w:rPr>
        <w:t xml:space="preserve">הן </w:t>
      </w:r>
      <w:r w:rsidRPr="00655AA1">
        <w:rPr>
          <w:rFonts w:cs="David"/>
          <w:snapToGrid w:val="0"/>
          <w:sz w:val="24"/>
          <w:szCs w:val="24"/>
          <w:rtl/>
        </w:rPr>
        <w:t xml:space="preserve">בהיקף החריגה מזמן המגבלה. </w:t>
      </w:r>
    </w:p>
    <w:p w:rsidR="0037320B" w:rsidRPr="0037320B" w:rsidRDefault="0037320B" w:rsidP="004F2E33">
      <w:pPr>
        <w:pStyle w:val="ab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cs="David"/>
          <w:snapToGrid w:val="0"/>
          <w:sz w:val="24"/>
          <w:szCs w:val="24"/>
        </w:rPr>
      </w:pPr>
      <w:r w:rsidRPr="004F2E33">
        <w:rPr>
          <w:rFonts w:cs="David" w:hint="cs"/>
          <w:sz w:val="24"/>
          <w:szCs w:val="24"/>
          <w:rtl/>
          <w:lang w:eastAsia="he-IL"/>
        </w:rPr>
        <w:lastRenderedPageBreak/>
        <w:t xml:space="preserve">לאור המתואר לעיל, הוחלט </w:t>
      </w:r>
      <w:r w:rsidRPr="004F2E33">
        <w:rPr>
          <w:rFonts w:cs="David" w:hint="cs"/>
          <w:snapToGrid w:val="0"/>
          <w:sz w:val="24"/>
          <w:szCs w:val="24"/>
          <w:rtl/>
        </w:rPr>
        <w:t xml:space="preserve">על הטלת עיצום כספי בסך 250,000 ש"ח, לפי סעיף 11א(א)(1א) לחוק, בשל הפרה של סעיף 5א3 לחוק. </w:t>
      </w:r>
    </w:p>
    <w:sectPr w:rsidR="0037320B" w:rsidRPr="0037320B" w:rsidSect="00E13F44">
      <w:headerReference w:type="even" r:id="rId8"/>
      <w:footerReference w:type="default" r:id="rId9"/>
      <w:headerReference w:type="first" r:id="rId10"/>
      <w:footerReference w:type="first" r:id="rId11"/>
      <w:endnotePr>
        <w:numFmt w:val="lowerLetter"/>
      </w:endnotePr>
      <w:pgSz w:w="11909" w:h="16834"/>
      <w:pgMar w:top="1440" w:right="1800" w:bottom="1276" w:left="1800" w:header="720" w:footer="57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BA" w:rsidRDefault="009870BA">
      <w:r>
        <w:separator/>
      </w:r>
    </w:p>
  </w:endnote>
  <w:endnote w:type="continuationSeparator" w:id="0">
    <w:p w:rsidR="009870BA" w:rsidRDefault="0098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AE" w:rsidRPr="00181BAE" w:rsidRDefault="00181BAE" w:rsidP="00181BAE">
    <w:pPr>
      <w:pStyle w:val="a3"/>
      <w:framePr w:wrap="around" w:vAnchor="text" w:hAnchor="margin" w:xAlign="center" w:y="1"/>
      <w:rPr>
        <w:rStyle w:val="a6"/>
        <w:rFonts w:ascii="David" w:hAnsi="David" w:cs="David"/>
        <w:sz w:val="24"/>
        <w:szCs w:val="24"/>
        <w:rtl/>
      </w:rPr>
    </w:pPr>
    <w:r w:rsidRPr="00181BAE">
      <w:rPr>
        <w:rStyle w:val="a6"/>
        <w:rFonts w:ascii="David" w:hAnsi="David" w:cs="David"/>
        <w:sz w:val="24"/>
        <w:szCs w:val="24"/>
        <w:rtl/>
      </w:rPr>
      <w:fldChar w:fldCharType="begin"/>
    </w:r>
    <w:r w:rsidRPr="00181BAE">
      <w:rPr>
        <w:rStyle w:val="a6"/>
        <w:rFonts w:ascii="David" w:hAnsi="David" w:cs="David"/>
        <w:sz w:val="24"/>
        <w:szCs w:val="24"/>
      </w:rPr>
      <w:instrText xml:space="preserve">PAGE  </w:instrText>
    </w:r>
    <w:r w:rsidRPr="00181BAE">
      <w:rPr>
        <w:rStyle w:val="a6"/>
        <w:rFonts w:ascii="David" w:hAnsi="David" w:cs="David"/>
        <w:sz w:val="24"/>
        <w:szCs w:val="24"/>
        <w:rtl/>
      </w:rPr>
      <w:fldChar w:fldCharType="separate"/>
    </w:r>
    <w:r w:rsidR="004A350A">
      <w:rPr>
        <w:rStyle w:val="a6"/>
        <w:rFonts w:ascii="David" w:hAnsi="David" w:cs="David"/>
        <w:noProof/>
        <w:sz w:val="24"/>
        <w:szCs w:val="24"/>
        <w:rtl/>
      </w:rPr>
      <w:t>2</w:t>
    </w:r>
    <w:r w:rsidRPr="00181BAE">
      <w:rPr>
        <w:rStyle w:val="a6"/>
        <w:rFonts w:ascii="David" w:hAnsi="David" w:cs="David"/>
        <w:sz w:val="24"/>
        <w:szCs w:val="24"/>
        <w:rtl/>
      </w:rPr>
      <w:fldChar w:fldCharType="end"/>
    </w:r>
  </w:p>
  <w:p w:rsidR="00EB1B0C" w:rsidRPr="00181BAE" w:rsidRDefault="00EB1B0C" w:rsidP="00181BAE">
    <w:pPr>
      <w:pStyle w:val="a4"/>
      <w:rPr>
        <w:rFonts w:ascii="David" w:hAnsi="David" w:cs="David"/>
        <w:sz w:val="24"/>
        <w:szCs w:val="24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66" w:rsidRPr="004D4985" w:rsidRDefault="00590B66" w:rsidP="00590B66">
    <w:pPr>
      <w:pStyle w:val="a4"/>
      <w:jc w:val="center"/>
      <w:rPr>
        <w:rFonts w:ascii="David" w:hAnsi="David" w:cs="David"/>
        <w:i/>
        <w:iCs/>
        <w:sz w:val="22"/>
        <w:szCs w:val="22"/>
        <w:rtl/>
      </w:rPr>
    </w:pPr>
    <w:r w:rsidRPr="004D4985">
      <w:rPr>
        <w:rFonts w:ascii="David" w:hAnsi="David" w:cs="David"/>
        <w:sz w:val="22"/>
        <w:szCs w:val="22"/>
        <w:rtl/>
      </w:rPr>
      <w:t>ת"ד 780, ירושלים 91007</w:t>
    </w:r>
    <w:r w:rsidRPr="004D4985">
      <w:rPr>
        <w:rFonts w:ascii="David" w:hAnsi="David" w:cs="David" w:hint="cs"/>
        <w:sz w:val="22"/>
        <w:szCs w:val="22"/>
        <w:rtl/>
      </w:rPr>
      <w:t xml:space="preserve"> | </w:t>
    </w:r>
    <w:r w:rsidRPr="004D4985">
      <w:rPr>
        <w:rFonts w:ascii="David" w:hAnsi="David" w:cs="David"/>
        <w:sz w:val="22"/>
        <w:szCs w:val="22"/>
        <w:rtl/>
      </w:rPr>
      <w:t xml:space="preserve">טל: 02-6552400 </w:t>
    </w:r>
    <w:r w:rsidRPr="004D4985">
      <w:rPr>
        <w:rFonts w:ascii="David" w:hAnsi="David" w:cs="David" w:hint="cs"/>
        <w:sz w:val="22"/>
        <w:szCs w:val="22"/>
        <w:rtl/>
      </w:rPr>
      <w:t xml:space="preserve">| אתר אינטרנט: </w:t>
    </w:r>
    <w:r w:rsidRPr="004D4985">
      <w:rPr>
        <w:rFonts w:ascii="David" w:hAnsi="David" w:cs="David"/>
        <w:sz w:val="22"/>
        <w:szCs w:val="22"/>
      </w:rPr>
      <w:t>www.boi.org.il</w:t>
    </w:r>
  </w:p>
  <w:p w:rsidR="00EB1B0C" w:rsidRPr="00C063FB" w:rsidRDefault="00EB1B0C" w:rsidP="00C063FB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BA" w:rsidRDefault="009870BA">
      <w:r>
        <w:separator/>
      </w:r>
    </w:p>
  </w:footnote>
  <w:footnote w:type="continuationSeparator" w:id="0">
    <w:p w:rsidR="009870BA" w:rsidRDefault="0098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0C" w:rsidRDefault="00EB1B0C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EB1B0C" w:rsidRDefault="00EB1B0C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8B" w:rsidRPr="00181BAE" w:rsidRDefault="005D252E" w:rsidP="00181BAE">
    <w:pPr>
      <w:pStyle w:val="a3"/>
      <w:tabs>
        <w:tab w:val="clear" w:pos="4153"/>
        <w:tab w:val="clear" w:pos="8306"/>
        <w:tab w:val="left" w:pos="1934"/>
      </w:tabs>
      <w:rPr>
        <w:rFonts w:cs="David"/>
      </w:rPr>
    </w:pPr>
    <w:r>
      <w:rPr>
        <w:rFonts w:hint="cs"/>
        <w:noProof/>
      </w:rPr>
      <w:drawing>
        <wp:inline distT="0" distB="0" distL="0" distR="0" wp14:anchorId="1F9A76F0" wp14:editId="03D18898">
          <wp:extent cx="5402580" cy="572770"/>
          <wp:effectExtent l="0" t="0" r="7620" b="0"/>
          <wp:docPr id="7" name="תמונה 7" descr="לוגו בנק ישראל" title="לוגו בנק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3" r="2605"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48B" w:rsidRPr="007454DA" w:rsidRDefault="008D348B" w:rsidP="008D348B">
    <w:pPr>
      <w:pStyle w:val="a3"/>
      <w:tabs>
        <w:tab w:val="clear" w:pos="4153"/>
        <w:tab w:val="clear" w:pos="8306"/>
        <w:tab w:val="left" w:pos="1934"/>
      </w:tabs>
      <w:rPr>
        <w:rFonts w:cs="David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20E"/>
    <w:multiLevelType w:val="multilevel"/>
    <w:tmpl w:val="19DEC95A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14396"/>
    <w:multiLevelType w:val="hybridMultilevel"/>
    <w:tmpl w:val="6B7CD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A4F94"/>
    <w:multiLevelType w:val="multilevel"/>
    <w:tmpl w:val="BA7CC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EE2612"/>
    <w:multiLevelType w:val="multilevel"/>
    <w:tmpl w:val="72BE55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9030677"/>
    <w:multiLevelType w:val="hybridMultilevel"/>
    <w:tmpl w:val="9FAE554A"/>
    <w:lvl w:ilvl="0" w:tplc="8A102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E6ED8"/>
    <w:multiLevelType w:val="multilevel"/>
    <w:tmpl w:val="19DEC95A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B00E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072186"/>
    <w:multiLevelType w:val="hybridMultilevel"/>
    <w:tmpl w:val="7330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831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33192A"/>
    <w:multiLevelType w:val="multilevel"/>
    <w:tmpl w:val="19DEC95A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8816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A16949"/>
    <w:multiLevelType w:val="multilevel"/>
    <w:tmpl w:val="19DEC95A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5065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BC37E1"/>
    <w:multiLevelType w:val="multilevel"/>
    <w:tmpl w:val="E8D002DA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5"/>
      <w:numFmt w:val="decimal"/>
      <w:lvlText w:val="%1.%2"/>
      <w:lvlJc w:val="left"/>
      <w:pPr>
        <w:ind w:left="1302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79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732" w:hanging="108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8034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976" w:hanging="1440"/>
      </w:pPr>
      <w:rPr>
        <w:rFonts w:ascii="Times New Roman" w:eastAsia="Times New Roman" w:hAnsi="Times New Roman" w:hint="default"/>
      </w:rPr>
    </w:lvl>
  </w:abstractNum>
  <w:abstractNum w:abstractNumId="14" w15:restartNumberingAfterBreak="0">
    <w:nsid w:val="6740419D"/>
    <w:multiLevelType w:val="multilevel"/>
    <w:tmpl w:val="C598F068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64702D"/>
    <w:multiLevelType w:val="hybridMultilevel"/>
    <w:tmpl w:val="6B60D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7B2E57"/>
    <w:multiLevelType w:val="multilevel"/>
    <w:tmpl w:val="B31254B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4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3"/>
  </w:num>
  <w:num w:numId="12">
    <w:abstractNumId w:val="15"/>
  </w:num>
  <w:num w:numId="13">
    <w:abstractNumId w:val="12"/>
  </w:num>
  <w:num w:numId="14">
    <w:abstractNumId w:val="8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B8"/>
    <w:rsid w:val="00034AB4"/>
    <w:rsid w:val="0004254F"/>
    <w:rsid w:val="000670C5"/>
    <w:rsid w:val="0006736B"/>
    <w:rsid w:val="00090CCC"/>
    <w:rsid w:val="000972D7"/>
    <w:rsid w:val="000D6D6A"/>
    <w:rsid w:val="000E0B32"/>
    <w:rsid w:val="000E2F43"/>
    <w:rsid w:val="000F02F3"/>
    <w:rsid w:val="000F0EF4"/>
    <w:rsid w:val="00105783"/>
    <w:rsid w:val="001062BA"/>
    <w:rsid w:val="001117DF"/>
    <w:rsid w:val="001301F5"/>
    <w:rsid w:val="0015580C"/>
    <w:rsid w:val="00181BAE"/>
    <w:rsid w:val="00193BC3"/>
    <w:rsid w:val="001A6025"/>
    <w:rsid w:val="001B08C8"/>
    <w:rsid w:val="001B223D"/>
    <w:rsid w:val="001B7848"/>
    <w:rsid w:val="001E0086"/>
    <w:rsid w:val="001E44DF"/>
    <w:rsid w:val="001E4C35"/>
    <w:rsid w:val="00202470"/>
    <w:rsid w:val="0021262F"/>
    <w:rsid w:val="002227BB"/>
    <w:rsid w:val="002273FB"/>
    <w:rsid w:val="0023667B"/>
    <w:rsid w:val="002402D2"/>
    <w:rsid w:val="00250E62"/>
    <w:rsid w:val="0027110C"/>
    <w:rsid w:val="00273FF9"/>
    <w:rsid w:val="00275829"/>
    <w:rsid w:val="00281E66"/>
    <w:rsid w:val="00285924"/>
    <w:rsid w:val="002929C4"/>
    <w:rsid w:val="002B1302"/>
    <w:rsid w:val="002B6108"/>
    <w:rsid w:val="002B7B78"/>
    <w:rsid w:val="002C02BE"/>
    <w:rsid w:val="002C35BF"/>
    <w:rsid w:val="002D1E83"/>
    <w:rsid w:val="002D24DF"/>
    <w:rsid w:val="002D2D22"/>
    <w:rsid w:val="002D41C2"/>
    <w:rsid w:val="002E1D25"/>
    <w:rsid w:val="002E2D2A"/>
    <w:rsid w:val="002F5354"/>
    <w:rsid w:val="003010F4"/>
    <w:rsid w:val="00307677"/>
    <w:rsid w:val="00332364"/>
    <w:rsid w:val="00337D53"/>
    <w:rsid w:val="003412A4"/>
    <w:rsid w:val="00342DC1"/>
    <w:rsid w:val="0035375B"/>
    <w:rsid w:val="00365B44"/>
    <w:rsid w:val="003726E9"/>
    <w:rsid w:val="0037320B"/>
    <w:rsid w:val="0037668A"/>
    <w:rsid w:val="003820DB"/>
    <w:rsid w:val="003A4938"/>
    <w:rsid w:val="003A4FC5"/>
    <w:rsid w:val="003A636E"/>
    <w:rsid w:val="003B17E0"/>
    <w:rsid w:val="003C1528"/>
    <w:rsid w:val="003C56F0"/>
    <w:rsid w:val="003D5F42"/>
    <w:rsid w:val="003F09E3"/>
    <w:rsid w:val="003F7875"/>
    <w:rsid w:val="00404F86"/>
    <w:rsid w:val="00404FB2"/>
    <w:rsid w:val="00405439"/>
    <w:rsid w:val="00405590"/>
    <w:rsid w:val="004279C4"/>
    <w:rsid w:val="00436B6C"/>
    <w:rsid w:val="00441B3B"/>
    <w:rsid w:val="0044634F"/>
    <w:rsid w:val="00452B6B"/>
    <w:rsid w:val="00453965"/>
    <w:rsid w:val="00460938"/>
    <w:rsid w:val="0047347B"/>
    <w:rsid w:val="0049257A"/>
    <w:rsid w:val="0049733C"/>
    <w:rsid w:val="004A13CD"/>
    <w:rsid w:val="004A350A"/>
    <w:rsid w:val="004C1DCD"/>
    <w:rsid w:val="004C2C38"/>
    <w:rsid w:val="004C6DB8"/>
    <w:rsid w:val="004D4831"/>
    <w:rsid w:val="004E0354"/>
    <w:rsid w:val="004F2E33"/>
    <w:rsid w:val="004F7D1C"/>
    <w:rsid w:val="0050619D"/>
    <w:rsid w:val="00506D62"/>
    <w:rsid w:val="0053237D"/>
    <w:rsid w:val="00550C5D"/>
    <w:rsid w:val="00551BD1"/>
    <w:rsid w:val="0058601D"/>
    <w:rsid w:val="0058721D"/>
    <w:rsid w:val="0058750D"/>
    <w:rsid w:val="005878F1"/>
    <w:rsid w:val="005905FD"/>
    <w:rsid w:val="00590B66"/>
    <w:rsid w:val="00592777"/>
    <w:rsid w:val="005946F2"/>
    <w:rsid w:val="005A2C43"/>
    <w:rsid w:val="005A3E12"/>
    <w:rsid w:val="005A769E"/>
    <w:rsid w:val="005C181C"/>
    <w:rsid w:val="005D252E"/>
    <w:rsid w:val="005D72DC"/>
    <w:rsid w:val="005E7CDD"/>
    <w:rsid w:val="005E7E72"/>
    <w:rsid w:val="00601227"/>
    <w:rsid w:val="00601386"/>
    <w:rsid w:val="00603F6E"/>
    <w:rsid w:val="006128DF"/>
    <w:rsid w:val="00626B9E"/>
    <w:rsid w:val="00630D68"/>
    <w:rsid w:val="00636DDD"/>
    <w:rsid w:val="006508F6"/>
    <w:rsid w:val="00652329"/>
    <w:rsid w:val="00660E8A"/>
    <w:rsid w:val="00662459"/>
    <w:rsid w:val="006729F7"/>
    <w:rsid w:val="00674A27"/>
    <w:rsid w:val="00677D5A"/>
    <w:rsid w:val="0068190D"/>
    <w:rsid w:val="00686030"/>
    <w:rsid w:val="006A0DAC"/>
    <w:rsid w:val="006A1833"/>
    <w:rsid w:val="006A2004"/>
    <w:rsid w:val="006A7233"/>
    <w:rsid w:val="006B6F5A"/>
    <w:rsid w:val="006C14AB"/>
    <w:rsid w:val="006C172A"/>
    <w:rsid w:val="006C2FA5"/>
    <w:rsid w:val="006C3737"/>
    <w:rsid w:val="006C7650"/>
    <w:rsid w:val="006E1C20"/>
    <w:rsid w:val="006F1943"/>
    <w:rsid w:val="007013A1"/>
    <w:rsid w:val="00702294"/>
    <w:rsid w:val="00705A78"/>
    <w:rsid w:val="00727843"/>
    <w:rsid w:val="00741389"/>
    <w:rsid w:val="007428B8"/>
    <w:rsid w:val="00743037"/>
    <w:rsid w:val="007454DA"/>
    <w:rsid w:val="00774740"/>
    <w:rsid w:val="00775985"/>
    <w:rsid w:val="00793A73"/>
    <w:rsid w:val="00793C19"/>
    <w:rsid w:val="007A26EA"/>
    <w:rsid w:val="007A7E1A"/>
    <w:rsid w:val="007B32B8"/>
    <w:rsid w:val="007C413F"/>
    <w:rsid w:val="007F07BC"/>
    <w:rsid w:val="00804B59"/>
    <w:rsid w:val="00806F0F"/>
    <w:rsid w:val="00833E44"/>
    <w:rsid w:val="00834D46"/>
    <w:rsid w:val="008356EE"/>
    <w:rsid w:val="00836136"/>
    <w:rsid w:val="008428C1"/>
    <w:rsid w:val="008515D3"/>
    <w:rsid w:val="008C174A"/>
    <w:rsid w:val="008C3041"/>
    <w:rsid w:val="008C44AD"/>
    <w:rsid w:val="008D348B"/>
    <w:rsid w:val="008D7BED"/>
    <w:rsid w:val="008F48C9"/>
    <w:rsid w:val="008F5C15"/>
    <w:rsid w:val="0090148C"/>
    <w:rsid w:val="00901B25"/>
    <w:rsid w:val="009111AD"/>
    <w:rsid w:val="00916D8C"/>
    <w:rsid w:val="00923C3F"/>
    <w:rsid w:val="009362C6"/>
    <w:rsid w:val="00946DDC"/>
    <w:rsid w:val="00954D7D"/>
    <w:rsid w:val="00954DD7"/>
    <w:rsid w:val="00956E62"/>
    <w:rsid w:val="00957D81"/>
    <w:rsid w:val="00981202"/>
    <w:rsid w:val="00985E46"/>
    <w:rsid w:val="009870BA"/>
    <w:rsid w:val="009877DE"/>
    <w:rsid w:val="00991B54"/>
    <w:rsid w:val="00994BE9"/>
    <w:rsid w:val="009B4426"/>
    <w:rsid w:val="009D6A81"/>
    <w:rsid w:val="009F3B52"/>
    <w:rsid w:val="00A00298"/>
    <w:rsid w:val="00A15EE5"/>
    <w:rsid w:val="00A1731B"/>
    <w:rsid w:val="00A23721"/>
    <w:rsid w:val="00A45650"/>
    <w:rsid w:val="00A5085B"/>
    <w:rsid w:val="00A53986"/>
    <w:rsid w:val="00A55E56"/>
    <w:rsid w:val="00A609C7"/>
    <w:rsid w:val="00A64FC7"/>
    <w:rsid w:val="00A65A2A"/>
    <w:rsid w:val="00A72B28"/>
    <w:rsid w:val="00A75589"/>
    <w:rsid w:val="00A869F6"/>
    <w:rsid w:val="00A876BE"/>
    <w:rsid w:val="00A97D2E"/>
    <w:rsid w:val="00AA3684"/>
    <w:rsid w:val="00AA408D"/>
    <w:rsid w:val="00AA54BD"/>
    <w:rsid w:val="00AA5938"/>
    <w:rsid w:val="00AB2DBC"/>
    <w:rsid w:val="00AC32C2"/>
    <w:rsid w:val="00AC37DC"/>
    <w:rsid w:val="00AC5088"/>
    <w:rsid w:val="00AC5FE2"/>
    <w:rsid w:val="00AE2D04"/>
    <w:rsid w:val="00AE48FA"/>
    <w:rsid w:val="00AF30F1"/>
    <w:rsid w:val="00B041AB"/>
    <w:rsid w:val="00B10D98"/>
    <w:rsid w:val="00B143D5"/>
    <w:rsid w:val="00B208C4"/>
    <w:rsid w:val="00B217EA"/>
    <w:rsid w:val="00B22D55"/>
    <w:rsid w:val="00B33E17"/>
    <w:rsid w:val="00B4593A"/>
    <w:rsid w:val="00B47412"/>
    <w:rsid w:val="00B5499F"/>
    <w:rsid w:val="00B55C06"/>
    <w:rsid w:val="00B57BEC"/>
    <w:rsid w:val="00B65B6C"/>
    <w:rsid w:val="00B70D03"/>
    <w:rsid w:val="00B822D2"/>
    <w:rsid w:val="00B82DEF"/>
    <w:rsid w:val="00B8542B"/>
    <w:rsid w:val="00B90FE7"/>
    <w:rsid w:val="00BC28CD"/>
    <w:rsid w:val="00BC4172"/>
    <w:rsid w:val="00BC49F3"/>
    <w:rsid w:val="00BC671E"/>
    <w:rsid w:val="00BC6DBC"/>
    <w:rsid w:val="00BD519F"/>
    <w:rsid w:val="00BE42D8"/>
    <w:rsid w:val="00BF65D4"/>
    <w:rsid w:val="00C00444"/>
    <w:rsid w:val="00C063FB"/>
    <w:rsid w:val="00C241B3"/>
    <w:rsid w:val="00C45F53"/>
    <w:rsid w:val="00C60322"/>
    <w:rsid w:val="00C61BE7"/>
    <w:rsid w:val="00C624AB"/>
    <w:rsid w:val="00C86945"/>
    <w:rsid w:val="00C91F0F"/>
    <w:rsid w:val="00C92984"/>
    <w:rsid w:val="00CA2602"/>
    <w:rsid w:val="00CB2FCD"/>
    <w:rsid w:val="00CB3E16"/>
    <w:rsid w:val="00CD3951"/>
    <w:rsid w:val="00CD3CB5"/>
    <w:rsid w:val="00CD5305"/>
    <w:rsid w:val="00CD6633"/>
    <w:rsid w:val="00CD7900"/>
    <w:rsid w:val="00CE2B56"/>
    <w:rsid w:val="00CF11AC"/>
    <w:rsid w:val="00D07A7A"/>
    <w:rsid w:val="00D13D4C"/>
    <w:rsid w:val="00D20C18"/>
    <w:rsid w:val="00D35FAF"/>
    <w:rsid w:val="00D44562"/>
    <w:rsid w:val="00D543CE"/>
    <w:rsid w:val="00D64EC2"/>
    <w:rsid w:val="00D71465"/>
    <w:rsid w:val="00D76062"/>
    <w:rsid w:val="00D8738C"/>
    <w:rsid w:val="00DB24C8"/>
    <w:rsid w:val="00DB5E98"/>
    <w:rsid w:val="00DB7F8E"/>
    <w:rsid w:val="00DC2239"/>
    <w:rsid w:val="00DD3EE1"/>
    <w:rsid w:val="00DE0A33"/>
    <w:rsid w:val="00DE5E1B"/>
    <w:rsid w:val="00E00878"/>
    <w:rsid w:val="00E03C1C"/>
    <w:rsid w:val="00E112E9"/>
    <w:rsid w:val="00E13520"/>
    <w:rsid w:val="00E13F44"/>
    <w:rsid w:val="00E255C7"/>
    <w:rsid w:val="00E33C63"/>
    <w:rsid w:val="00E4497E"/>
    <w:rsid w:val="00E478A9"/>
    <w:rsid w:val="00E61179"/>
    <w:rsid w:val="00E6689D"/>
    <w:rsid w:val="00E676BD"/>
    <w:rsid w:val="00E717E0"/>
    <w:rsid w:val="00E71FE5"/>
    <w:rsid w:val="00E836C8"/>
    <w:rsid w:val="00E93FA7"/>
    <w:rsid w:val="00EA52CF"/>
    <w:rsid w:val="00EB1B0C"/>
    <w:rsid w:val="00ED04E9"/>
    <w:rsid w:val="00ED1FE3"/>
    <w:rsid w:val="00ED5C34"/>
    <w:rsid w:val="00F00614"/>
    <w:rsid w:val="00F113CA"/>
    <w:rsid w:val="00F150C3"/>
    <w:rsid w:val="00F204AD"/>
    <w:rsid w:val="00F21F58"/>
    <w:rsid w:val="00F23CB4"/>
    <w:rsid w:val="00F24281"/>
    <w:rsid w:val="00F331A9"/>
    <w:rsid w:val="00F50491"/>
    <w:rsid w:val="00F6002E"/>
    <w:rsid w:val="00F605E6"/>
    <w:rsid w:val="00F76E87"/>
    <w:rsid w:val="00F829A1"/>
    <w:rsid w:val="00F83CA1"/>
    <w:rsid w:val="00F952F9"/>
    <w:rsid w:val="00FA2C1E"/>
    <w:rsid w:val="00FA3CCC"/>
    <w:rsid w:val="00FA796E"/>
    <w:rsid w:val="00FB7F5D"/>
    <w:rsid w:val="00FC49B8"/>
    <w:rsid w:val="00FF59CD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1D4F1C5"/>
  <w15:chartTrackingRefBased/>
  <w15:docId w15:val="{AE3BC8B5-A5CD-427F-8F1B-8D967A25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D252E"/>
    <w:pPr>
      <w:keepNext/>
      <w:spacing w:before="240" w:after="60"/>
      <w:jc w:val="center"/>
      <w:outlineLvl w:val="0"/>
    </w:pPr>
    <w:rPr>
      <w:rFonts w:asciiTheme="majorHAnsi" w:eastAsiaTheme="majorEastAsia" w:hAnsiTheme="majorHAnsi" w:cs="David"/>
      <w:b/>
      <w:bCs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8356EE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5D252E"/>
    <w:rPr>
      <w:rFonts w:asciiTheme="majorHAnsi" w:eastAsiaTheme="majorEastAsia" w:hAnsiTheme="majorHAnsi" w:cs="David"/>
      <w:b/>
      <w:bCs/>
      <w:kern w:val="32"/>
      <w:sz w:val="32"/>
      <w:szCs w:val="28"/>
    </w:rPr>
  </w:style>
  <w:style w:type="character" w:customStyle="1" w:styleId="a5">
    <w:name w:val="כותרת תחתונה תו"/>
    <w:basedOn w:val="a0"/>
    <w:link w:val="a4"/>
    <w:uiPriority w:val="99"/>
    <w:rsid w:val="00590B66"/>
  </w:style>
  <w:style w:type="table" w:styleId="a8">
    <w:name w:val="Table Grid"/>
    <w:basedOn w:val="a1"/>
    <w:rsid w:val="002D2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גוף טקסט תו"/>
    <w:basedOn w:val="a0"/>
    <w:link w:val="aa"/>
    <w:rsid w:val="00CE2B56"/>
    <w:rPr>
      <w:rFonts w:ascii="David" w:eastAsia="David" w:hAnsi="David" w:cs="David"/>
    </w:rPr>
  </w:style>
  <w:style w:type="character" w:customStyle="1" w:styleId="Heading2">
    <w:name w:val="Heading #2_"/>
    <w:basedOn w:val="a0"/>
    <w:link w:val="Heading20"/>
    <w:rsid w:val="00CE2B56"/>
    <w:rPr>
      <w:rFonts w:ascii="David" w:eastAsia="David" w:hAnsi="David" w:cs="David"/>
      <w:b/>
      <w:bCs/>
      <w:u w:val="single"/>
    </w:rPr>
  </w:style>
  <w:style w:type="paragraph" w:styleId="aa">
    <w:name w:val="Body Text"/>
    <w:basedOn w:val="a"/>
    <w:link w:val="a9"/>
    <w:qFormat/>
    <w:rsid w:val="00CE2B56"/>
    <w:pPr>
      <w:widowControl w:val="0"/>
      <w:overflowPunct/>
      <w:autoSpaceDE/>
      <w:autoSpaceDN/>
      <w:adjustRightInd/>
      <w:spacing w:after="40" w:line="360" w:lineRule="auto"/>
      <w:textAlignment w:val="auto"/>
    </w:pPr>
    <w:rPr>
      <w:rFonts w:ascii="David" w:eastAsia="David" w:hAnsi="David" w:cs="David"/>
    </w:rPr>
  </w:style>
  <w:style w:type="character" w:customStyle="1" w:styleId="11">
    <w:name w:val="גוף טקסט תו1"/>
    <w:basedOn w:val="a0"/>
    <w:rsid w:val="00CE2B56"/>
  </w:style>
  <w:style w:type="paragraph" w:customStyle="1" w:styleId="Heading20">
    <w:name w:val="Heading #2"/>
    <w:basedOn w:val="a"/>
    <w:link w:val="Heading2"/>
    <w:rsid w:val="00CE2B56"/>
    <w:pPr>
      <w:widowControl w:val="0"/>
      <w:overflowPunct/>
      <w:autoSpaceDE/>
      <w:autoSpaceDN/>
      <w:adjustRightInd/>
      <w:spacing w:after="200" w:line="322" w:lineRule="auto"/>
      <w:textAlignment w:val="auto"/>
      <w:outlineLvl w:val="1"/>
    </w:pPr>
    <w:rPr>
      <w:rFonts w:ascii="David" w:eastAsia="David" w:hAnsi="David" w:cs="David"/>
      <w:b/>
      <w:bCs/>
      <w:u w:val="single"/>
    </w:rPr>
  </w:style>
  <w:style w:type="paragraph" w:styleId="ab">
    <w:name w:val="List Paragraph"/>
    <w:basedOn w:val="a"/>
    <w:uiPriority w:val="34"/>
    <w:qFormat/>
    <w:rsid w:val="00991B54"/>
    <w:pPr>
      <w:ind w:left="720"/>
      <w:contextualSpacing/>
    </w:pPr>
  </w:style>
  <w:style w:type="character" w:styleId="ac">
    <w:name w:val="Strong"/>
    <w:basedOn w:val="a0"/>
    <w:qFormat/>
    <w:rsid w:val="00F331A9"/>
    <w:rPr>
      <w:b/>
      <w:bCs/>
    </w:rPr>
  </w:style>
  <w:style w:type="character" w:styleId="ad">
    <w:name w:val="annotation reference"/>
    <w:basedOn w:val="a0"/>
    <w:unhideWhenUsed/>
    <w:rsid w:val="006B6F5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B6F5A"/>
    <w:pPr>
      <w:widowControl w:val="0"/>
      <w:overflowPunct/>
      <w:autoSpaceDE/>
      <w:autoSpaceDN/>
      <w:bidi w:val="0"/>
      <w:adjustRightInd/>
      <w:textAlignment w:val="auto"/>
    </w:pPr>
    <w:rPr>
      <w:rFonts w:ascii="Courier New" w:eastAsia="Courier New" w:hAnsi="Courier New" w:cs="Courier New"/>
      <w:color w:val="000000"/>
      <w:lang w:val="he-IL" w:eastAsia="he-IL"/>
    </w:rPr>
  </w:style>
  <w:style w:type="character" w:customStyle="1" w:styleId="af">
    <w:name w:val="טקסט הערה תו"/>
    <w:basedOn w:val="a0"/>
    <w:link w:val="ae"/>
    <w:uiPriority w:val="99"/>
    <w:rsid w:val="006B6F5A"/>
    <w:rPr>
      <w:rFonts w:ascii="Courier New" w:eastAsia="Courier New" w:hAnsi="Courier New" w:cs="Courier New"/>
      <w:color w:val="000000"/>
      <w:lang w:val="he-IL" w:eastAsia="he-IL"/>
    </w:rPr>
  </w:style>
  <w:style w:type="paragraph" w:styleId="af0">
    <w:name w:val="footnote text"/>
    <w:basedOn w:val="a"/>
    <w:link w:val="af1"/>
    <w:rsid w:val="004C6DB8"/>
  </w:style>
  <w:style w:type="character" w:customStyle="1" w:styleId="af1">
    <w:name w:val="טקסט הערת שוליים תו"/>
    <w:basedOn w:val="a0"/>
    <w:link w:val="af0"/>
    <w:rsid w:val="004C6DB8"/>
  </w:style>
  <w:style w:type="character" w:styleId="af2">
    <w:name w:val="footnote reference"/>
    <w:basedOn w:val="a0"/>
    <w:rsid w:val="004C6DB8"/>
    <w:rPr>
      <w:vertAlign w:val="superscript"/>
    </w:rPr>
  </w:style>
  <w:style w:type="paragraph" w:styleId="af3">
    <w:name w:val="annotation subject"/>
    <w:basedOn w:val="ae"/>
    <w:next w:val="ae"/>
    <w:link w:val="af4"/>
    <w:rsid w:val="001117DF"/>
    <w:pPr>
      <w:widowControl/>
      <w:overflowPunct w:val="0"/>
      <w:autoSpaceDE w:val="0"/>
      <w:autoSpaceDN w:val="0"/>
      <w:bidi/>
      <w:adjustRightInd w:val="0"/>
      <w:textAlignment w:val="baseline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character" w:customStyle="1" w:styleId="af4">
    <w:name w:val="נושא הערה תו"/>
    <w:basedOn w:val="af"/>
    <w:link w:val="af3"/>
    <w:rsid w:val="001117DF"/>
    <w:rPr>
      <w:rFonts w:ascii="Courier New" w:eastAsia="Courier New" w:hAnsi="Courier New" w:cs="Courier New"/>
      <w:b/>
      <w:bCs/>
      <w:color w:val="000000"/>
      <w:lang w:val="he-IL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E17F-3FDE-4FB0-9311-CC023744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ירושלים, כ"ה בתשרי תשנ"ח</vt:lpstr>
    </vt:vector>
  </TitlesOfParts>
  <Company>Bank of Israel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ירושלים, כ"ה בתשרי תשנ"ח</dc:title>
  <dc:subject/>
  <dc:creator>ff</dc:creator>
  <cp:keywords/>
  <cp:lastModifiedBy>לירון בן עמוס</cp:lastModifiedBy>
  <cp:revision>2</cp:revision>
  <cp:lastPrinted>2016-02-10T12:50:00Z</cp:lastPrinted>
  <dcterms:created xsi:type="dcterms:W3CDTF">2024-02-07T08:56:00Z</dcterms:created>
  <dcterms:modified xsi:type="dcterms:W3CDTF">2024-02-07T08:56:00Z</dcterms:modified>
</cp:coreProperties>
</file>