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202530" w:rsidTr="0029736D">
        <w:tc>
          <w:tcPr>
            <w:tcW w:w="3343" w:type="dxa"/>
            <w:tcBorders>
              <w:top w:val="nil"/>
              <w:left w:val="nil"/>
              <w:bottom w:val="nil"/>
              <w:right w:val="nil"/>
            </w:tcBorders>
            <w:vAlign w:val="center"/>
          </w:tcPr>
          <w:p w:rsidR="009005BA" w:rsidRPr="00202530" w:rsidRDefault="009005BA" w:rsidP="0029736D">
            <w:pPr>
              <w:rPr>
                <w:b/>
                <w:bCs/>
                <w:sz w:val="24"/>
                <w:szCs w:val="24"/>
                <w:rtl/>
              </w:rPr>
            </w:pPr>
            <w:bookmarkStart w:id="0" w:name="_GoBack"/>
            <w:bookmarkEnd w:id="0"/>
            <w:r w:rsidRPr="00202530">
              <w:rPr>
                <w:b/>
                <w:bCs/>
                <w:sz w:val="24"/>
                <w:szCs w:val="24"/>
                <w:rtl/>
              </w:rPr>
              <w:t>בנק ישראל</w:t>
            </w:r>
          </w:p>
          <w:p w:rsidR="009005BA" w:rsidRPr="00202530" w:rsidRDefault="009005BA" w:rsidP="0029736D">
            <w:pPr>
              <w:rPr>
                <w:b/>
                <w:bCs/>
                <w:sz w:val="28"/>
                <w:szCs w:val="28"/>
              </w:rPr>
            </w:pPr>
            <w:r w:rsidRPr="00202530">
              <w:rPr>
                <w:rtl/>
              </w:rPr>
              <w:t>דוברות והסברה כלכלית</w:t>
            </w:r>
          </w:p>
        </w:tc>
        <w:tc>
          <w:tcPr>
            <w:tcW w:w="2596" w:type="dxa"/>
            <w:tcBorders>
              <w:top w:val="nil"/>
              <w:left w:val="nil"/>
              <w:bottom w:val="nil"/>
              <w:right w:val="nil"/>
            </w:tcBorders>
            <w:shd w:val="clear" w:color="auto" w:fill="FFFFFF"/>
          </w:tcPr>
          <w:p w:rsidR="009005BA" w:rsidRPr="00202530" w:rsidRDefault="009005BA" w:rsidP="0029736D">
            <w:pPr>
              <w:jc w:val="center"/>
            </w:pPr>
            <w:r w:rsidRPr="00202530">
              <w:rPr>
                <w:noProof/>
              </w:rPr>
              <w:drawing>
                <wp:anchor distT="0" distB="0" distL="114300" distR="114300" simplePos="0" relativeHeight="251659264" behindDoc="0" locked="0" layoutInCell="1" allowOverlap="1" wp14:anchorId="5C542762" wp14:editId="2377C3A7">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A1A7A" w:rsidRDefault="009005BA" w:rsidP="000A1A7A">
            <w:pPr>
              <w:jc w:val="right"/>
              <w:rPr>
                <w:rtl/>
              </w:rPr>
            </w:pPr>
            <w:r w:rsidRPr="00202530">
              <w:rPr>
                <w:highlight w:val="green"/>
                <w:rtl/>
              </w:rPr>
              <w:t>‏</w:t>
            </w:r>
            <w:r w:rsidRPr="00202530">
              <w:rPr>
                <w:rtl/>
              </w:rPr>
              <w:t>ירושלים</w:t>
            </w:r>
            <w:r w:rsidR="000A1A7A">
              <w:rPr>
                <w:rFonts w:hint="cs"/>
                <w:rtl/>
              </w:rPr>
              <w:t>, י"א תמוז, תשפ"ה</w:t>
            </w:r>
          </w:p>
          <w:p w:rsidR="009005BA" w:rsidRPr="00662BB8" w:rsidRDefault="000A1A7A" w:rsidP="00662BB8">
            <w:pPr>
              <w:jc w:val="right"/>
            </w:pPr>
            <w:r>
              <w:rPr>
                <w:rFonts w:hint="cs"/>
                <w:rtl/>
              </w:rPr>
              <w:t>7 יולי, 2025</w:t>
            </w:r>
          </w:p>
        </w:tc>
      </w:tr>
    </w:tbl>
    <w:p w:rsidR="009005BA" w:rsidRPr="00202530" w:rsidRDefault="009005BA" w:rsidP="007B0741">
      <w:pPr>
        <w:tabs>
          <w:tab w:val="left" w:pos="2315"/>
        </w:tabs>
        <w:rPr>
          <w:sz w:val="24"/>
          <w:szCs w:val="24"/>
          <w:rtl/>
        </w:rPr>
      </w:pPr>
    </w:p>
    <w:p w:rsidR="00D66255" w:rsidRPr="00202530" w:rsidRDefault="008E761A" w:rsidP="009005BA">
      <w:pPr>
        <w:tabs>
          <w:tab w:val="left" w:pos="2315"/>
        </w:tabs>
        <w:rPr>
          <w:sz w:val="24"/>
          <w:szCs w:val="24"/>
          <w:rtl/>
        </w:rPr>
      </w:pPr>
      <w:r w:rsidRPr="00202530">
        <w:rPr>
          <w:sz w:val="24"/>
          <w:szCs w:val="24"/>
          <w:rtl/>
        </w:rPr>
        <w:t>הודעה לעיתונות:</w:t>
      </w:r>
    </w:p>
    <w:p w:rsidR="00202530" w:rsidRPr="00202530" w:rsidRDefault="00202530" w:rsidP="00914B9F">
      <w:pPr>
        <w:pStyle w:val="afb"/>
        <w:spacing w:before="240"/>
        <w:rPr>
          <w:rFonts w:ascii="Calibri" w:hAnsi="Calibri" w:cs="Calibri"/>
          <w:rtl/>
        </w:rPr>
      </w:pPr>
      <w:r w:rsidRPr="00202530">
        <w:rPr>
          <w:rFonts w:ascii="Calibri" w:hAnsi="Calibri" w:cs="Calibri"/>
          <w:rtl/>
        </w:rPr>
        <w:t xml:space="preserve">התחזית המקרו-כלכלית של חטיבת המחקר, </w:t>
      </w:r>
      <w:r w:rsidR="00914B9F">
        <w:rPr>
          <w:rFonts w:ascii="Calibri" w:hAnsi="Calibri" w:cs="Calibri" w:hint="cs"/>
          <w:rtl/>
        </w:rPr>
        <w:t>יולי</w:t>
      </w:r>
      <w:r w:rsidRPr="00202530">
        <w:rPr>
          <w:rFonts w:ascii="Calibri" w:hAnsi="Calibri" w:cs="Calibri"/>
          <w:rtl/>
        </w:rPr>
        <w:t xml:space="preserve"> 2025</w:t>
      </w:r>
    </w:p>
    <w:p w:rsidR="00202530" w:rsidRPr="00202530" w:rsidRDefault="00202530" w:rsidP="00202530">
      <w:pPr>
        <w:pStyle w:val="11"/>
        <w:rPr>
          <w:rFonts w:ascii="Calibri" w:hAnsi="Calibri" w:cs="Calibri"/>
        </w:rPr>
      </w:pPr>
      <w:r w:rsidRPr="00202530">
        <w:rPr>
          <w:rFonts w:ascii="Calibri" w:hAnsi="Calibri" w:cs="Calibri"/>
          <w:rtl/>
        </w:rPr>
        <w:t>תמצית</w:t>
      </w:r>
    </w:p>
    <w:p w:rsidR="00202296" w:rsidRPr="00F5450F" w:rsidRDefault="00202296" w:rsidP="001B1B76">
      <w:pPr>
        <w:spacing w:after="120"/>
        <w:jc w:val="both"/>
        <w:rPr>
          <w:rFonts w:eastAsia="Calibri"/>
          <w:rtl/>
        </w:rPr>
      </w:pPr>
      <w:r w:rsidRPr="00202296">
        <w:rPr>
          <w:rFonts w:eastAsia="Calibri"/>
          <w:rtl/>
        </w:rPr>
        <w:t xml:space="preserve">מסמך זה מציג את התחזית המקרו-כלכלית שחטיבת המחקר בבנק </w:t>
      </w:r>
      <w:r w:rsidRPr="00F5450F">
        <w:rPr>
          <w:rFonts w:eastAsia="Calibri"/>
          <w:rtl/>
        </w:rPr>
        <w:t>ישראל גיבשה ב</w:t>
      </w:r>
      <w:r w:rsidR="00511EF6" w:rsidRPr="00F5450F">
        <w:rPr>
          <w:rFonts w:eastAsia="Calibri" w:hint="cs"/>
          <w:rtl/>
        </w:rPr>
        <w:t>יולי</w:t>
      </w:r>
      <w:r w:rsidRPr="00F5450F">
        <w:rPr>
          <w:rFonts w:eastAsia="Calibri"/>
          <w:rtl/>
        </w:rPr>
        <w:t xml:space="preserve"> 2025 בנוגע למשתני המקרו העיקריים – התוצר, האינפלציה והריבית</w:t>
      </w:r>
      <w:r w:rsidR="00202530" w:rsidRPr="00F5450F">
        <w:rPr>
          <w:rFonts w:eastAsia="Calibri"/>
          <w:rtl/>
        </w:rPr>
        <w:t>.</w:t>
      </w:r>
      <w:r w:rsidR="00202530" w:rsidRPr="00F5450F">
        <w:rPr>
          <w:rFonts w:eastAsia="Calibri"/>
          <w:vertAlign w:val="superscript"/>
          <w:rtl/>
        </w:rPr>
        <w:footnoteReference w:id="1"/>
      </w:r>
      <w:r w:rsidR="00202530" w:rsidRPr="00F5450F">
        <w:rPr>
          <w:rFonts w:eastAsia="Calibri"/>
          <w:rtl/>
        </w:rPr>
        <w:t xml:space="preserve"> </w:t>
      </w:r>
      <w:r w:rsidRPr="00F5450F">
        <w:rPr>
          <w:rFonts w:eastAsia="Calibri"/>
          <w:rtl/>
        </w:rPr>
        <w:t>על פי התחזית, התוצר צפוי לצמוח בשנת 2025 ב-</w:t>
      </w:r>
      <w:r w:rsidR="00D25954" w:rsidRPr="00F5450F">
        <w:rPr>
          <w:rFonts w:eastAsia="Calibri" w:hint="cs"/>
          <w:rtl/>
        </w:rPr>
        <w:t>3.</w:t>
      </w:r>
      <w:r w:rsidR="001B1B76">
        <w:rPr>
          <w:rFonts w:eastAsia="Calibri" w:hint="cs"/>
          <w:rtl/>
        </w:rPr>
        <w:t>3</w:t>
      </w:r>
      <w:r w:rsidRPr="00F5450F">
        <w:rPr>
          <w:rFonts w:eastAsia="Calibri"/>
          <w:rtl/>
        </w:rPr>
        <w:t>% וב-2026 ב-4.</w:t>
      </w:r>
      <w:r w:rsidR="001B1B76">
        <w:rPr>
          <w:rFonts w:eastAsia="Calibri" w:hint="cs"/>
          <w:rtl/>
        </w:rPr>
        <w:t>6</w:t>
      </w:r>
      <w:r w:rsidRPr="00F5450F">
        <w:rPr>
          <w:rFonts w:eastAsia="Calibri"/>
          <w:rtl/>
        </w:rPr>
        <w:t>%. שיעור האינפלציה בארבעת הרבעונים הקרובים (המסתיימים ברבעון ה</w:t>
      </w:r>
      <w:r w:rsidR="00DB0C06" w:rsidRPr="00F5450F">
        <w:rPr>
          <w:rFonts w:eastAsia="Calibri" w:hint="cs"/>
          <w:rtl/>
        </w:rPr>
        <w:t xml:space="preserve">שני </w:t>
      </w:r>
      <w:r w:rsidRPr="00F5450F">
        <w:rPr>
          <w:rFonts w:eastAsia="Calibri"/>
          <w:rtl/>
        </w:rPr>
        <w:t>של שנת 2026) צפוי לעמוד על 2.</w:t>
      </w:r>
      <w:r w:rsidR="000D6E8A" w:rsidRPr="00F5450F">
        <w:rPr>
          <w:rFonts w:eastAsia="Calibri" w:hint="cs"/>
          <w:rtl/>
        </w:rPr>
        <w:t>2</w:t>
      </w:r>
      <w:r w:rsidRPr="00F5450F">
        <w:rPr>
          <w:rFonts w:eastAsia="Calibri"/>
          <w:rtl/>
        </w:rPr>
        <w:t>%. במהלך שנת 2025 הוא צפוי לעמוד על 2.</w:t>
      </w:r>
      <w:r w:rsidR="00C51BFB">
        <w:rPr>
          <w:rFonts w:eastAsia="Calibri" w:hint="cs"/>
          <w:rtl/>
        </w:rPr>
        <w:t>6</w:t>
      </w:r>
      <w:r w:rsidRPr="00F5450F">
        <w:rPr>
          <w:rFonts w:eastAsia="Calibri"/>
          <w:rtl/>
        </w:rPr>
        <w:t>% ובמהלך שנת 2026 על 2.</w:t>
      </w:r>
      <w:r w:rsidR="001C17B4" w:rsidRPr="00F5450F">
        <w:rPr>
          <w:rFonts w:eastAsia="Calibri" w:hint="cs"/>
          <w:rtl/>
        </w:rPr>
        <w:t>0</w:t>
      </w:r>
      <w:r w:rsidRPr="00F5450F">
        <w:rPr>
          <w:rFonts w:eastAsia="Calibri"/>
          <w:rtl/>
        </w:rPr>
        <w:t xml:space="preserve">%. הריבית </w:t>
      </w:r>
      <w:r w:rsidR="00506B9C" w:rsidRPr="00F5450F">
        <w:rPr>
          <w:rFonts w:eastAsia="Calibri" w:hint="cs"/>
          <w:rtl/>
        </w:rPr>
        <w:t xml:space="preserve">הממוצעת </w:t>
      </w:r>
      <w:r w:rsidRPr="00F5450F">
        <w:rPr>
          <w:rFonts w:eastAsia="Calibri"/>
          <w:rtl/>
        </w:rPr>
        <w:t xml:space="preserve">ברבעון </w:t>
      </w:r>
      <w:r w:rsidR="008A2F6F" w:rsidRPr="00F5450F">
        <w:rPr>
          <w:rFonts w:eastAsia="Calibri" w:hint="cs"/>
          <w:rtl/>
        </w:rPr>
        <w:t xml:space="preserve">השני </w:t>
      </w:r>
      <w:r w:rsidRPr="00F5450F">
        <w:rPr>
          <w:rFonts w:eastAsia="Calibri"/>
          <w:rtl/>
        </w:rPr>
        <w:t xml:space="preserve">של 2026 צפויה לעמוד על </w:t>
      </w:r>
      <w:r w:rsidR="00F850EC">
        <w:rPr>
          <w:rFonts w:eastAsia="Calibri" w:hint="cs"/>
          <w:rtl/>
        </w:rPr>
        <w:t>3</w:t>
      </w:r>
      <w:r w:rsidRPr="00F5450F">
        <w:rPr>
          <w:rFonts w:eastAsia="Calibri"/>
          <w:rtl/>
        </w:rPr>
        <w:t>.</w:t>
      </w:r>
      <w:r w:rsidR="00F850EC">
        <w:rPr>
          <w:rFonts w:eastAsia="Calibri" w:hint="cs"/>
          <w:rtl/>
        </w:rPr>
        <w:t>75</w:t>
      </w:r>
      <w:r w:rsidRPr="00F5450F">
        <w:rPr>
          <w:rFonts w:eastAsia="Calibri"/>
          <w:rtl/>
        </w:rPr>
        <w:t xml:space="preserve">%. </w:t>
      </w:r>
    </w:p>
    <w:p w:rsidR="00202530" w:rsidRPr="00202530" w:rsidRDefault="00202296" w:rsidP="00691705">
      <w:pPr>
        <w:spacing w:after="120"/>
        <w:jc w:val="both"/>
        <w:rPr>
          <w:rFonts w:eastAsia="Calibri"/>
          <w:rtl/>
        </w:rPr>
      </w:pPr>
      <w:r w:rsidRPr="00F5450F">
        <w:rPr>
          <w:rFonts w:eastAsia="Calibri"/>
          <w:rtl/>
        </w:rPr>
        <w:t xml:space="preserve">התחזית גובשה </w:t>
      </w:r>
      <w:r w:rsidR="006D05DE" w:rsidRPr="00F5450F">
        <w:rPr>
          <w:rFonts w:eastAsia="Calibri" w:hint="cs"/>
          <w:rtl/>
        </w:rPr>
        <w:t xml:space="preserve">לאחר </w:t>
      </w:r>
      <w:r w:rsidR="00AF0AC8" w:rsidRPr="00F5450F">
        <w:rPr>
          <w:rFonts w:eastAsia="Calibri" w:hint="cs"/>
          <w:rtl/>
        </w:rPr>
        <w:t>שהוכרזה הפסקת האש ב</w:t>
      </w:r>
      <w:r w:rsidR="00BD08AF">
        <w:rPr>
          <w:rFonts w:eastAsia="Calibri" w:hint="cs"/>
          <w:rtl/>
        </w:rPr>
        <w:t xml:space="preserve">תום </w:t>
      </w:r>
      <w:r w:rsidR="00AF0AC8" w:rsidRPr="00F5450F">
        <w:rPr>
          <w:rFonts w:eastAsia="Calibri" w:hint="cs"/>
          <w:rtl/>
        </w:rPr>
        <w:t xml:space="preserve">מבצע </w:t>
      </w:r>
      <w:r w:rsidR="008F1747" w:rsidRPr="00F5450F">
        <w:rPr>
          <w:rFonts w:eastAsia="Calibri" w:hint="cs"/>
          <w:rtl/>
        </w:rPr>
        <w:t>"</w:t>
      </w:r>
      <w:r w:rsidR="006D05DE" w:rsidRPr="00F5450F">
        <w:rPr>
          <w:rFonts w:eastAsia="Calibri" w:hint="cs"/>
          <w:rtl/>
        </w:rPr>
        <w:t>עם כלביא</w:t>
      </w:r>
      <w:r w:rsidR="008F1747" w:rsidRPr="00F5450F">
        <w:rPr>
          <w:rFonts w:eastAsia="Calibri" w:hint="cs"/>
          <w:rtl/>
        </w:rPr>
        <w:t>"</w:t>
      </w:r>
      <w:r w:rsidR="00AF0AC8" w:rsidRPr="00F5450F">
        <w:rPr>
          <w:rFonts w:eastAsia="Calibri" w:hint="cs"/>
          <w:rtl/>
        </w:rPr>
        <w:t>, ובהנחה שהיא תישמר</w:t>
      </w:r>
      <w:r w:rsidR="003E6071" w:rsidRPr="00F5450F">
        <w:rPr>
          <w:rFonts w:eastAsia="Calibri" w:hint="cs"/>
          <w:rtl/>
        </w:rPr>
        <w:t>.</w:t>
      </w:r>
      <w:r w:rsidR="006D05DE" w:rsidRPr="00F5450F">
        <w:rPr>
          <w:rFonts w:eastAsia="Calibri" w:hint="cs"/>
          <w:rtl/>
        </w:rPr>
        <w:t xml:space="preserve"> למבצע </w:t>
      </w:r>
      <w:r w:rsidR="00AF0AC8" w:rsidRPr="00F5450F">
        <w:rPr>
          <w:rFonts w:eastAsia="Calibri" w:hint="cs"/>
          <w:rtl/>
        </w:rPr>
        <w:t>"</w:t>
      </w:r>
      <w:r w:rsidR="008E4239" w:rsidRPr="00F5450F">
        <w:rPr>
          <w:rFonts w:eastAsia="Calibri" w:hint="cs"/>
          <w:rtl/>
        </w:rPr>
        <w:t>עם כלביא</w:t>
      </w:r>
      <w:r w:rsidR="00AF0AC8">
        <w:rPr>
          <w:rFonts w:eastAsia="Calibri" w:hint="cs"/>
          <w:rtl/>
        </w:rPr>
        <w:t>"</w:t>
      </w:r>
      <w:r w:rsidR="008E4239">
        <w:rPr>
          <w:rFonts w:eastAsia="Calibri" w:hint="cs"/>
          <w:rtl/>
        </w:rPr>
        <w:t xml:space="preserve"> </w:t>
      </w:r>
      <w:r w:rsidR="006D05DE">
        <w:rPr>
          <w:rFonts w:eastAsia="Calibri" w:hint="cs"/>
          <w:rtl/>
        </w:rPr>
        <w:t>יש השפעה על ה</w:t>
      </w:r>
      <w:r w:rsidR="008E4239">
        <w:rPr>
          <w:rFonts w:eastAsia="Calibri" w:hint="cs"/>
          <w:rtl/>
        </w:rPr>
        <w:t>תחזית</w:t>
      </w:r>
      <w:r w:rsidR="007C799B">
        <w:rPr>
          <w:rFonts w:eastAsia="Calibri" w:hint="cs"/>
          <w:rtl/>
        </w:rPr>
        <w:t>,</w:t>
      </w:r>
      <w:r w:rsidR="00AF0AC8">
        <w:rPr>
          <w:rFonts w:eastAsia="Calibri" w:hint="cs"/>
          <w:rtl/>
        </w:rPr>
        <w:t xml:space="preserve"> </w:t>
      </w:r>
      <w:r w:rsidR="007C799B">
        <w:rPr>
          <w:rFonts w:eastAsia="Calibri" w:hint="cs"/>
          <w:rtl/>
        </w:rPr>
        <w:t xml:space="preserve">הן </w:t>
      </w:r>
      <w:r w:rsidR="00AF0AC8">
        <w:rPr>
          <w:rFonts w:eastAsia="Calibri" w:hint="cs"/>
          <w:rtl/>
        </w:rPr>
        <w:t>בשל ההשפעה הכלכלית שהיתה לו בעת</w:t>
      </w:r>
      <w:r w:rsidR="008E4239">
        <w:rPr>
          <w:rFonts w:eastAsia="Calibri" w:hint="cs"/>
          <w:rtl/>
        </w:rPr>
        <w:t xml:space="preserve"> </w:t>
      </w:r>
      <w:r w:rsidR="008E4239" w:rsidRPr="007D71C7">
        <w:rPr>
          <w:rFonts w:eastAsia="Calibri" w:hint="cs"/>
          <w:rtl/>
        </w:rPr>
        <w:t>התרחשותו והן ביחס לתחזית קדימה</w:t>
      </w:r>
      <w:r w:rsidR="006D05DE" w:rsidRPr="007D71C7">
        <w:rPr>
          <w:rFonts w:eastAsia="Calibri" w:hint="cs"/>
          <w:rtl/>
        </w:rPr>
        <w:t xml:space="preserve">. </w:t>
      </w:r>
      <w:r w:rsidR="003427EC" w:rsidRPr="007D71C7">
        <w:rPr>
          <w:rFonts w:eastAsia="Calibri" w:hint="cs"/>
          <w:rtl/>
        </w:rPr>
        <w:t>ב</w:t>
      </w:r>
      <w:r w:rsidR="003427EC">
        <w:rPr>
          <w:rFonts w:eastAsia="Calibri" w:hint="cs"/>
          <w:rtl/>
        </w:rPr>
        <w:t>אשר</w:t>
      </w:r>
      <w:r w:rsidR="003427EC" w:rsidRPr="007D71C7">
        <w:rPr>
          <w:rFonts w:eastAsia="Calibri" w:hint="cs"/>
          <w:rtl/>
        </w:rPr>
        <w:t xml:space="preserve"> </w:t>
      </w:r>
      <w:r w:rsidR="00311346" w:rsidRPr="007D71C7">
        <w:rPr>
          <w:rFonts w:eastAsia="Calibri" w:hint="cs"/>
          <w:rtl/>
        </w:rPr>
        <w:t xml:space="preserve">ללחימה בעזה, התחזית גובשה תחת ההנחה </w:t>
      </w:r>
      <w:r w:rsidR="003427EC" w:rsidRPr="007D71C7">
        <w:rPr>
          <w:rFonts w:eastAsia="Calibri" w:hint="cs"/>
          <w:rtl/>
        </w:rPr>
        <w:t>ש</w:t>
      </w:r>
      <w:r w:rsidR="003427EC">
        <w:rPr>
          <w:rFonts w:eastAsia="Calibri" w:hint="cs"/>
          <w:rtl/>
        </w:rPr>
        <w:t>ההסכם הנידון כעת להפסקת אש</w:t>
      </w:r>
      <w:r w:rsidR="003427EC" w:rsidRPr="007D71C7">
        <w:rPr>
          <w:rFonts w:eastAsia="Calibri" w:hint="cs"/>
          <w:rtl/>
        </w:rPr>
        <w:t xml:space="preserve"> </w:t>
      </w:r>
      <w:r w:rsidR="00B932B6" w:rsidRPr="007D71C7">
        <w:rPr>
          <w:rFonts w:eastAsia="Calibri" w:hint="cs"/>
          <w:rtl/>
        </w:rPr>
        <w:t xml:space="preserve">בעזה </w:t>
      </w:r>
      <w:r w:rsidR="003427EC">
        <w:rPr>
          <w:rFonts w:eastAsia="Calibri" w:hint="cs"/>
          <w:rtl/>
        </w:rPr>
        <w:t>י</w:t>
      </w:r>
      <w:r w:rsidR="003427EC" w:rsidRPr="007D71C7">
        <w:rPr>
          <w:rFonts w:eastAsia="Calibri" w:hint="cs"/>
          <w:rtl/>
        </w:rPr>
        <w:t xml:space="preserve">ביא </w:t>
      </w:r>
      <w:r w:rsidR="00B932B6" w:rsidRPr="007D71C7">
        <w:rPr>
          <w:rFonts w:eastAsia="Calibri" w:hint="cs"/>
          <w:rtl/>
        </w:rPr>
        <w:t>לכך ש</w:t>
      </w:r>
      <w:r w:rsidR="00C77277" w:rsidRPr="007D71C7">
        <w:rPr>
          <w:rFonts w:eastAsia="Calibri" w:hint="cs"/>
          <w:rtl/>
        </w:rPr>
        <w:t>ב</w:t>
      </w:r>
      <w:r w:rsidR="00B932B6" w:rsidRPr="007D71C7">
        <w:rPr>
          <w:rFonts w:eastAsia="Calibri" w:hint="cs"/>
          <w:rtl/>
        </w:rPr>
        <w:t>אופק התחזית</w:t>
      </w:r>
      <w:r w:rsidR="00C77277" w:rsidRPr="007D71C7">
        <w:rPr>
          <w:rFonts w:eastAsia="Calibri" w:hint="cs"/>
          <w:rtl/>
        </w:rPr>
        <w:t>, החל מחודש יולי,</w:t>
      </w:r>
      <w:r w:rsidR="00B932B6" w:rsidRPr="007D71C7">
        <w:rPr>
          <w:rFonts w:eastAsia="Calibri" w:hint="cs"/>
          <w:rtl/>
        </w:rPr>
        <w:t xml:space="preserve"> לא תהיה בעזה לחימה </w:t>
      </w:r>
      <w:r w:rsidR="00614913">
        <w:rPr>
          <w:rFonts w:eastAsia="Calibri" w:hint="cs"/>
          <w:rtl/>
        </w:rPr>
        <w:t>עצימה</w:t>
      </w:r>
      <w:r w:rsidRPr="007D71C7">
        <w:rPr>
          <w:rFonts w:eastAsia="Calibri"/>
          <w:rtl/>
        </w:rPr>
        <w:t xml:space="preserve">. </w:t>
      </w:r>
      <w:r w:rsidR="00691705">
        <w:rPr>
          <w:rFonts w:eastAsia="Calibri" w:hint="cs"/>
          <w:rtl/>
        </w:rPr>
        <w:t>בהשוואה לתחזית אפריל, התחזית הנוכחית משקפת התמתנות מסוימת של ההערכות לגבי השפעת מכסי הייבוא עליהם הודיעה ארה"ב באפריל.</w:t>
      </w:r>
      <w:r w:rsidR="00691705" w:rsidRPr="007D71C7">
        <w:rPr>
          <w:rFonts w:eastAsia="Calibri"/>
          <w:rtl/>
        </w:rPr>
        <w:t xml:space="preserve"> </w:t>
      </w:r>
      <w:r w:rsidR="004219BF" w:rsidRPr="007D71C7">
        <w:rPr>
          <w:rFonts w:eastAsia="Calibri"/>
          <w:rtl/>
        </w:rPr>
        <w:t xml:space="preserve">התחזית </w:t>
      </w:r>
      <w:r w:rsidR="004219BF" w:rsidRPr="00D25954">
        <w:rPr>
          <w:rFonts w:eastAsia="Calibri"/>
          <w:rtl/>
        </w:rPr>
        <w:t>מאופיינת ברמה גבוהה במיוחד של אי</w:t>
      </w:r>
      <w:r w:rsidR="004219BF">
        <w:rPr>
          <w:rFonts w:eastAsia="Calibri" w:hint="cs"/>
          <w:rtl/>
        </w:rPr>
        <w:t>-</w:t>
      </w:r>
      <w:r w:rsidR="004219BF" w:rsidRPr="00D25954">
        <w:rPr>
          <w:rFonts w:eastAsia="Calibri"/>
          <w:rtl/>
        </w:rPr>
        <w:t>ודאות</w:t>
      </w:r>
      <w:r w:rsidR="00F256A3">
        <w:rPr>
          <w:rFonts w:eastAsia="Calibri" w:hint="cs"/>
          <w:rtl/>
        </w:rPr>
        <w:t>,</w:t>
      </w:r>
      <w:r w:rsidR="0099396B">
        <w:rPr>
          <w:rFonts w:eastAsia="Calibri" w:hint="cs"/>
          <w:rtl/>
        </w:rPr>
        <w:t xml:space="preserve"> עם אפשרויות חיוביות ושליליות,</w:t>
      </w:r>
      <w:r w:rsidR="00F256A3">
        <w:rPr>
          <w:rFonts w:eastAsia="Calibri" w:hint="cs"/>
          <w:rtl/>
        </w:rPr>
        <w:t xml:space="preserve"> הן</w:t>
      </w:r>
      <w:r w:rsidR="004219BF">
        <w:rPr>
          <w:rFonts w:eastAsia="Calibri" w:hint="cs"/>
          <w:rtl/>
        </w:rPr>
        <w:t xml:space="preserve"> ב</w:t>
      </w:r>
      <w:r w:rsidR="00F256A3">
        <w:rPr>
          <w:rFonts w:eastAsia="Calibri" w:hint="cs"/>
          <w:rtl/>
        </w:rPr>
        <w:t xml:space="preserve">תחום </w:t>
      </w:r>
      <w:r w:rsidR="004219BF">
        <w:rPr>
          <w:rFonts w:eastAsia="Calibri" w:hint="cs"/>
          <w:rtl/>
        </w:rPr>
        <w:t>הגיאופוליטי</w:t>
      </w:r>
      <w:r w:rsidR="00F256A3">
        <w:rPr>
          <w:rFonts w:eastAsia="Calibri" w:hint="cs"/>
          <w:rtl/>
        </w:rPr>
        <w:t xml:space="preserve"> </w:t>
      </w:r>
      <w:r w:rsidR="00F256A3" w:rsidRPr="00F256A3">
        <w:rPr>
          <w:rFonts w:eastAsia="Calibri"/>
          <w:rtl/>
        </w:rPr>
        <w:t>והן בהקשר של תכנית המכסים של הממשל האמריקאי</w:t>
      </w:r>
      <w:r w:rsidR="004B6BEF">
        <w:rPr>
          <w:rFonts w:eastAsia="Calibri" w:hint="cs"/>
          <w:rtl/>
        </w:rPr>
        <w:t>.</w:t>
      </w:r>
      <w:r w:rsidR="007C799B">
        <w:rPr>
          <w:rFonts w:eastAsia="Calibri" w:hint="cs"/>
          <w:rtl/>
        </w:rPr>
        <w:t xml:space="preserve"> בשלב זה קיימת גם אי-ודאות ניכרת לגבי החלטות הממשלה בנוגע לתקציב המדינה בשנים 2025 ו-2026, והתחזית מתבססת על הערכות והנחות עבודה שגובשו בחטיבת המחקר לגבי ההחלטות שיתקבלו.</w:t>
      </w:r>
    </w:p>
    <w:p w:rsidR="00202530" w:rsidRPr="00202530" w:rsidRDefault="00202530" w:rsidP="00202530">
      <w:pPr>
        <w:pStyle w:val="11"/>
        <w:rPr>
          <w:rFonts w:ascii="Calibri" w:hAnsi="Calibri" w:cs="Calibri"/>
          <w:rtl/>
        </w:rPr>
      </w:pPr>
      <w:r w:rsidRPr="00202530">
        <w:rPr>
          <w:rFonts w:ascii="Calibri" w:hAnsi="Calibri" w:cs="Calibri"/>
          <w:rtl/>
        </w:rPr>
        <w:t>התחזית</w:t>
      </w:r>
    </w:p>
    <w:p w:rsidR="00202530" w:rsidRPr="00202530" w:rsidRDefault="00202296" w:rsidP="004151DC">
      <w:pPr>
        <w:spacing w:after="120"/>
        <w:jc w:val="both"/>
        <w:rPr>
          <w:rFonts w:eastAsia="Calibri"/>
        </w:rPr>
      </w:pPr>
      <w:r w:rsidRPr="00202296">
        <w:rPr>
          <w:rFonts w:eastAsia="Calibri"/>
          <w:rtl/>
        </w:rPr>
        <w:t>חטיבת המחקר של בנק ישראל עורכת בכל רבעון תחזית מקרו-כלכלית שמתבססת על מספר מודלים, על מקורות מידע שונים ועל הערכות שיפוטיות. בתהליך זה יש תפקיד מרכזי למודל ה-</w:t>
      </w:r>
      <w:r w:rsidRPr="00202296">
        <w:rPr>
          <w:rFonts w:eastAsia="Calibri"/>
        </w:rPr>
        <w:t>DSGE (Dynamic Stochastic General Equilibrium)</w:t>
      </w:r>
      <w:r w:rsidRPr="00202296">
        <w:rPr>
          <w:rFonts w:eastAsia="Calibri"/>
          <w:rtl/>
        </w:rPr>
        <w:t xml:space="preserve"> שפותח בחטיבת המחקר – מודל מבני שמבוסס על יסודות מיקרו-כלכליים. המודל מספק מסגרת לניתוח הכוחות המשפיעים על </w:t>
      </w:r>
      <w:r w:rsidR="004E4506">
        <w:rPr>
          <w:rFonts w:eastAsia="Calibri" w:hint="cs"/>
          <w:rtl/>
        </w:rPr>
        <w:t>המשק</w:t>
      </w:r>
      <w:r w:rsidR="004E4506" w:rsidRPr="00202296">
        <w:rPr>
          <w:rFonts w:eastAsia="Calibri"/>
          <w:rtl/>
        </w:rPr>
        <w:t xml:space="preserve"> </w:t>
      </w:r>
      <w:r w:rsidRPr="00202296">
        <w:rPr>
          <w:rFonts w:eastAsia="Calibri"/>
          <w:rtl/>
        </w:rPr>
        <w:t>והוא מאפשר לגבש את המידע מהמקורות השונים לכדי תחזית מקרו-כלכלית למשתנים ריאליים ונומינליים, המתאפיינת בעקביות פנימית ובסיפור כלכלי.</w:t>
      </w:r>
      <w:r w:rsidR="00202530" w:rsidRPr="00202530">
        <w:rPr>
          <w:rFonts w:eastAsia="Calibri"/>
          <w:rtl/>
        </w:rPr>
        <w:t xml:space="preserve"> </w:t>
      </w:r>
    </w:p>
    <w:p w:rsidR="00202530" w:rsidRPr="00153AEE" w:rsidRDefault="00202530" w:rsidP="00153AEE">
      <w:pPr>
        <w:pStyle w:val="a"/>
        <w:rPr>
          <w:rtl/>
        </w:rPr>
      </w:pPr>
      <w:r w:rsidRPr="00153AEE">
        <w:rPr>
          <w:rtl/>
        </w:rPr>
        <w:t>הסביבה העולמית</w:t>
      </w:r>
    </w:p>
    <w:p w:rsidR="00A37310" w:rsidRDefault="00202296" w:rsidP="009E3BA6">
      <w:pPr>
        <w:spacing w:after="360"/>
        <w:jc w:val="both"/>
        <w:rPr>
          <w:rFonts w:eastAsia="Calibri"/>
        </w:rPr>
      </w:pPr>
      <w:bookmarkStart w:id="1" w:name="_Hlk202427660"/>
      <w:r w:rsidRPr="00FE6161">
        <w:rPr>
          <w:rFonts w:eastAsia="Calibri"/>
          <w:rtl/>
        </w:rPr>
        <w:t>הערכותינו לגבי ההתפתחויות בסביבה העולמית מתבססות בעיקרן על התחזיות שמגבשים מוסדות בין-לאומיים ובתי השקעות זרים</w:t>
      </w:r>
      <w:r w:rsidRPr="00FE6161">
        <w:rPr>
          <w:rFonts w:eastAsia="Calibri"/>
          <w:color w:val="000000" w:themeColor="text1"/>
          <w:rtl/>
        </w:rPr>
        <w:t xml:space="preserve">. </w:t>
      </w:r>
      <w:r w:rsidRPr="00FE6161">
        <w:rPr>
          <w:rFonts w:eastAsia="Calibri"/>
          <w:rtl/>
        </w:rPr>
        <w:t xml:space="preserve">בהתאם, אנו מניחים כי האינפלציה במדינות המפותחות תעמוד על </w:t>
      </w:r>
      <w:r w:rsidR="00C73A6E" w:rsidRPr="00FE6161">
        <w:rPr>
          <w:rFonts w:eastAsia="Calibri" w:hint="cs"/>
          <w:rtl/>
        </w:rPr>
        <w:t>2</w:t>
      </w:r>
      <w:r w:rsidR="006119E5" w:rsidRPr="00FE6161">
        <w:rPr>
          <w:rFonts w:eastAsia="Calibri" w:hint="cs"/>
          <w:rtl/>
        </w:rPr>
        <w:t>.</w:t>
      </w:r>
      <w:r w:rsidR="00C73A6E" w:rsidRPr="00FE6161">
        <w:rPr>
          <w:rFonts w:eastAsia="Calibri" w:hint="cs"/>
          <w:rtl/>
        </w:rPr>
        <w:t>6</w:t>
      </w:r>
      <w:r w:rsidRPr="00FE6161">
        <w:rPr>
          <w:rFonts w:eastAsia="Calibri"/>
          <w:rtl/>
        </w:rPr>
        <w:t>% ו-</w:t>
      </w:r>
      <w:r w:rsidR="00C73A6E" w:rsidRPr="00FE6161">
        <w:rPr>
          <w:rFonts w:eastAsia="Calibri" w:hint="cs"/>
          <w:rtl/>
        </w:rPr>
        <w:t>2</w:t>
      </w:r>
      <w:r w:rsidR="006119E5" w:rsidRPr="00FE6161">
        <w:rPr>
          <w:rFonts w:eastAsia="Calibri" w:hint="cs"/>
          <w:rtl/>
        </w:rPr>
        <w:t>.</w:t>
      </w:r>
      <w:r w:rsidR="00C73A6E" w:rsidRPr="00FE6161">
        <w:rPr>
          <w:rFonts w:eastAsia="Calibri" w:hint="cs"/>
          <w:rtl/>
        </w:rPr>
        <w:t>2</w:t>
      </w:r>
      <w:r w:rsidR="00BA4A5C">
        <w:rPr>
          <w:rFonts w:eastAsia="Calibri"/>
          <w:rtl/>
        </w:rPr>
        <w:t>% בשנים 2025 ו-2026, בהתאמה</w:t>
      </w:r>
      <w:r w:rsidRPr="00FE6161">
        <w:rPr>
          <w:rFonts w:eastAsia="Calibri"/>
          <w:rtl/>
        </w:rPr>
        <w:t xml:space="preserve"> (לעומת </w:t>
      </w:r>
      <w:r w:rsidR="00C73A6E" w:rsidRPr="00FE6161">
        <w:rPr>
          <w:rFonts w:eastAsia="Calibri" w:hint="cs"/>
          <w:rtl/>
        </w:rPr>
        <w:t>3</w:t>
      </w:r>
      <w:r w:rsidRPr="00FE6161">
        <w:rPr>
          <w:rFonts w:eastAsia="Calibri"/>
          <w:rtl/>
        </w:rPr>
        <w:t>.</w:t>
      </w:r>
      <w:r w:rsidR="00C73A6E" w:rsidRPr="00FE6161">
        <w:rPr>
          <w:rFonts w:eastAsia="Calibri" w:hint="cs"/>
          <w:rtl/>
        </w:rPr>
        <w:t>2</w:t>
      </w:r>
      <w:r w:rsidRPr="00FE6161">
        <w:rPr>
          <w:rFonts w:eastAsia="Calibri"/>
          <w:rtl/>
        </w:rPr>
        <w:t>% ו-</w:t>
      </w:r>
      <w:r w:rsidR="00C73A6E" w:rsidRPr="00FE6161">
        <w:rPr>
          <w:rFonts w:eastAsia="Calibri" w:hint="cs"/>
          <w:rtl/>
        </w:rPr>
        <w:t>3</w:t>
      </w:r>
      <w:r w:rsidRPr="00FE6161">
        <w:rPr>
          <w:rFonts w:eastAsia="Calibri"/>
          <w:rtl/>
        </w:rPr>
        <w:t>.</w:t>
      </w:r>
      <w:r w:rsidR="00C73A6E" w:rsidRPr="00FE6161">
        <w:rPr>
          <w:rFonts w:eastAsia="Calibri" w:hint="cs"/>
          <w:rtl/>
        </w:rPr>
        <w:t>1</w:t>
      </w:r>
      <w:r w:rsidRPr="00FE6161">
        <w:rPr>
          <w:rFonts w:eastAsia="Calibri"/>
          <w:rtl/>
        </w:rPr>
        <w:t xml:space="preserve">% בתחזית </w:t>
      </w:r>
      <w:r w:rsidR="004151DC" w:rsidRPr="00FE6161">
        <w:rPr>
          <w:rFonts w:eastAsia="Calibri" w:hint="cs"/>
          <w:rtl/>
        </w:rPr>
        <w:t>אפריל</w:t>
      </w:r>
      <w:r w:rsidRPr="00FE6161">
        <w:rPr>
          <w:rFonts w:eastAsia="Calibri"/>
          <w:rtl/>
        </w:rPr>
        <w:t xml:space="preserve">), התוצר </w:t>
      </w:r>
      <w:r w:rsidR="00496BE1" w:rsidRPr="00FE6161">
        <w:rPr>
          <w:rFonts w:eastAsia="Calibri" w:hint="cs"/>
          <w:rtl/>
        </w:rPr>
        <w:t xml:space="preserve">של מדינות אלו </w:t>
      </w:r>
      <w:r w:rsidRPr="00FE6161">
        <w:rPr>
          <w:rFonts w:eastAsia="Calibri"/>
          <w:rtl/>
        </w:rPr>
        <w:t>יצמח בשיעורים של 1.</w:t>
      </w:r>
      <w:r w:rsidR="00C73A6E" w:rsidRPr="00FE6161">
        <w:rPr>
          <w:rFonts w:eastAsia="Calibri" w:hint="cs"/>
          <w:rtl/>
        </w:rPr>
        <w:t>2</w:t>
      </w:r>
      <w:r w:rsidRPr="00FE6161">
        <w:rPr>
          <w:rFonts w:eastAsia="Calibri"/>
          <w:rtl/>
        </w:rPr>
        <w:t>% ו-1.</w:t>
      </w:r>
      <w:r w:rsidR="00C73A6E" w:rsidRPr="00FE6161">
        <w:rPr>
          <w:rFonts w:eastAsia="Calibri" w:hint="cs"/>
          <w:rtl/>
        </w:rPr>
        <w:t>3</w:t>
      </w:r>
      <w:r w:rsidRPr="00FE6161">
        <w:rPr>
          <w:rFonts w:eastAsia="Calibri"/>
          <w:rtl/>
        </w:rPr>
        <w:t>% באותן שנים (בהשוואה ל-1.</w:t>
      </w:r>
      <w:r w:rsidR="00C73A6E" w:rsidRPr="00FE6161">
        <w:rPr>
          <w:rFonts w:eastAsia="Calibri" w:hint="cs"/>
          <w:rtl/>
        </w:rPr>
        <w:t>0</w:t>
      </w:r>
      <w:r w:rsidRPr="00FE6161">
        <w:rPr>
          <w:rFonts w:eastAsia="Calibri"/>
          <w:rtl/>
        </w:rPr>
        <w:t>% ו-1.</w:t>
      </w:r>
      <w:r w:rsidR="00C73A6E" w:rsidRPr="00FE6161">
        <w:rPr>
          <w:rFonts w:eastAsia="Calibri" w:hint="cs"/>
          <w:rtl/>
        </w:rPr>
        <w:t>2</w:t>
      </w:r>
      <w:r w:rsidRPr="00FE6161">
        <w:rPr>
          <w:rFonts w:eastAsia="Calibri"/>
          <w:rtl/>
        </w:rPr>
        <w:t xml:space="preserve">% בתחזית </w:t>
      </w:r>
      <w:r w:rsidR="004151DC" w:rsidRPr="00FE6161">
        <w:rPr>
          <w:rFonts w:eastAsia="Calibri" w:hint="cs"/>
          <w:rtl/>
        </w:rPr>
        <w:t>אפריל</w:t>
      </w:r>
      <w:r w:rsidRPr="00FE6161">
        <w:rPr>
          <w:rFonts w:eastAsia="Calibri"/>
          <w:rtl/>
        </w:rPr>
        <w:t>) והריבית תעמוד על 3.</w:t>
      </w:r>
      <w:r w:rsidR="006119E5" w:rsidRPr="00FE6161">
        <w:rPr>
          <w:rFonts w:eastAsia="Calibri" w:hint="cs"/>
          <w:rtl/>
        </w:rPr>
        <w:t>3</w:t>
      </w:r>
      <w:r w:rsidRPr="00FE6161">
        <w:rPr>
          <w:rFonts w:eastAsia="Calibri"/>
          <w:rtl/>
        </w:rPr>
        <w:t>% ו-2.</w:t>
      </w:r>
      <w:r w:rsidR="00C73A6E" w:rsidRPr="00FE6161">
        <w:rPr>
          <w:rFonts w:eastAsia="Calibri" w:hint="cs"/>
          <w:rtl/>
        </w:rPr>
        <w:t>8</w:t>
      </w:r>
      <w:r w:rsidRPr="00FE6161">
        <w:rPr>
          <w:rFonts w:eastAsia="Calibri"/>
          <w:rtl/>
        </w:rPr>
        <w:t xml:space="preserve">% בשנים אלו (לעומת </w:t>
      </w:r>
      <w:r w:rsidR="00C73A6E" w:rsidRPr="00FE6161">
        <w:rPr>
          <w:rFonts w:eastAsia="Calibri" w:hint="cs"/>
          <w:rtl/>
        </w:rPr>
        <w:t>3</w:t>
      </w:r>
      <w:r w:rsidRPr="00FE6161">
        <w:rPr>
          <w:rFonts w:eastAsia="Calibri"/>
          <w:rtl/>
        </w:rPr>
        <w:t>.</w:t>
      </w:r>
      <w:r w:rsidR="00C73A6E" w:rsidRPr="00FE6161">
        <w:rPr>
          <w:rFonts w:eastAsia="Calibri" w:hint="cs"/>
          <w:rtl/>
        </w:rPr>
        <w:t>3</w:t>
      </w:r>
      <w:r w:rsidRPr="00FE6161">
        <w:rPr>
          <w:rFonts w:eastAsia="Calibri"/>
          <w:rtl/>
        </w:rPr>
        <w:t>% ו-2.</w:t>
      </w:r>
      <w:r w:rsidR="00C73A6E" w:rsidRPr="00FE6161">
        <w:rPr>
          <w:rFonts w:eastAsia="Calibri" w:hint="cs"/>
          <w:rtl/>
        </w:rPr>
        <w:t>9</w:t>
      </w:r>
      <w:r w:rsidRPr="00FE6161">
        <w:rPr>
          <w:rFonts w:eastAsia="Calibri"/>
          <w:rtl/>
        </w:rPr>
        <w:t xml:space="preserve">% בתחזית </w:t>
      </w:r>
      <w:r w:rsidR="004151DC" w:rsidRPr="00FE6161">
        <w:rPr>
          <w:rFonts w:eastAsia="Calibri" w:hint="cs"/>
          <w:rtl/>
        </w:rPr>
        <w:t>אפריל</w:t>
      </w:r>
      <w:r w:rsidRPr="00FE6161">
        <w:rPr>
          <w:rFonts w:eastAsia="Calibri"/>
          <w:color w:val="000000" w:themeColor="text1"/>
          <w:rtl/>
        </w:rPr>
        <w:t>). אשר ליבוא המדינות המפותחות, אנו מניחים כי הוא יצמח ב-</w:t>
      </w:r>
      <w:r w:rsidR="00C73A6E" w:rsidRPr="00FE6161">
        <w:rPr>
          <w:rFonts w:eastAsia="Calibri" w:hint="cs"/>
          <w:color w:val="000000" w:themeColor="text1"/>
          <w:rtl/>
        </w:rPr>
        <w:t>1</w:t>
      </w:r>
      <w:r w:rsidR="006119E5" w:rsidRPr="00FE6161">
        <w:rPr>
          <w:rFonts w:eastAsia="Calibri" w:hint="cs"/>
          <w:color w:val="000000" w:themeColor="text1"/>
          <w:rtl/>
        </w:rPr>
        <w:t>.</w:t>
      </w:r>
      <w:r w:rsidR="00C73A6E" w:rsidRPr="00FE6161">
        <w:rPr>
          <w:rFonts w:eastAsia="Calibri" w:hint="cs"/>
          <w:color w:val="000000" w:themeColor="text1"/>
          <w:rtl/>
        </w:rPr>
        <w:t>9</w:t>
      </w:r>
      <w:r w:rsidRPr="00FE6161">
        <w:rPr>
          <w:rFonts w:eastAsia="Calibri"/>
          <w:color w:val="000000" w:themeColor="text1"/>
          <w:rtl/>
        </w:rPr>
        <w:t xml:space="preserve">% </w:t>
      </w:r>
      <w:r w:rsidR="006119E5" w:rsidRPr="00FE6161">
        <w:rPr>
          <w:rFonts w:eastAsia="Calibri" w:hint="cs"/>
          <w:color w:val="000000" w:themeColor="text1"/>
          <w:rtl/>
        </w:rPr>
        <w:t>בשנת 2025</w:t>
      </w:r>
      <w:r w:rsidRPr="00FE6161">
        <w:rPr>
          <w:rFonts w:eastAsia="Calibri"/>
          <w:color w:val="000000" w:themeColor="text1"/>
          <w:rtl/>
        </w:rPr>
        <w:t xml:space="preserve"> ו</w:t>
      </w:r>
      <w:r w:rsidR="007479AE" w:rsidRPr="00FE6161">
        <w:rPr>
          <w:rFonts w:eastAsia="Calibri" w:hint="cs"/>
          <w:color w:val="000000" w:themeColor="text1"/>
          <w:rtl/>
        </w:rPr>
        <w:t>ב-</w:t>
      </w:r>
      <w:r w:rsidR="00C73A6E" w:rsidRPr="00FE6161">
        <w:rPr>
          <w:rFonts w:eastAsia="Calibri" w:hint="cs"/>
          <w:color w:val="000000" w:themeColor="text1"/>
          <w:rtl/>
        </w:rPr>
        <w:t>2</w:t>
      </w:r>
      <w:r w:rsidR="007479AE" w:rsidRPr="00FE6161">
        <w:rPr>
          <w:rFonts w:eastAsia="Calibri" w:hint="cs"/>
          <w:color w:val="000000" w:themeColor="text1"/>
          <w:rtl/>
        </w:rPr>
        <w:t>.</w:t>
      </w:r>
      <w:r w:rsidR="00C73A6E" w:rsidRPr="00FE6161">
        <w:rPr>
          <w:rFonts w:eastAsia="Calibri" w:hint="cs"/>
          <w:color w:val="000000" w:themeColor="text1"/>
          <w:rtl/>
        </w:rPr>
        <w:t>0</w:t>
      </w:r>
      <w:r w:rsidR="007479AE" w:rsidRPr="00FE6161">
        <w:rPr>
          <w:rFonts w:eastAsia="Calibri" w:hint="cs"/>
          <w:color w:val="000000" w:themeColor="text1"/>
          <w:rtl/>
        </w:rPr>
        <w:t xml:space="preserve">% בשנת </w:t>
      </w:r>
      <w:r w:rsidRPr="00FE6161">
        <w:rPr>
          <w:rFonts w:eastAsia="Calibri"/>
          <w:color w:val="000000" w:themeColor="text1"/>
          <w:rtl/>
        </w:rPr>
        <w:t>2026</w:t>
      </w:r>
      <w:r w:rsidR="00496BE1" w:rsidRPr="00FE6161">
        <w:rPr>
          <w:rFonts w:eastAsia="Calibri" w:hint="cs"/>
          <w:color w:val="000000" w:themeColor="text1"/>
          <w:rtl/>
        </w:rPr>
        <w:t xml:space="preserve"> (לעומת </w:t>
      </w:r>
      <w:r w:rsidR="00D46AA0" w:rsidRPr="00FE6161">
        <w:rPr>
          <w:rFonts w:eastAsia="Calibri" w:hint="cs"/>
          <w:color w:val="000000" w:themeColor="text1"/>
          <w:rtl/>
        </w:rPr>
        <w:t xml:space="preserve">גידול </w:t>
      </w:r>
      <w:r w:rsidR="00496BE1" w:rsidRPr="00FE6161">
        <w:rPr>
          <w:rFonts w:eastAsia="Calibri" w:hint="cs"/>
          <w:color w:val="000000" w:themeColor="text1"/>
          <w:rtl/>
        </w:rPr>
        <w:t xml:space="preserve">של </w:t>
      </w:r>
      <w:r w:rsidR="00C73A6E" w:rsidRPr="00FE6161">
        <w:rPr>
          <w:rFonts w:eastAsia="Calibri" w:hint="cs"/>
          <w:color w:val="000000" w:themeColor="text1"/>
          <w:rtl/>
        </w:rPr>
        <w:t>0</w:t>
      </w:r>
      <w:r w:rsidR="00496BE1" w:rsidRPr="00FE6161">
        <w:rPr>
          <w:rFonts w:eastAsia="Calibri" w:hint="cs"/>
          <w:color w:val="000000" w:themeColor="text1"/>
          <w:rtl/>
        </w:rPr>
        <w:t>.</w:t>
      </w:r>
      <w:r w:rsidR="00C73A6E" w:rsidRPr="00FE6161">
        <w:rPr>
          <w:rFonts w:eastAsia="Calibri" w:hint="cs"/>
          <w:color w:val="000000" w:themeColor="text1"/>
          <w:rtl/>
        </w:rPr>
        <w:t>3</w:t>
      </w:r>
      <w:r w:rsidR="00496BE1" w:rsidRPr="00FE6161">
        <w:rPr>
          <w:rFonts w:eastAsia="Calibri" w:hint="cs"/>
          <w:color w:val="000000" w:themeColor="text1"/>
          <w:rtl/>
        </w:rPr>
        <w:t>% ו</w:t>
      </w:r>
      <w:r w:rsidR="00E80D38">
        <w:rPr>
          <w:rFonts w:eastAsia="Calibri" w:hint="cs"/>
          <w:color w:val="000000" w:themeColor="text1"/>
          <w:rtl/>
        </w:rPr>
        <w:t>ירידה של</w:t>
      </w:r>
      <w:r w:rsidR="00EE7518">
        <w:rPr>
          <w:rFonts w:eastAsia="Calibri" w:hint="cs"/>
          <w:color w:val="000000" w:themeColor="text1"/>
          <w:rtl/>
        </w:rPr>
        <w:t xml:space="preserve"> </w:t>
      </w:r>
      <w:r w:rsidR="00C73A6E" w:rsidRPr="00FE6161">
        <w:rPr>
          <w:rFonts w:eastAsia="Calibri" w:hint="cs"/>
          <w:color w:val="000000" w:themeColor="text1"/>
          <w:rtl/>
        </w:rPr>
        <w:t>0</w:t>
      </w:r>
      <w:r w:rsidR="00496BE1" w:rsidRPr="00FE6161">
        <w:rPr>
          <w:rFonts w:eastAsia="Calibri" w:hint="cs"/>
          <w:color w:val="000000" w:themeColor="text1"/>
          <w:rtl/>
        </w:rPr>
        <w:t>.</w:t>
      </w:r>
      <w:r w:rsidR="00C73A6E" w:rsidRPr="00FE6161">
        <w:rPr>
          <w:rFonts w:eastAsia="Calibri" w:hint="cs"/>
          <w:color w:val="000000" w:themeColor="text1"/>
          <w:rtl/>
        </w:rPr>
        <w:t>7</w:t>
      </w:r>
      <w:r w:rsidR="00496BE1" w:rsidRPr="00FE6161">
        <w:rPr>
          <w:rFonts w:eastAsia="Calibri" w:hint="cs"/>
          <w:color w:val="000000" w:themeColor="text1"/>
          <w:rtl/>
        </w:rPr>
        <w:t xml:space="preserve">% בתחזית </w:t>
      </w:r>
      <w:r w:rsidR="004151DC" w:rsidRPr="00FE6161">
        <w:rPr>
          <w:rFonts w:eastAsia="Calibri" w:hint="cs"/>
          <w:color w:val="000000" w:themeColor="text1"/>
          <w:rtl/>
        </w:rPr>
        <w:t>אפריל</w:t>
      </w:r>
      <w:r w:rsidR="00496BE1" w:rsidRPr="00FE6161">
        <w:rPr>
          <w:rFonts w:eastAsia="Calibri" w:hint="cs"/>
          <w:color w:val="000000" w:themeColor="text1"/>
          <w:rtl/>
        </w:rPr>
        <w:t>)</w:t>
      </w:r>
      <w:r w:rsidR="00996647" w:rsidRPr="00FE6161">
        <w:rPr>
          <w:rFonts w:eastAsia="Calibri" w:hint="cs"/>
          <w:color w:val="000000" w:themeColor="text1"/>
          <w:rtl/>
        </w:rPr>
        <w:t>. התפתחויות</w:t>
      </w:r>
      <w:r w:rsidR="00D61A22" w:rsidRPr="00FE6161">
        <w:rPr>
          <w:rFonts w:eastAsia="Calibri" w:hint="cs"/>
          <w:color w:val="000000" w:themeColor="text1"/>
          <w:rtl/>
        </w:rPr>
        <w:t xml:space="preserve"> </w:t>
      </w:r>
      <w:r w:rsidR="00996647" w:rsidRPr="00FE6161">
        <w:rPr>
          <w:rFonts w:eastAsia="Calibri" w:hint="cs"/>
          <w:color w:val="000000" w:themeColor="text1"/>
          <w:rtl/>
        </w:rPr>
        <w:t>אל</w:t>
      </w:r>
      <w:r w:rsidR="007A6890">
        <w:rPr>
          <w:rFonts w:eastAsia="Calibri" w:hint="cs"/>
          <w:color w:val="000000" w:themeColor="text1"/>
          <w:rtl/>
        </w:rPr>
        <w:t>ה משקפות במידה רבה את התמתנות ה</w:t>
      </w:r>
      <w:r w:rsidR="00996647" w:rsidRPr="00FE6161">
        <w:rPr>
          <w:rFonts w:eastAsia="Calibri" w:hint="cs"/>
          <w:color w:val="000000" w:themeColor="text1"/>
          <w:rtl/>
        </w:rPr>
        <w:t>מ</w:t>
      </w:r>
      <w:r w:rsidR="007A6890">
        <w:rPr>
          <w:rFonts w:eastAsia="Calibri" w:hint="cs"/>
          <w:color w:val="000000" w:themeColor="text1"/>
          <w:rtl/>
        </w:rPr>
        <w:t>כ</w:t>
      </w:r>
      <w:r w:rsidR="00996647" w:rsidRPr="00FE6161">
        <w:rPr>
          <w:rFonts w:eastAsia="Calibri" w:hint="cs"/>
          <w:color w:val="000000" w:themeColor="text1"/>
          <w:rtl/>
        </w:rPr>
        <w:t xml:space="preserve">סים, ביחס לרמתם </w:t>
      </w:r>
      <w:r w:rsidR="00936D72">
        <w:rPr>
          <w:rFonts w:eastAsia="Calibri" w:hint="cs"/>
          <w:color w:val="000000" w:themeColor="text1"/>
          <w:rtl/>
        </w:rPr>
        <w:t xml:space="preserve">הצפויה </w:t>
      </w:r>
      <w:r w:rsidR="00996647" w:rsidRPr="00FE6161">
        <w:rPr>
          <w:rFonts w:eastAsia="Calibri" w:hint="cs"/>
          <w:color w:val="000000" w:themeColor="text1"/>
          <w:rtl/>
        </w:rPr>
        <w:t>באפריל</w:t>
      </w:r>
      <w:r w:rsidRPr="00FE6161">
        <w:rPr>
          <w:rFonts w:eastAsia="Calibri"/>
          <w:color w:val="000000" w:themeColor="text1"/>
          <w:rtl/>
        </w:rPr>
        <w:t xml:space="preserve">. מחירה </w:t>
      </w:r>
      <w:r w:rsidRPr="00FE6161">
        <w:rPr>
          <w:rFonts w:eastAsia="Calibri"/>
          <w:rtl/>
        </w:rPr>
        <w:t xml:space="preserve">של </w:t>
      </w:r>
      <w:r w:rsidRPr="00FE6161">
        <w:rPr>
          <w:rFonts w:eastAsia="Calibri"/>
          <w:rtl/>
        </w:rPr>
        <w:lastRenderedPageBreak/>
        <w:t xml:space="preserve">חבית נפט מסוג "ברנט" </w:t>
      </w:r>
      <w:r w:rsidR="00AD7F1B" w:rsidRPr="00FE6161">
        <w:rPr>
          <w:rFonts w:eastAsia="Calibri" w:hint="cs"/>
          <w:rtl/>
        </w:rPr>
        <w:t xml:space="preserve">חזר לרמתו טרם מבצע </w:t>
      </w:r>
      <w:r w:rsidR="00936D72">
        <w:rPr>
          <w:rFonts w:eastAsia="Calibri" w:hint="cs"/>
          <w:rtl/>
        </w:rPr>
        <w:t>"</w:t>
      </w:r>
      <w:r w:rsidR="00AD7F1B" w:rsidRPr="00FE6161">
        <w:rPr>
          <w:rFonts w:eastAsia="Calibri" w:hint="cs"/>
          <w:rtl/>
        </w:rPr>
        <w:t>עם כלביא</w:t>
      </w:r>
      <w:r w:rsidR="00936D72">
        <w:rPr>
          <w:rFonts w:eastAsia="Calibri" w:hint="cs"/>
          <w:rtl/>
        </w:rPr>
        <w:t>"</w:t>
      </w:r>
      <w:r w:rsidR="00AD7F1B" w:rsidRPr="00FE6161">
        <w:rPr>
          <w:rFonts w:eastAsia="Calibri" w:hint="cs"/>
          <w:rtl/>
        </w:rPr>
        <w:t>, והוא עומד כעת על כ-6</w:t>
      </w:r>
      <w:r w:rsidR="004B0C57">
        <w:rPr>
          <w:rFonts w:eastAsia="Calibri" w:hint="cs"/>
          <w:rtl/>
        </w:rPr>
        <w:t>8</w:t>
      </w:r>
      <w:r w:rsidR="00AD7F1B" w:rsidRPr="00FE6161">
        <w:rPr>
          <w:rFonts w:eastAsia="Calibri" w:hint="cs"/>
          <w:rtl/>
        </w:rPr>
        <w:t xml:space="preserve">$, </w:t>
      </w:r>
      <w:r w:rsidR="00A13038">
        <w:rPr>
          <w:rFonts w:eastAsia="Calibri" w:hint="cs"/>
          <w:rtl/>
        </w:rPr>
        <w:t>גבוה במעט</w:t>
      </w:r>
      <w:r w:rsidR="00A15908" w:rsidRPr="00FE6161">
        <w:rPr>
          <w:rFonts w:eastAsia="Calibri" w:hint="cs"/>
          <w:rtl/>
        </w:rPr>
        <w:t xml:space="preserve"> </w:t>
      </w:r>
      <w:r w:rsidR="00A13038">
        <w:rPr>
          <w:rFonts w:eastAsia="Calibri" w:hint="cs"/>
          <w:rtl/>
        </w:rPr>
        <w:t>מ</w:t>
      </w:r>
      <w:r w:rsidR="00A15908" w:rsidRPr="00FE6161">
        <w:rPr>
          <w:rFonts w:eastAsia="Calibri" w:hint="cs"/>
          <w:rtl/>
        </w:rPr>
        <w:t>רמתו</w:t>
      </w:r>
      <w:r w:rsidR="00AD7F1B" w:rsidRPr="00FE6161">
        <w:rPr>
          <w:rFonts w:eastAsia="Calibri" w:hint="cs"/>
          <w:rtl/>
        </w:rPr>
        <w:t xml:space="preserve"> </w:t>
      </w:r>
      <w:r w:rsidR="00A15908" w:rsidRPr="00FE6161">
        <w:rPr>
          <w:rFonts w:eastAsia="Calibri" w:hint="cs"/>
          <w:rtl/>
        </w:rPr>
        <w:t xml:space="preserve">במועד </w:t>
      </w:r>
      <w:r w:rsidR="00AD7F1B" w:rsidRPr="00FE6161">
        <w:rPr>
          <w:rFonts w:eastAsia="Calibri" w:hint="cs"/>
          <w:rtl/>
        </w:rPr>
        <w:t>פרסום תחזית אפריל</w:t>
      </w:r>
      <w:r w:rsidRPr="00FE6161">
        <w:rPr>
          <w:rFonts w:eastAsia="Calibri"/>
          <w:rtl/>
        </w:rPr>
        <w:t>.</w:t>
      </w:r>
      <w:r w:rsidR="00202530" w:rsidRPr="00202530">
        <w:rPr>
          <w:rFonts w:eastAsia="Calibri"/>
        </w:rPr>
        <w:t xml:space="preserve"> </w:t>
      </w:r>
    </w:p>
    <w:tbl>
      <w:tblPr>
        <w:bidiVisual/>
        <w:tblW w:w="5000" w:type="pct"/>
        <w:tblLook w:val="04A0" w:firstRow="1" w:lastRow="0" w:firstColumn="1" w:lastColumn="0" w:noHBand="0" w:noVBand="1"/>
      </w:tblPr>
      <w:tblGrid>
        <w:gridCol w:w="4449"/>
        <w:gridCol w:w="1061"/>
        <w:gridCol w:w="1060"/>
        <w:gridCol w:w="1060"/>
        <w:gridCol w:w="1058"/>
        <w:gridCol w:w="1058"/>
      </w:tblGrid>
      <w:tr w:rsidR="00E07D9F" w:rsidRPr="00C94167" w:rsidTr="00E07D9F">
        <w:trPr>
          <w:trHeight w:val="375"/>
        </w:trPr>
        <w:tc>
          <w:tcPr>
            <w:tcW w:w="5000" w:type="pct"/>
            <w:gridSpan w:val="6"/>
            <w:tcBorders>
              <w:top w:val="nil"/>
              <w:left w:val="nil"/>
              <w:bottom w:val="nil"/>
              <w:right w:val="nil"/>
            </w:tcBorders>
            <w:shd w:val="clear" w:color="auto" w:fill="auto"/>
            <w:noWrap/>
            <w:vAlign w:val="bottom"/>
            <w:hideMark/>
          </w:tcPr>
          <w:p w:rsidR="00E07D9F" w:rsidRPr="00C94167" w:rsidRDefault="00E07D9F" w:rsidP="00D17817">
            <w:pPr>
              <w:spacing w:after="0" w:line="240" w:lineRule="auto"/>
              <w:rPr>
                <w:rFonts w:eastAsia="Times New Roman"/>
                <w:b/>
                <w:bCs/>
                <w:color w:val="000000"/>
                <w:sz w:val="24"/>
                <w:szCs w:val="24"/>
              </w:rPr>
            </w:pPr>
            <w:r>
              <w:rPr>
                <w:rtl/>
              </w:rPr>
              <w:br w:type="page"/>
            </w:r>
            <w:r w:rsidRPr="00C94167">
              <w:rPr>
                <w:rFonts w:eastAsia="Times New Roman"/>
                <w:b/>
                <w:bCs/>
                <w:color w:val="000000"/>
                <w:sz w:val="24"/>
                <w:szCs w:val="24"/>
                <w:rtl/>
              </w:rPr>
              <w:t xml:space="preserve">לוח  1 </w:t>
            </w:r>
            <w:r w:rsidRPr="00C94167">
              <w:rPr>
                <w:rFonts w:eastAsia="Times New Roman"/>
                <w:color w:val="000000"/>
                <w:sz w:val="24"/>
                <w:szCs w:val="24"/>
                <w:rtl/>
              </w:rPr>
              <w:t>|</w:t>
            </w:r>
            <w:r w:rsidRPr="00C94167">
              <w:rPr>
                <w:rFonts w:eastAsia="Times New Roman"/>
                <w:b/>
                <w:bCs/>
                <w:color w:val="000000"/>
                <w:sz w:val="24"/>
                <w:szCs w:val="24"/>
                <w:rtl/>
              </w:rPr>
              <w:t xml:space="preserve"> תחזית חטיבת המחקר לשנים 2025—2026</w:t>
            </w:r>
          </w:p>
        </w:tc>
      </w:tr>
      <w:tr w:rsidR="00E07D9F" w:rsidRPr="00C94167" w:rsidTr="00E07D9F">
        <w:trPr>
          <w:trHeight w:val="360"/>
        </w:trPr>
        <w:tc>
          <w:tcPr>
            <w:tcW w:w="5000" w:type="pct"/>
            <w:gridSpan w:val="6"/>
            <w:tcBorders>
              <w:top w:val="nil"/>
              <w:left w:val="nil"/>
              <w:bottom w:val="nil"/>
              <w:right w:val="nil"/>
            </w:tcBorders>
            <w:shd w:val="clear" w:color="auto" w:fill="auto"/>
            <w:noWrap/>
            <w:vAlign w:val="bottom"/>
            <w:hideMark/>
          </w:tcPr>
          <w:p w:rsidR="00E07D9F" w:rsidRPr="00C94167" w:rsidRDefault="00E07D9F" w:rsidP="00D17817">
            <w:pPr>
              <w:spacing w:after="0" w:line="240" w:lineRule="auto"/>
              <w:rPr>
                <w:rFonts w:eastAsia="Times New Roman"/>
                <w:color w:val="000000"/>
                <w:sz w:val="24"/>
                <w:szCs w:val="24"/>
                <w:rtl/>
              </w:rPr>
            </w:pPr>
            <w:r w:rsidRPr="00C94167">
              <w:rPr>
                <w:rFonts w:eastAsia="Times New Roman"/>
                <w:color w:val="000000"/>
                <w:rtl/>
              </w:rPr>
              <w:t>(שיעורי השינוי השנתיים באחוזים</w:t>
            </w:r>
            <w:r w:rsidRPr="00C94167">
              <w:rPr>
                <w:rFonts w:eastAsia="Times New Roman"/>
                <w:color w:val="000000"/>
                <w:vertAlign w:val="superscript"/>
                <w:rtl/>
              </w:rPr>
              <w:t>1</w:t>
            </w:r>
            <w:r w:rsidRPr="00C94167">
              <w:rPr>
                <w:rFonts w:eastAsia="Times New Roman"/>
                <w:color w:val="000000"/>
                <w:rtl/>
              </w:rPr>
              <w:t>, אלא אם צוין אחרת)</w:t>
            </w:r>
          </w:p>
        </w:tc>
      </w:tr>
      <w:tr w:rsidR="00E608A3" w:rsidRPr="00C94167" w:rsidTr="00E07D9F">
        <w:trPr>
          <w:gridAfter w:val="1"/>
          <w:wAfter w:w="543" w:type="pct"/>
          <w:trHeight w:val="315"/>
        </w:trPr>
        <w:tc>
          <w:tcPr>
            <w:tcW w:w="2282" w:type="pct"/>
            <w:tcBorders>
              <w:top w:val="single" w:sz="4" w:space="0" w:color="1F497D"/>
              <w:left w:val="nil"/>
              <w:bottom w:val="nil"/>
              <w:right w:val="nil"/>
            </w:tcBorders>
            <w:shd w:val="clear" w:color="auto" w:fill="auto"/>
            <w:noWrap/>
            <w:vAlign w:val="bottom"/>
            <w:hideMark/>
          </w:tcPr>
          <w:p w:rsidR="00E608A3" w:rsidRPr="00C94167" w:rsidRDefault="00E608A3" w:rsidP="00810C7A">
            <w:pPr>
              <w:spacing w:after="0" w:line="240" w:lineRule="auto"/>
              <w:rPr>
                <w:rFonts w:eastAsia="Times New Roman"/>
                <w:color w:val="000000"/>
                <w:sz w:val="24"/>
                <w:szCs w:val="24"/>
                <w:rtl/>
              </w:rPr>
            </w:pPr>
            <w:bookmarkStart w:id="2" w:name="_Hlk202427682"/>
            <w:bookmarkEnd w:id="1"/>
            <w:r w:rsidRPr="00C94167">
              <w:rPr>
                <w:rFonts w:eastAsia="Times New Roman"/>
                <w:color w:val="000000"/>
                <w:sz w:val="24"/>
                <w:szCs w:val="24"/>
                <w:rtl/>
              </w:rPr>
              <w:t> </w:t>
            </w:r>
          </w:p>
        </w:tc>
        <w:tc>
          <w:tcPr>
            <w:tcW w:w="1088" w:type="pct"/>
            <w:gridSpan w:val="2"/>
            <w:tcBorders>
              <w:top w:val="single" w:sz="4" w:space="0" w:color="1F497D"/>
              <w:left w:val="nil"/>
              <w:bottom w:val="nil"/>
              <w:right w:val="nil"/>
            </w:tcBorders>
            <w:shd w:val="clear" w:color="auto" w:fill="auto"/>
            <w:noWrap/>
            <w:vAlign w:val="bottom"/>
            <w:hideMark/>
          </w:tcPr>
          <w:p w:rsidR="00E608A3" w:rsidRPr="00C94167" w:rsidRDefault="00E608A3" w:rsidP="00810C7A">
            <w:pPr>
              <w:spacing w:after="0" w:line="240" w:lineRule="auto"/>
              <w:rPr>
                <w:rFonts w:eastAsia="Times New Roman"/>
                <w:b/>
                <w:bCs/>
                <w:color w:val="1F497D"/>
                <w:sz w:val="24"/>
                <w:szCs w:val="24"/>
                <w:rtl/>
              </w:rPr>
            </w:pPr>
            <w:r w:rsidRPr="00C94167">
              <w:rPr>
                <w:rFonts w:eastAsia="Times New Roman"/>
                <w:b/>
                <w:bCs/>
                <w:color w:val="1F497D"/>
                <w:sz w:val="24"/>
                <w:szCs w:val="24"/>
                <w:rtl/>
              </w:rPr>
              <w:t>2025</w:t>
            </w:r>
          </w:p>
        </w:tc>
        <w:tc>
          <w:tcPr>
            <w:tcW w:w="1087" w:type="pct"/>
            <w:gridSpan w:val="2"/>
            <w:tcBorders>
              <w:top w:val="single" w:sz="4" w:space="0" w:color="1F497D"/>
              <w:left w:val="nil"/>
              <w:bottom w:val="nil"/>
              <w:right w:val="nil"/>
            </w:tcBorders>
            <w:shd w:val="clear" w:color="auto" w:fill="auto"/>
            <w:noWrap/>
            <w:vAlign w:val="bottom"/>
            <w:hideMark/>
          </w:tcPr>
          <w:p w:rsidR="00E608A3" w:rsidRPr="00C94167" w:rsidRDefault="00E608A3" w:rsidP="00810C7A">
            <w:pPr>
              <w:spacing w:after="0" w:line="240" w:lineRule="auto"/>
              <w:rPr>
                <w:rFonts w:eastAsia="Times New Roman"/>
                <w:b/>
                <w:bCs/>
                <w:color w:val="1F497D"/>
                <w:sz w:val="24"/>
                <w:szCs w:val="24"/>
                <w:rtl/>
              </w:rPr>
            </w:pPr>
            <w:r w:rsidRPr="00C94167">
              <w:rPr>
                <w:rFonts w:eastAsia="Times New Roman"/>
                <w:b/>
                <w:bCs/>
                <w:color w:val="1F497D"/>
                <w:sz w:val="24"/>
                <w:szCs w:val="24"/>
                <w:rtl/>
              </w:rPr>
              <w:t>2026</w:t>
            </w:r>
          </w:p>
        </w:tc>
      </w:tr>
      <w:tr w:rsidR="00E608A3" w:rsidRPr="00C94167" w:rsidTr="00E07D9F">
        <w:trPr>
          <w:gridAfter w:val="1"/>
          <w:wAfter w:w="543" w:type="pct"/>
          <w:trHeight w:val="494"/>
        </w:trPr>
        <w:tc>
          <w:tcPr>
            <w:tcW w:w="2282" w:type="pct"/>
            <w:tcBorders>
              <w:top w:val="nil"/>
              <w:left w:val="nil"/>
              <w:bottom w:val="single" w:sz="4" w:space="0" w:color="1F497D"/>
              <w:right w:val="nil"/>
            </w:tcBorders>
            <w:shd w:val="clear" w:color="auto" w:fill="auto"/>
            <w:noWrap/>
            <w:vAlign w:val="bottom"/>
            <w:hideMark/>
          </w:tcPr>
          <w:p w:rsidR="00E608A3" w:rsidRPr="00C94167" w:rsidRDefault="00E608A3" w:rsidP="00810C7A">
            <w:pPr>
              <w:spacing w:after="0" w:line="240" w:lineRule="auto"/>
              <w:rPr>
                <w:rFonts w:eastAsia="Times New Roman"/>
                <w:color w:val="000000"/>
                <w:sz w:val="20"/>
                <w:szCs w:val="20"/>
              </w:rPr>
            </w:pPr>
            <w:r w:rsidRPr="00C94167">
              <w:rPr>
                <w:rFonts w:eastAsia="Times New Roman"/>
                <w:color w:val="000000"/>
                <w:sz w:val="20"/>
                <w:szCs w:val="20"/>
              </w:rPr>
              <w:t> </w:t>
            </w:r>
          </w:p>
        </w:tc>
        <w:tc>
          <w:tcPr>
            <w:tcW w:w="544" w:type="pct"/>
            <w:tcBorders>
              <w:top w:val="nil"/>
              <w:left w:val="nil"/>
              <w:bottom w:val="single" w:sz="4" w:space="0" w:color="1F497D"/>
              <w:right w:val="nil"/>
            </w:tcBorders>
            <w:shd w:val="clear" w:color="auto" w:fill="auto"/>
            <w:hideMark/>
          </w:tcPr>
          <w:p w:rsidR="00E608A3" w:rsidRPr="00C94167" w:rsidRDefault="00E608A3" w:rsidP="00810C7A">
            <w:pPr>
              <w:spacing w:after="0" w:line="240" w:lineRule="auto"/>
              <w:rPr>
                <w:rFonts w:eastAsia="Times New Roman"/>
                <w:color w:val="1F497D"/>
                <w:rtl/>
              </w:rPr>
            </w:pPr>
            <w:r w:rsidRPr="00C94167">
              <w:rPr>
                <w:rFonts w:eastAsia="Times New Roman"/>
                <w:color w:val="1F497D"/>
                <w:rtl/>
              </w:rPr>
              <w:t>התחזית ל-2025</w:t>
            </w:r>
          </w:p>
        </w:tc>
        <w:tc>
          <w:tcPr>
            <w:tcW w:w="544" w:type="pct"/>
            <w:tcBorders>
              <w:top w:val="nil"/>
              <w:left w:val="nil"/>
              <w:bottom w:val="single" w:sz="4" w:space="0" w:color="1F497D"/>
              <w:right w:val="nil"/>
            </w:tcBorders>
            <w:shd w:val="clear" w:color="auto" w:fill="auto"/>
            <w:hideMark/>
          </w:tcPr>
          <w:p w:rsidR="00E608A3" w:rsidRPr="00C94167" w:rsidRDefault="00E608A3" w:rsidP="000E6C16">
            <w:pPr>
              <w:spacing w:after="0" w:line="240" w:lineRule="auto"/>
              <w:rPr>
                <w:rFonts w:eastAsia="Times New Roman"/>
                <w:color w:val="1F497D"/>
                <w:rtl/>
              </w:rPr>
            </w:pPr>
            <w:r w:rsidRPr="00C94167">
              <w:rPr>
                <w:rFonts w:eastAsia="Times New Roman"/>
                <w:color w:val="1F497D"/>
                <w:rtl/>
              </w:rPr>
              <w:t xml:space="preserve">השינוי מתחזית </w:t>
            </w:r>
            <w:r>
              <w:rPr>
                <w:rFonts w:eastAsia="Times New Roman" w:hint="cs"/>
                <w:color w:val="1F497D"/>
                <w:rtl/>
              </w:rPr>
              <w:t>אפריל</w:t>
            </w:r>
          </w:p>
        </w:tc>
        <w:tc>
          <w:tcPr>
            <w:tcW w:w="544" w:type="pct"/>
            <w:tcBorders>
              <w:top w:val="nil"/>
              <w:left w:val="nil"/>
              <w:bottom w:val="single" w:sz="4" w:space="0" w:color="1F497D"/>
              <w:right w:val="nil"/>
            </w:tcBorders>
            <w:shd w:val="clear" w:color="auto" w:fill="auto"/>
            <w:hideMark/>
          </w:tcPr>
          <w:p w:rsidR="00E608A3" w:rsidRPr="00C94167" w:rsidRDefault="00E608A3" w:rsidP="00810C7A">
            <w:pPr>
              <w:spacing w:after="0" w:line="240" w:lineRule="auto"/>
              <w:rPr>
                <w:rFonts w:eastAsia="Times New Roman"/>
                <w:color w:val="1F497D"/>
                <w:rtl/>
              </w:rPr>
            </w:pPr>
            <w:r w:rsidRPr="00C94167">
              <w:rPr>
                <w:rFonts w:eastAsia="Times New Roman"/>
                <w:color w:val="1F497D"/>
                <w:rtl/>
              </w:rPr>
              <w:t>התחזית ל-2026</w:t>
            </w:r>
          </w:p>
        </w:tc>
        <w:tc>
          <w:tcPr>
            <w:tcW w:w="543" w:type="pct"/>
            <w:tcBorders>
              <w:top w:val="nil"/>
              <w:left w:val="nil"/>
              <w:bottom w:val="single" w:sz="4" w:space="0" w:color="1F497D"/>
              <w:right w:val="nil"/>
            </w:tcBorders>
            <w:shd w:val="clear" w:color="auto" w:fill="auto"/>
            <w:hideMark/>
          </w:tcPr>
          <w:p w:rsidR="00E608A3" w:rsidRPr="00C94167" w:rsidRDefault="00E608A3" w:rsidP="000E6C16">
            <w:pPr>
              <w:spacing w:after="0" w:line="240" w:lineRule="auto"/>
              <w:rPr>
                <w:rFonts w:eastAsia="Times New Roman"/>
                <w:color w:val="1F497D"/>
                <w:rtl/>
              </w:rPr>
            </w:pPr>
            <w:r w:rsidRPr="00C94167">
              <w:rPr>
                <w:rFonts w:eastAsia="Times New Roman"/>
                <w:color w:val="1F497D"/>
                <w:rtl/>
              </w:rPr>
              <w:t xml:space="preserve">השינוי מתחזית </w:t>
            </w:r>
            <w:r>
              <w:rPr>
                <w:rFonts w:eastAsia="Times New Roman" w:hint="cs"/>
                <w:color w:val="1F497D"/>
                <w:rtl/>
              </w:rPr>
              <w:t>אפריל</w:t>
            </w:r>
          </w:p>
        </w:tc>
      </w:tr>
      <w:tr w:rsidR="00042C98" w:rsidRPr="00C94167"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042C98" w:rsidRPr="00C94167" w:rsidRDefault="00042C98" w:rsidP="00042C98">
            <w:pPr>
              <w:spacing w:after="0" w:line="240" w:lineRule="auto"/>
              <w:rPr>
                <w:rFonts w:eastAsia="Times New Roman"/>
                <w:rtl/>
              </w:rPr>
            </w:pPr>
            <w:r w:rsidRPr="00C94167">
              <w:rPr>
                <w:rFonts w:eastAsia="Times New Roman"/>
                <w:rtl/>
              </w:rPr>
              <w:t>תוצר מקומי גולמי</w:t>
            </w:r>
          </w:p>
        </w:tc>
        <w:tc>
          <w:tcPr>
            <w:tcW w:w="544" w:type="pct"/>
            <w:tcBorders>
              <w:top w:val="nil"/>
              <w:left w:val="nil"/>
              <w:bottom w:val="nil"/>
              <w:right w:val="nil"/>
            </w:tcBorders>
            <w:shd w:val="clear" w:color="auto" w:fill="auto"/>
            <w:noWrap/>
            <w:vAlign w:val="bottom"/>
            <w:hideMark/>
          </w:tcPr>
          <w:p w:rsidR="00042C98" w:rsidRPr="00C94167" w:rsidRDefault="00556EFB" w:rsidP="00556EFB">
            <w:pPr>
              <w:spacing w:after="0" w:line="240" w:lineRule="auto"/>
              <w:rPr>
                <w:rFonts w:eastAsia="Times New Roman"/>
                <w:b/>
                <w:bCs/>
                <w:color w:val="000000"/>
              </w:rPr>
            </w:pPr>
            <w:r>
              <w:rPr>
                <w:rFonts w:eastAsia="Times New Roman"/>
                <w:b/>
                <w:bCs/>
                <w:color w:val="000000"/>
              </w:rPr>
              <w:t>3.3</w:t>
            </w:r>
          </w:p>
        </w:tc>
        <w:tc>
          <w:tcPr>
            <w:tcW w:w="544" w:type="pct"/>
            <w:tcBorders>
              <w:top w:val="nil"/>
              <w:left w:val="nil"/>
              <w:bottom w:val="nil"/>
              <w:right w:val="nil"/>
            </w:tcBorders>
            <w:shd w:val="clear" w:color="auto" w:fill="auto"/>
            <w:noWrap/>
            <w:vAlign w:val="bottom"/>
            <w:hideMark/>
          </w:tcPr>
          <w:p w:rsidR="00042C98" w:rsidRPr="00556EFB" w:rsidRDefault="00556EFB" w:rsidP="00042C98">
            <w:pPr>
              <w:spacing w:after="0" w:line="240" w:lineRule="auto"/>
              <w:rPr>
                <w:rFonts w:eastAsia="Times New Roman"/>
                <w:color w:val="1F497D"/>
              </w:rPr>
            </w:pPr>
            <w:r>
              <w:rPr>
                <w:rFonts w:eastAsia="Times New Roman"/>
                <w:color w:val="1F497D"/>
              </w:rPr>
              <w:t>-0.2</w:t>
            </w:r>
          </w:p>
        </w:tc>
        <w:tc>
          <w:tcPr>
            <w:tcW w:w="544" w:type="pct"/>
            <w:tcBorders>
              <w:top w:val="nil"/>
              <w:left w:val="nil"/>
              <w:bottom w:val="nil"/>
              <w:right w:val="nil"/>
            </w:tcBorders>
            <w:shd w:val="clear" w:color="auto" w:fill="auto"/>
            <w:noWrap/>
            <w:vAlign w:val="bottom"/>
            <w:hideMark/>
          </w:tcPr>
          <w:p w:rsidR="00042C98" w:rsidRPr="00C94167" w:rsidRDefault="00556EFB" w:rsidP="00556EFB">
            <w:pPr>
              <w:spacing w:after="0" w:line="240" w:lineRule="auto"/>
              <w:rPr>
                <w:rFonts w:eastAsia="Times New Roman"/>
                <w:b/>
                <w:bCs/>
                <w:color w:val="000000"/>
              </w:rPr>
            </w:pPr>
            <w:r>
              <w:rPr>
                <w:rFonts w:eastAsia="Times New Roman"/>
                <w:b/>
                <w:bCs/>
                <w:color w:val="000000"/>
              </w:rPr>
              <w:t>4.6</w:t>
            </w:r>
          </w:p>
        </w:tc>
        <w:tc>
          <w:tcPr>
            <w:tcW w:w="543" w:type="pct"/>
            <w:tcBorders>
              <w:top w:val="nil"/>
              <w:left w:val="nil"/>
              <w:bottom w:val="nil"/>
              <w:right w:val="nil"/>
            </w:tcBorders>
            <w:shd w:val="clear" w:color="auto" w:fill="auto"/>
            <w:noWrap/>
            <w:vAlign w:val="bottom"/>
            <w:hideMark/>
          </w:tcPr>
          <w:p w:rsidR="00042C98" w:rsidRPr="00042C98" w:rsidRDefault="00556EFB" w:rsidP="00042C98">
            <w:pPr>
              <w:spacing w:after="0" w:line="240" w:lineRule="auto"/>
              <w:rPr>
                <w:rFonts w:eastAsia="Times New Roman"/>
                <w:color w:val="FF0000"/>
              </w:rPr>
            </w:pPr>
            <w:r>
              <w:rPr>
                <w:rFonts w:eastAsia="Times New Roman"/>
                <w:color w:val="1F497D"/>
              </w:rPr>
              <w:t>0.6</w:t>
            </w:r>
          </w:p>
        </w:tc>
      </w:tr>
      <w:tr w:rsidR="00E608A3" w:rsidRPr="00C94167"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E608A3" w:rsidRPr="00C94167" w:rsidRDefault="00E608A3" w:rsidP="00810C7A">
            <w:pPr>
              <w:spacing w:after="0" w:line="240" w:lineRule="auto"/>
              <w:rPr>
                <w:rFonts w:eastAsia="Times New Roman"/>
              </w:rPr>
            </w:pPr>
            <w:r w:rsidRPr="00C94167">
              <w:rPr>
                <w:rFonts w:eastAsia="Times New Roman"/>
                <w:rtl/>
              </w:rPr>
              <w:t>צריכה פרטית</w:t>
            </w:r>
          </w:p>
        </w:tc>
        <w:tc>
          <w:tcPr>
            <w:tcW w:w="544" w:type="pct"/>
            <w:tcBorders>
              <w:top w:val="nil"/>
              <w:left w:val="nil"/>
              <w:bottom w:val="nil"/>
              <w:right w:val="nil"/>
            </w:tcBorders>
            <w:shd w:val="clear" w:color="auto" w:fill="auto"/>
            <w:noWrap/>
            <w:vAlign w:val="bottom"/>
            <w:hideMark/>
          </w:tcPr>
          <w:p w:rsidR="00E608A3" w:rsidRPr="00C94167" w:rsidRDefault="00CA5829" w:rsidP="007479AE">
            <w:pPr>
              <w:spacing w:after="0" w:line="240" w:lineRule="auto"/>
              <w:rPr>
                <w:rFonts w:eastAsia="Times New Roman"/>
                <w:b/>
                <w:bCs/>
                <w:color w:val="000000"/>
              </w:rPr>
            </w:pPr>
            <w:r>
              <w:rPr>
                <w:rFonts w:eastAsia="Times New Roman"/>
                <w:b/>
                <w:bCs/>
                <w:color w:val="000000"/>
              </w:rPr>
              <w:t>3.5</w:t>
            </w:r>
          </w:p>
        </w:tc>
        <w:tc>
          <w:tcPr>
            <w:tcW w:w="544" w:type="pct"/>
            <w:tcBorders>
              <w:top w:val="nil"/>
              <w:left w:val="nil"/>
              <w:bottom w:val="nil"/>
              <w:right w:val="nil"/>
            </w:tcBorders>
            <w:shd w:val="clear" w:color="auto" w:fill="auto"/>
            <w:noWrap/>
            <w:vAlign w:val="bottom"/>
            <w:hideMark/>
          </w:tcPr>
          <w:p w:rsidR="00E608A3" w:rsidRPr="00C94167" w:rsidRDefault="00E608A3" w:rsidP="00CA5829">
            <w:pPr>
              <w:spacing w:after="0" w:line="240" w:lineRule="auto"/>
              <w:rPr>
                <w:rFonts w:eastAsia="Times New Roman"/>
                <w:color w:val="1F497D"/>
              </w:rPr>
            </w:pPr>
            <w:r>
              <w:rPr>
                <w:rFonts w:eastAsia="Times New Roman"/>
                <w:color w:val="1F497D"/>
              </w:rPr>
              <w:t>-</w:t>
            </w:r>
            <w:r w:rsidR="00CA5829">
              <w:rPr>
                <w:rFonts w:eastAsia="Times New Roman"/>
                <w:color w:val="1F497D"/>
              </w:rPr>
              <w:t>2</w:t>
            </w:r>
            <w:r>
              <w:rPr>
                <w:rFonts w:eastAsia="Times New Roman"/>
                <w:color w:val="1F497D"/>
              </w:rPr>
              <w:t>.5</w:t>
            </w:r>
          </w:p>
        </w:tc>
        <w:tc>
          <w:tcPr>
            <w:tcW w:w="544" w:type="pct"/>
            <w:tcBorders>
              <w:top w:val="nil"/>
              <w:left w:val="nil"/>
              <w:bottom w:val="nil"/>
              <w:right w:val="nil"/>
            </w:tcBorders>
            <w:shd w:val="clear" w:color="auto" w:fill="auto"/>
            <w:noWrap/>
            <w:vAlign w:val="bottom"/>
            <w:hideMark/>
          </w:tcPr>
          <w:p w:rsidR="00E608A3" w:rsidRPr="00C94167" w:rsidRDefault="00D62059" w:rsidP="007479AE">
            <w:pPr>
              <w:spacing w:after="0" w:line="240" w:lineRule="auto"/>
              <w:rPr>
                <w:rFonts w:eastAsia="Times New Roman"/>
                <w:b/>
                <w:bCs/>
                <w:color w:val="000000"/>
              </w:rPr>
            </w:pPr>
            <w:r>
              <w:rPr>
                <w:rFonts w:eastAsia="Times New Roman"/>
                <w:b/>
                <w:bCs/>
                <w:color w:val="000000"/>
              </w:rPr>
              <w:t>7.0</w:t>
            </w:r>
          </w:p>
        </w:tc>
        <w:tc>
          <w:tcPr>
            <w:tcW w:w="543" w:type="pct"/>
            <w:tcBorders>
              <w:top w:val="nil"/>
              <w:left w:val="nil"/>
              <w:bottom w:val="nil"/>
              <w:right w:val="nil"/>
            </w:tcBorders>
            <w:shd w:val="clear" w:color="auto" w:fill="auto"/>
            <w:noWrap/>
            <w:vAlign w:val="bottom"/>
            <w:hideMark/>
          </w:tcPr>
          <w:p w:rsidR="00E608A3" w:rsidRPr="00C94167" w:rsidRDefault="00D62059" w:rsidP="007479AE">
            <w:pPr>
              <w:spacing w:after="0" w:line="240" w:lineRule="auto"/>
              <w:rPr>
                <w:rFonts w:eastAsia="Times New Roman"/>
                <w:color w:val="1F497D"/>
              </w:rPr>
            </w:pPr>
            <w:r>
              <w:rPr>
                <w:rFonts w:eastAsia="Times New Roman"/>
                <w:color w:val="1F497D"/>
              </w:rPr>
              <w:t>3.5</w:t>
            </w:r>
          </w:p>
        </w:tc>
      </w:tr>
      <w:tr w:rsidR="00E608A3" w:rsidRPr="00C94167"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E608A3" w:rsidRPr="00C94167" w:rsidRDefault="00E608A3" w:rsidP="00810C7A">
            <w:pPr>
              <w:spacing w:after="0" w:line="240" w:lineRule="auto"/>
              <w:rPr>
                <w:rFonts w:eastAsia="Times New Roman"/>
              </w:rPr>
            </w:pPr>
            <w:r w:rsidRPr="00C94167">
              <w:rPr>
                <w:rFonts w:eastAsia="Times New Roman"/>
                <w:rtl/>
              </w:rPr>
              <w:t>השקעה בנכסים קבועים (ללא אוניות ומטוסים)</w:t>
            </w:r>
          </w:p>
        </w:tc>
        <w:tc>
          <w:tcPr>
            <w:tcW w:w="544" w:type="pct"/>
            <w:tcBorders>
              <w:top w:val="nil"/>
              <w:left w:val="nil"/>
              <w:bottom w:val="nil"/>
              <w:right w:val="nil"/>
            </w:tcBorders>
            <w:shd w:val="clear" w:color="auto" w:fill="auto"/>
            <w:noWrap/>
            <w:vAlign w:val="bottom"/>
            <w:hideMark/>
          </w:tcPr>
          <w:p w:rsidR="00E608A3" w:rsidRPr="00C94167" w:rsidRDefault="00CA5829" w:rsidP="00810C7A">
            <w:pPr>
              <w:spacing w:after="0" w:line="240" w:lineRule="auto"/>
              <w:rPr>
                <w:rFonts w:eastAsia="Times New Roman"/>
                <w:b/>
                <w:bCs/>
                <w:color w:val="000000"/>
              </w:rPr>
            </w:pPr>
            <w:r>
              <w:rPr>
                <w:rFonts w:eastAsia="Times New Roman"/>
                <w:b/>
                <w:bCs/>
                <w:color w:val="000000"/>
              </w:rPr>
              <w:t>9.5</w:t>
            </w:r>
          </w:p>
        </w:tc>
        <w:tc>
          <w:tcPr>
            <w:tcW w:w="544" w:type="pct"/>
            <w:tcBorders>
              <w:top w:val="nil"/>
              <w:left w:val="nil"/>
              <w:bottom w:val="nil"/>
              <w:right w:val="nil"/>
            </w:tcBorders>
            <w:shd w:val="clear" w:color="auto" w:fill="auto"/>
            <w:noWrap/>
            <w:vAlign w:val="bottom"/>
            <w:hideMark/>
          </w:tcPr>
          <w:p w:rsidR="00E608A3" w:rsidRPr="00C94167" w:rsidRDefault="00CA5829" w:rsidP="00810C7A">
            <w:pPr>
              <w:spacing w:after="0" w:line="240" w:lineRule="auto"/>
              <w:rPr>
                <w:rFonts w:eastAsia="Times New Roman"/>
                <w:color w:val="1F497D"/>
              </w:rPr>
            </w:pPr>
            <w:r>
              <w:rPr>
                <w:rFonts w:eastAsia="Times New Roman"/>
                <w:color w:val="1F497D"/>
              </w:rPr>
              <w:t>-0.5</w:t>
            </w:r>
          </w:p>
        </w:tc>
        <w:tc>
          <w:tcPr>
            <w:tcW w:w="544" w:type="pct"/>
            <w:tcBorders>
              <w:top w:val="nil"/>
              <w:left w:val="nil"/>
              <w:bottom w:val="nil"/>
              <w:right w:val="nil"/>
            </w:tcBorders>
            <w:shd w:val="clear" w:color="auto" w:fill="auto"/>
            <w:noWrap/>
            <w:vAlign w:val="bottom"/>
            <w:hideMark/>
          </w:tcPr>
          <w:p w:rsidR="00E608A3" w:rsidRPr="00C94167" w:rsidRDefault="00D62059" w:rsidP="00D62059">
            <w:pPr>
              <w:spacing w:after="0" w:line="240" w:lineRule="auto"/>
              <w:rPr>
                <w:rFonts w:eastAsia="Times New Roman"/>
                <w:b/>
                <w:bCs/>
                <w:color w:val="000000"/>
              </w:rPr>
            </w:pPr>
            <w:r>
              <w:rPr>
                <w:rFonts w:eastAsia="Times New Roman"/>
                <w:b/>
                <w:bCs/>
                <w:color w:val="000000"/>
              </w:rPr>
              <w:t>13</w:t>
            </w:r>
            <w:r w:rsidR="00E608A3" w:rsidRPr="00C94167">
              <w:rPr>
                <w:rFonts w:eastAsia="Times New Roman"/>
                <w:b/>
                <w:bCs/>
                <w:color w:val="000000"/>
              </w:rPr>
              <w:t>.</w:t>
            </w:r>
            <w:r>
              <w:rPr>
                <w:rFonts w:eastAsia="Times New Roman"/>
                <w:b/>
                <w:bCs/>
                <w:color w:val="000000"/>
              </w:rPr>
              <w:t>5</w:t>
            </w:r>
          </w:p>
        </w:tc>
        <w:tc>
          <w:tcPr>
            <w:tcW w:w="543" w:type="pct"/>
            <w:tcBorders>
              <w:top w:val="nil"/>
              <w:left w:val="nil"/>
              <w:bottom w:val="nil"/>
              <w:right w:val="nil"/>
            </w:tcBorders>
            <w:shd w:val="clear" w:color="auto" w:fill="auto"/>
            <w:noWrap/>
            <w:vAlign w:val="bottom"/>
            <w:hideMark/>
          </w:tcPr>
          <w:p w:rsidR="00E608A3" w:rsidRPr="00C94167" w:rsidRDefault="00D62059" w:rsidP="00810C7A">
            <w:pPr>
              <w:spacing w:after="0" w:line="240" w:lineRule="auto"/>
              <w:rPr>
                <w:rFonts w:eastAsia="Times New Roman"/>
                <w:color w:val="1F497D"/>
              </w:rPr>
            </w:pPr>
            <w:r>
              <w:rPr>
                <w:rFonts w:eastAsia="Times New Roman"/>
                <w:color w:val="1F497D"/>
              </w:rPr>
              <w:t>1.5</w:t>
            </w:r>
          </w:p>
        </w:tc>
      </w:tr>
      <w:tr w:rsidR="00E608A3" w:rsidRPr="00C94167"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E608A3" w:rsidRPr="00C94167" w:rsidRDefault="00E608A3" w:rsidP="00810C7A">
            <w:pPr>
              <w:spacing w:after="0" w:line="240" w:lineRule="auto"/>
              <w:rPr>
                <w:rFonts w:eastAsia="Times New Roman"/>
              </w:rPr>
            </w:pPr>
            <w:r w:rsidRPr="00C94167">
              <w:rPr>
                <w:rFonts w:eastAsia="Times New Roman"/>
                <w:rtl/>
              </w:rPr>
              <w:t>צריכה ציבורית (ללא יבוא ביטחוני)</w:t>
            </w:r>
          </w:p>
        </w:tc>
        <w:tc>
          <w:tcPr>
            <w:tcW w:w="544" w:type="pct"/>
            <w:tcBorders>
              <w:top w:val="nil"/>
              <w:left w:val="nil"/>
              <w:bottom w:val="nil"/>
              <w:right w:val="nil"/>
            </w:tcBorders>
            <w:shd w:val="clear" w:color="auto" w:fill="auto"/>
            <w:noWrap/>
            <w:vAlign w:val="bottom"/>
            <w:hideMark/>
          </w:tcPr>
          <w:p w:rsidR="00E608A3" w:rsidRPr="00C94167" w:rsidRDefault="004A0C0C" w:rsidP="00202296">
            <w:pPr>
              <w:spacing w:after="0" w:line="240" w:lineRule="auto"/>
              <w:rPr>
                <w:rFonts w:eastAsia="Times New Roman"/>
                <w:b/>
                <w:bCs/>
                <w:color w:val="000000"/>
              </w:rPr>
            </w:pPr>
            <w:r>
              <w:rPr>
                <w:rFonts w:eastAsia="Times New Roman"/>
                <w:b/>
                <w:bCs/>
                <w:color w:val="000000"/>
              </w:rPr>
              <w:t>1</w:t>
            </w:r>
            <w:r w:rsidR="00CA5829">
              <w:rPr>
                <w:rFonts w:eastAsia="Times New Roman"/>
                <w:b/>
                <w:bCs/>
                <w:color w:val="000000"/>
              </w:rPr>
              <w:t>.5</w:t>
            </w:r>
          </w:p>
        </w:tc>
        <w:tc>
          <w:tcPr>
            <w:tcW w:w="544" w:type="pct"/>
            <w:tcBorders>
              <w:top w:val="nil"/>
              <w:left w:val="nil"/>
              <w:bottom w:val="nil"/>
              <w:right w:val="nil"/>
            </w:tcBorders>
            <w:shd w:val="clear" w:color="auto" w:fill="auto"/>
            <w:noWrap/>
            <w:vAlign w:val="bottom"/>
            <w:hideMark/>
          </w:tcPr>
          <w:p w:rsidR="00E608A3" w:rsidRPr="00C94167" w:rsidRDefault="004A0C0C" w:rsidP="00810C7A">
            <w:pPr>
              <w:spacing w:after="0" w:line="240" w:lineRule="auto"/>
              <w:rPr>
                <w:rFonts w:eastAsia="Times New Roman"/>
                <w:color w:val="1F497D"/>
              </w:rPr>
            </w:pPr>
            <w:r>
              <w:rPr>
                <w:rFonts w:eastAsia="Times New Roman"/>
                <w:color w:val="1F497D"/>
              </w:rPr>
              <w:t>2</w:t>
            </w:r>
            <w:r w:rsidR="00E608A3">
              <w:rPr>
                <w:rFonts w:eastAsia="Times New Roman"/>
                <w:color w:val="1F497D"/>
              </w:rPr>
              <w:t>.0</w:t>
            </w:r>
          </w:p>
        </w:tc>
        <w:tc>
          <w:tcPr>
            <w:tcW w:w="544" w:type="pct"/>
            <w:tcBorders>
              <w:top w:val="nil"/>
              <w:left w:val="nil"/>
              <w:bottom w:val="nil"/>
              <w:right w:val="nil"/>
            </w:tcBorders>
            <w:shd w:val="clear" w:color="auto" w:fill="auto"/>
            <w:noWrap/>
            <w:vAlign w:val="bottom"/>
            <w:hideMark/>
          </w:tcPr>
          <w:p w:rsidR="00E608A3" w:rsidRPr="00C94167" w:rsidRDefault="00D62059" w:rsidP="00810C7A">
            <w:pPr>
              <w:spacing w:after="0" w:line="240" w:lineRule="auto"/>
              <w:rPr>
                <w:rFonts w:eastAsia="Times New Roman"/>
                <w:b/>
                <w:bCs/>
                <w:color w:val="000000"/>
              </w:rPr>
            </w:pPr>
            <w:r>
              <w:rPr>
                <w:rFonts w:eastAsia="Times New Roman"/>
                <w:b/>
                <w:bCs/>
                <w:color w:val="000000"/>
              </w:rPr>
              <w:t>-1.0</w:t>
            </w:r>
          </w:p>
        </w:tc>
        <w:tc>
          <w:tcPr>
            <w:tcW w:w="543" w:type="pct"/>
            <w:tcBorders>
              <w:top w:val="nil"/>
              <w:left w:val="nil"/>
              <w:bottom w:val="nil"/>
              <w:right w:val="nil"/>
            </w:tcBorders>
            <w:shd w:val="clear" w:color="auto" w:fill="auto"/>
            <w:noWrap/>
            <w:vAlign w:val="bottom"/>
            <w:hideMark/>
          </w:tcPr>
          <w:p w:rsidR="00E608A3" w:rsidRPr="00C94167" w:rsidRDefault="00D62059" w:rsidP="00810C7A">
            <w:pPr>
              <w:spacing w:after="0" w:line="240" w:lineRule="auto"/>
              <w:rPr>
                <w:rFonts w:eastAsia="Times New Roman"/>
                <w:color w:val="1F497D"/>
              </w:rPr>
            </w:pPr>
            <w:r>
              <w:rPr>
                <w:rFonts w:eastAsia="Times New Roman"/>
                <w:color w:val="1F497D"/>
              </w:rPr>
              <w:t>1.5</w:t>
            </w:r>
          </w:p>
        </w:tc>
      </w:tr>
      <w:tr w:rsidR="00E608A3" w:rsidRPr="00C94167"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E608A3" w:rsidRPr="00C94167" w:rsidRDefault="00E608A3" w:rsidP="00810C7A">
            <w:pPr>
              <w:spacing w:after="0" w:line="240" w:lineRule="auto"/>
              <w:rPr>
                <w:rFonts w:eastAsia="Times New Roman"/>
              </w:rPr>
            </w:pPr>
            <w:r w:rsidRPr="00C94167">
              <w:rPr>
                <w:rFonts w:eastAsia="Times New Roman"/>
                <w:rtl/>
              </w:rPr>
              <w:t>יצוא (ללא יהלומים והזנק)</w:t>
            </w:r>
          </w:p>
        </w:tc>
        <w:tc>
          <w:tcPr>
            <w:tcW w:w="544" w:type="pct"/>
            <w:tcBorders>
              <w:top w:val="nil"/>
              <w:left w:val="nil"/>
              <w:bottom w:val="nil"/>
              <w:right w:val="nil"/>
            </w:tcBorders>
            <w:shd w:val="clear" w:color="auto" w:fill="auto"/>
            <w:noWrap/>
            <w:vAlign w:val="bottom"/>
            <w:hideMark/>
          </w:tcPr>
          <w:p w:rsidR="00E608A3" w:rsidRPr="00C94167" w:rsidRDefault="00D62059" w:rsidP="00810C7A">
            <w:pPr>
              <w:spacing w:after="0" w:line="240" w:lineRule="auto"/>
              <w:rPr>
                <w:rFonts w:eastAsia="Times New Roman"/>
                <w:b/>
                <w:bCs/>
                <w:color w:val="000000"/>
              </w:rPr>
            </w:pPr>
            <w:r>
              <w:rPr>
                <w:rFonts w:eastAsia="Times New Roman"/>
                <w:b/>
                <w:bCs/>
                <w:color w:val="000000"/>
              </w:rPr>
              <w:t>4.0</w:t>
            </w:r>
          </w:p>
        </w:tc>
        <w:tc>
          <w:tcPr>
            <w:tcW w:w="544" w:type="pct"/>
            <w:tcBorders>
              <w:top w:val="nil"/>
              <w:left w:val="nil"/>
              <w:bottom w:val="nil"/>
              <w:right w:val="nil"/>
            </w:tcBorders>
            <w:shd w:val="clear" w:color="auto" w:fill="auto"/>
            <w:noWrap/>
            <w:vAlign w:val="bottom"/>
            <w:hideMark/>
          </w:tcPr>
          <w:p w:rsidR="00E608A3" w:rsidRPr="00C94167" w:rsidRDefault="00D62059" w:rsidP="00810C7A">
            <w:pPr>
              <w:spacing w:after="0" w:line="240" w:lineRule="auto"/>
              <w:rPr>
                <w:rFonts w:eastAsia="Times New Roman"/>
                <w:color w:val="1F497D"/>
              </w:rPr>
            </w:pPr>
            <w:r>
              <w:rPr>
                <w:rFonts w:eastAsia="Times New Roman"/>
                <w:color w:val="1F497D"/>
              </w:rPr>
              <w:t>1.5</w:t>
            </w:r>
          </w:p>
        </w:tc>
        <w:tc>
          <w:tcPr>
            <w:tcW w:w="544" w:type="pct"/>
            <w:tcBorders>
              <w:top w:val="nil"/>
              <w:left w:val="nil"/>
              <w:bottom w:val="nil"/>
              <w:right w:val="nil"/>
            </w:tcBorders>
            <w:shd w:val="clear" w:color="auto" w:fill="auto"/>
            <w:noWrap/>
            <w:vAlign w:val="bottom"/>
            <w:hideMark/>
          </w:tcPr>
          <w:p w:rsidR="00E608A3" w:rsidRPr="00C94167" w:rsidRDefault="00D62059" w:rsidP="00810C7A">
            <w:pPr>
              <w:spacing w:after="0" w:line="240" w:lineRule="auto"/>
              <w:rPr>
                <w:rFonts w:eastAsia="Times New Roman"/>
                <w:b/>
                <w:bCs/>
                <w:color w:val="000000"/>
                <w:rtl/>
              </w:rPr>
            </w:pPr>
            <w:r>
              <w:rPr>
                <w:rFonts w:eastAsia="Times New Roman"/>
                <w:b/>
                <w:bCs/>
                <w:color w:val="000000"/>
              </w:rPr>
              <w:t>3.0</w:t>
            </w:r>
          </w:p>
        </w:tc>
        <w:tc>
          <w:tcPr>
            <w:tcW w:w="543" w:type="pct"/>
            <w:tcBorders>
              <w:top w:val="nil"/>
              <w:left w:val="nil"/>
              <w:bottom w:val="nil"/>
              <w:right w:val="nil"/>
            </w:tcBorders>
            <w:shd w:val="clear" w:color="auto" w:fill="auto"/>
            <w:noWrap/>
            <w:vAlign w:val="bottom"/>
            <w:hideMark/>
          </w:tcPr>
          <w:p w:rsidR="00E608A3" w:rsidRPr="00C94167" w:rsidRDefault="00D62059" w:rsidP="00810C7A">
            <w:pPr>
              <w:spacing w:after="0" w:line="240" w:lineRule="auto"/>
              <w:rPr>
                <w:rFonts w:eastAsia="Times New Roman"/>
                <w:color w:val="1F497D"/>
              </w:rPr>
            </w:pPr>
            <w:r>
              <w:rPr>
                <w:rFonts w:eastAsia="Times New Roman"/>
                <w:color w:val="1F497D"/>
              </w:rPr>
              <w:t>0.5</w:t>
            </w:r>
          </w:p>
        </w:tc>
      </w:tr>
      <w:tr w:rsidR="00E608A3" w:rsidRPr="00C94167" w:rsidTr="00E07D9F">
        <w:trPr>
          <w:gridAfter w:val="1"/>
          <w:wAfter w:w="543" w:type="pct"/>
          <w:trHeight w:val="300"/>
        </w:trPr>
        <w:tc>
          <w:tcPr>
            <w:tcW w:w="2282" w:type="pct"/>
            <w:tcBorders>
              <w:top w:val="nil"/>
              <w:left w:val="nil"/>
              <w:bottom w:val="single" w:sz="4" w:space="0" w:color="1F497D"/>
              <w:right w:val="nil"/>
            </w:tcBorders>
            <w:shd w:val="clear" w:color="auto" w:fill="auto"/>
            <w:vAlign w:val="center"/>
            <w:hideMark/>
          </w:tcPr>
          <w:p w:rsidR="00E608A3" w:rsidRPr="00C94167" w:rsidRDefault="00E608A3" w:rsidP="00810C7A">
            <w:pPr>
              <w:spacing w:after="0" w:line="240" w:lineRule="auto"/>
              <w:rPr>
                <w:rFonts w:eastAsia="Times New Roman"/>
              </w:rPr>
            </w:pPr>
            <w:r w:rsidRPr="00C94167">
              <w:rPr>
                <w:rFonts w:eastAsia="Times New Roman"/>
                <w:rtl/>
              </w:rPr>
              <w:t>יבוא אזרחי (ללא יהלומים, אוניות ומטוסים)</w:t>
            </w:r>
          </w:p>
        </w:tc>
        <w:tc>
          <w:tcPr>
            <w:tcW w:w="544" w:type="pct"/>
            <w:tcBorders>
              <w:top w:val="nil"/>
              <w:left w:val="nil"/>
              <w:bottom w:val="single" w:sz="4" w:space="0" w:color="1F497D"/>
              <w:right w:val="nil"/>
            </w:tcBorders>
            <w:shd w:val="clear" w:color="auto" w:fill="auto"/>
            <w:noWrap/>
            <w:vAlign w:val="bottom"/>
            <w:hideMark/>
          </w:tcPr>
          <w:p w:rsidR="00E608A3" w:rsidRPr="00C94167" w:rsidRDefault="00D62059" w:rsidP="007479AE">
            <w:pPr>
              <w:spacing w:after="0" w:line="240" w:lineRule="auto"/>
              <w:rPr>
                <w:rFonts w:eastAsia="Times New Roman"/>
                <w:b/>
                <w:bCs/>
                <w:color w:val="000000"/>
              </w:rPr>
            </w:pPr>
            <w:r>
              <w:rPr>
                <w:rFonts w:eastAsia="Times New Roman"/>
                <w:b/>
                <w:bCs/>
                <w:color w:val="000000"/>
              </w:rPr>
              <w:t>8.0</w:t>
            </w:r>
          </w:p>
        </w:tc>
        <w:tc>
          <w:tcPr>
            <w:tcW w:w="544" w:type="pct"/>
            <w:tcBorders>
              <w:top w:val="nil"/>
              <w:left w:val="nil"/>
              <w:bottom w:val="single" w:sz="4" w:space="0" w:color="1F497D"/>
              <w:right w:val="nil"/>
            </w:tcBorders>
            <w:shd w:val="clear" w:color="auto" w:fill="auto"/>
            <w:noWrap/>
            <w:vAlign w:val="bottom"/>
            <w:hideMark/>
          </w:tcPr>
          <w:p w:rsidR="00E608A3" w:rsidRPr="00C94167" w:rsidRDefault="00D62059" w:rsidP="00810C7A">
            <w:pPr>
              <w:spacing w:after="0" w:line="240" w:lineRule="auto"/>
              <w:rPr>
                <w:rFonts w:eastAsia="Times New Roman"/>
                <w:color w:val="1F497D"/>
              </w:rPr>
            </w:pPr>
            <w:r>
              <w:rPr>
                <w:rFonts w:eastAsia="Times New Roman"/>
                <w:color w:val="1F497D"/>
              </w:rPr>
              <w:t>-4.5</w:t>
            </w:r>
          </w:p>
        </w:tc>
        <w:tc>
          <w:tcPr>
            <w:tcW w:w="544" w:type="pct"/>
            <w:tcBorders>
              <w:top w:val="nil"/>
              <w:left w:val="nil"/>
              <w:bottom w:val="single" w:sz="4" w:space="0" w:color="1F497D"/>
              <w:right w:val="nil"/>
            </w:tcBorders>
            <w:shd w:val="clear" w:color="auto" w:fill="auto"/>
            <w:noWrap/>
            <w:vAlign w:val="bottom"/>
            <w:hideMark/>
          </w:tcPr>
          <w:p w:rsidR="00E608A3" w:rsidRPr="00C94167" w:rsidRDefault="00D62059" w:rsidP="00810C7A">
            <w:pPr>
              <w:spacing w:after="0" w:line="240" w:lineRule="auto"/>
              <w:rPr>
                <w:rFonts w:eastAsia="Times New Roman"/>
                <w:b/>
                <w:bCs/>
                <w:color w:val="000000"/>
              </w:rPr>
            </w:pPr>
            <w:r>
              <w:rPr>
                <w:rFonts w:eastAsia="Times New Roman"/>
                <w:b/>
                <w:bCs/>
                <w:color w:val="000000"/>
              </w:rPr>
              <w:t>8.0</w:t>
            </w:r>
          </w:p>
        </w:tc>
        <w:tc>
          <w:tcPr>
            <w:tcW w:w="543" w:type="pct"/>
            <w:tcBorders>
              <w:top w:val="nil"/>
              <w:left w:val="nil"/>
              <w:bottom w:val="single" w:sz="4" w:space="0" w:color="1F497D"/>
              <w:right w:val="nil"/>
            </w:tcBorders>
            <w:shd w:val="clear" w:color="auto" w:fill="auto"/>
            <w:noWrap/>
            <w:vAlign w:val="bottom"/>
            <w:hideMark/>
          </w:tcPr>
          <w:p w:rsidR="00E608A3" w:rsidRPr="00C94167" w:rsidRDefault="00D62059" w:rsidP="007479AE">
            <w:pPr>
              <w:spacing w:after="0" w:line="240" w:lineRule="auto"/>
              <w:rPr>
                <w:rFonts w:eastAsia="Times New Roman"/>
                <w:color w:val="1F497D"/>
              </w:rPr>
            </w:pPr>
            <w:r>
              <w:rPr>
                <w:rFonts w:eastAsia="Times New Roman"/>
                <w:color w:val="1F497D"/>
              </w:rPr>
              <w:t>0.5</w:t>
            </w:r>
          </w:p>
        </w:tc>
      </w:tr>
      <w:tr w:rsidR="00E608A3" w:rsidRPr="00C94167"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E608A3" w:rsidRPr="00C94167" w:rsidRDefault="00E608A3" w:rsidP="00810C7A">
            <w:pPr>
              <w:spacing w:after="0" w:line="240" w:lineRule="auto"/>
              <w:rPr>
                <w:rFonts w:eastAsia="Times New Roman"/>
              </w:rPr>
            </w:pPr>
            <w:r w:rsidRPr="00C94167">
              <w:rPr>
                <w:rFonts w:eastAsia="Times New Roman" w:hint="cs"/>
                <w:rtl/>
              </w:rPr>
              <w:t>שיעור האבטלה הרחב (גיל</w:t>
            </w:r>
            <w:r>
              <w:rPr>
                <w:rFonts w:eastAsia="Times New Roman" w:hint="cs"/>
                <w:rtl/>
              </w:rPr>
              <w:t>א</w:t>
            </w:r>
            <w:r w:rsidRPr="00C94167">
              <w:rPr>
                <w:rFonts w:eastAsia="Times New Roman" w:hint="cs"/>
                <w:rtl/>
              </w:rPr>
              <w:t>י 25–64)</w:t>
            </w:r>
            <w:r w:rsidRPr="00C94167">
              <w:rPr>
                <w:rFonts w:eastAsia="Times New Roman"/>
                <w:vertAlign w:val="superscript"/>
                <w:rtl/>
              </w:rPr>
              <w:t>2</w:t>
            </w:r>
          </w:p>
        </w:tc>
        <w:tc>
          <w:tcPr>
            <w:tcW w:w="544" w:type="pct"/>
            <w:tcBorders>
              <w:top w:val="nil"/>
              <w:left w:val="nil"/>
              <w:bottom w:val="nil"/>
              <w:right w:val="nil"/>
            </w:tcBorders>
            <w:shd w:val="clear" w:color="auto" w:fill="auto"/>
            <w:vAlign w:val="center"/>
            <w:hideMark/>
          </w:tcPr>
          <w:p w:rsidR="00E608A3" w:rsidRPr="00C94167" w:rsidRDefault="00E608A3" w:rsidP="00F6516C">
            <w:pPr>
              <w:spacing w:after="0" w:line="240" w:lineRule="auto"/>
              <w:rPr>
                <w:rFonts w:eastAsia="Times New Roman"/>
                <w:b/>
                <w:bCs/>
                <w:color w:val="000000"/>
              </w:rPr>
            </w:pPr>
            <w:r>
              <w:rPr>
                <w:rFonts w:eastAsia="Times New Roman"/>
                <w:b/>
                <w:bCs/>
                <w:color w:val="000000"/>
              </w:rPr>
              <w:t>2.9</w:t>
            </w:r>
          </w:p>
        </w:tc>
        <w:tc>
          <w:tcPr>
            <w:tcW w:w="544" w:type="pct"/>
            <w:tcBorders>
              <w:top w:val="nil"/>
              <w:left w:val="nil"/>
              <w:bottom w:val="nil"/>
              <w:right w:val="nil"/>
            </w:tcBorders>
            <w:shd w:val="clear" w:color="auto" w:fill="auto"/>
            <w:vAlign w:val="center"/>
            <w:hideMark/>
          </w:tcPr>
          <w:p w:rsidR="00E608A3" w:rsidRPr="00C94167" w:rsidRDefault="00D62059" w:rsidP="00F6516C">
            <w:pPr>
              <w:spacing w:after="0" w:line="240" w:lineRule="auto"/>
              <w:rPr>
                <w:rFonts w:eastAsia="Times New Roman"/>
                <w:color w:val="1F497D"/>
              </w:rPr>
            </w:pPr>
            <w:r>
              <w:rPr>
                <w:rFonts w:eastAsia="Times New Roman"/>
                <w:color w:val="1F497D"/>
              </w:rPr>
              <w:t>0.0</w:t>
            </w:r>
          </w:p>
        </w:tc>
        <w:tc>
          <w:tcPr>
            <w:tcW w:w="544" w:type="pct"/>
            <w:tcBorders>
              <w:top w:val="nil"/>
              <w:left w:val="nil"/>
              <w:bottom w:val="nil"/>
              <w:right w:val="nil"/>
            </w:tcBorders>
            <w:shd w:val="clear" w:color="auto" w:fill="auto"/>
            <w:vAlign w:val="center"/>
            <w:hideMark/>
          </w:tcPr>
          <w:p w:rsidR="00E608A3" w:rsidRPr="00C94167" w:rsidRDefault="00E608A3" w:rsidP="00D62059">
            <w:pPr>
              <w:spacing w:after="0" w:line="240" w:lineRule="auto"/>
              <w:rPr>
                <w:rFonts w:eastAsia="Times New Roman"/>
                <w:b/>
                <w:bCs/>
                <w:color w:val="000000"/>
              </w:rPr>
            </w:pPr>
            <w:r>
              <w:rPr>
                <w:rFonts w:eastAsia="Times New Roman"/>
                <w:b/>
                <w:bCs/>
                <w:color w:val="000000"/>
              </w:rPr>
              <w:t>3.</w:t>
            </w:r>
            <w:r w:rsidR="00D62059">
              <w:rPr>
                <w:rFonts w:eastAsia="Times New Roman"/>
                <w:b/>
                <w:bCs/>
                <w:color w:val="000000"/>
              </w:rPr>
              <w:t>3</w:t>
            </w:r>
          </w:p>
        </w:tc>
        <w:tc>
          <w:tcPr>
            <w:tcW w:w="543" w:type="pct"/>
            <w:tcBorders>
              <w:top w:val="nil"/>
              <w:left w:val="nil"/>
              <w:bottom w:val="nil"/>
              <w:right w:val="nil"/>
            </w:tcBorders>
            <w:shd w:val="clear" w:color="auto" w:fill="auto"/>
            <w:vAlign w:val="center"/>
            <w:hideMark/>
          </w:tcPr>
          <w:p w:rsidR="00E608A3" w:rsidRPr="00C94167" w:rsidRDefault="00E608A3" w:rsidP="00F6516C">
            <w:pPr>
              <w:spacing w:after="0" w:line="240" w:lineRule="auto"/>
              <w:rPr>
                <w:rFonts w:eastAsia="Times New Roman"/>
                <w:color w:val="1F497D"/>
              </w:rPr>
            </w:pPr>
            <w:r>
              <w:rPr>
                <w:rFonts w:eastAsia="Times New Roman"/>
                <w:color w:val="1F497D"/>
              </w:rPr>
              <w:t>0.1</w:t>
            </w:r>
          </w:p>
        </w:tc>
      </w:tr>
      <w:tr w:rsidR="00E608A3" w:rsidRPr="00C94167" w:rsidTr="00E07D9F">
        <w:trPr>
          <w:gridAfter w:val="1"/>
          <w:wAfter w:w="543" w:type="pct"/>
          <w:trHeight w:val="300"/>
        </w:trPr>
        <w:tc>
          <w:tcPr>
            <w:tcW w:w="2282" w:type="pct"/>
            <w:tcBorders>
              <w:top w:val="nil"/>
              <w:left w:val="nil"/>
              <w:bottom w:val="single" w:sz="4" w:space="0" w:color="1F497D"/>
              <w:right w:val="nil"/>
            </w:tcBorders>
            <w:shd w:val="clear" w:color="auto" w:fill="auto"/>
            <w:vAlign w:val="center"/>
            <w:hideMark/>
          </w:tcPr>
          <w:p w:rsidR="00E608A3" w:rsidRPr="00C94167" w:rsidRDefault="00E608A3" w:rsidP="00810C7A">
            <w:pPr>
              <w:spacing w:after="0" w:line="240" w:lineRule="auto"/>
              <w:rPr>
                <w:rFonts w:eastAsia="Times New Roman"/>
              </w:rPr>
            </w:pPr>
            <w:r w:rsidRPr="00C94167">
              <w:rPr>
                <w:rFonts w:eastAsia="Times New Roman" w:hint="cs"/>
                <w:rtl/>
              </w:rPr>
              <w:t>שיעור התעסוקה המותאם (גיל</w:t>
            </w:r>
            <w:r>
              <w:rPr>
                <w:rFonts w:eastAsia="Times New Roman" w:hint="cs"/>
                <w:rtl/>
              </w:rPr>
              <w:t>א</w:t>
            </w:r>
            <w:r w:rsidRPr="00C94167">
              <w:rPr>
                <w:rFonts w:eastAsia="Times New Roman" w:hint="cs"/>
                <w:rtl/>
              </w:rPr>
              <w:t>י 25–64)</w:t>
            </w:r>
            <w:r w:rsidRPr="00C94167">
              <w:rPr>
                <w:rFonts w:eastAsia="Times New Roman"/>
                <w:vertAlign w:val="superscript"/>
                <w:rtl/>
              </w:rPr>
              <w:t>2</w:t>
            </w:r>
          </w:p>
        </w:tc>
        <w:tc>
          <w:tcPr>
            <w:tcW w:w="544" w:type="pct"/>
            <w:tcBorders>
              <w:top w:val="nil"/>
              <w:left w:val="nil"/>
              <w:bottom w:val="single" w:sz="4" w:space="0" w:color="1F497D"/>
              <w:right w:val="nil"/>
            </w:tcBorders>
            <w:shd w:val="clear" w:color="auto" w:fill="auto"/>
            <w:noWrap/>
            <w:vAlign w:val="bottom"/>
            <w:hideMark/>
          </w:tcPr>
          <w:p w:rsidR="00E608A3" w:rsidRPr="00C94167" w:rsidRDefault="00E608A3" w:rsidP="00F6516C">
            <w:pPr>
              <w:spacing w:after="0" w:line="240" w:lineRule="auto"/>
              <w:rPr>
                <w:rFonts w:eastAsia="Times New Roman"/>
                <w:b/>
                <w:bCs/>
                <w:color w:val="000000"/>
              </w:rPr>
            </w:pPr>
            <w:r w:rsidRPr="00C94167">
              <w:rPr>
                <w:rFonts w:eastAsia="Times New Roman"/>
                <w:b/>
                <w:bCs/>
                <w:color w:val="000000"/>
              </w:rPr>
              <w:t>78.</w:t>
            </w:r>
            <w:r>
              <w:rPr>
                <w:rFonts w:eastAsia="Times New Roman"/>
                <w:b/>
                <w:bCs/>
                <w:color w:val="000000"/>
              </w:rPr>
              <w:t>6</w:t>
            </w:r>
          </w:p>
        </w:tc>
        <w:tc>
          <w:tcPr>
            <w:tcW w:w="544" w:type="pct"/>
            <w:tcBorders>
              <w:top w:val="nil"/>
              <w:left w:val="nil"/>
              <w:bottom w:val="single" w:sz="4" w:space="0" w:color="1F497D"/>
              <w:right w:val="nil"/>
            </w:tcBorders>
            <w:shd w:val="clear" w:color="auto" w:fill="auto"/>
            <w:noWrap/>
            <w:vAlign w:val="bottom"/>
            <w:hideMark/>
          </w:tcPr>
          <w:p w:rsidR="00E608A3" w:rsidRPr="00C94167" w:rsidRDefault="00D62059" w:rsidP="00F6516C">
            <w:pPr>
              <w:spacing w:after="0" w:line="240" w:lineRule="auto"/>
              <w:rPr>
                <w:rFonts w:eastAsia="Times New Roman"/>
                <w:color w:val="1F497D"/>
              </w:rPr>
            </w:pPr>
            <w:r>
              <w:rPr>
                <w:rFonts w:eastAsia="Times New Roman"/>
                <w:color w:val="1F497D"/>
              </w:rPr>
              <w:t>0.0</w:t>
            </w:r>
          </w:p>
        </w:tc>
        <w:tc>
          <w:tcPr>
            <w:tcW w:w="544" w:type="pct"/>
            <w:tcBorders>
              <w:top w:val="nil"/>
              <w:left w:val="nil"/>
              <w:bottom w:val="single" w:sz="4" w:space="0" w:color="1F497D"/>
              <w:right w:val="nil"/>
            </w:tcBorders>
            <w:shd w:val="clear" w:color="auto" w:fill="auto"/>
            <w:noWrap/>
            <w:vAlign w:val="bottom"/>
            <w:hideMark/>
          </w:tcPr>
          <w:p w:rsidR="00E608A3" w:rsidRPr="00C94167" w:rsidRDefault="00E608A3" w:rsidP="00734D89">
            <w:pPr>
              <w:spacing w:after="0" w:line="240" w:lineRule="auto"/>
              <w:rPr>
                <w:rFonts w:eastAsia="Times New Roman"/>
                <w:b/>
                <w:bCs/>
                <w:color w:val="000000"/>
                <w:rtl/>
              </w:rPr>
            </w:pPr>
            <w:r w:rsidRPr="00C94167">
              <w:rPr>
                <w:rFonts w:eastAsia="Times New Roman"/>
                <w:b/>
                <w:bCs/>
                <w:color w:val="000000"/>
              </w:rPr>
              <w:t>78.</w:t>
            </w:r>
            <w:r w:rsidR="00734D89">
              <w:rPr>
                <w:rFonts w:eastAsia="Times New Roman"/>
                <w:b/>
                <w:bCs/>
                <w:color w:val="000000"/>
              </w:rPr>
              <w:t>7</w:t>
            </w:r>
          </w:p>
        </w:tc>
        <w:tc>
          <w:tcPr>
            <w:tcW w:w="543" w:type="pct"/>
            <w:tcBorders>
              <w:top w:val="nil"/>
              <w:left w:val="nil"/>
              <w:bottom w:val="single" w:sz="4" w:space="0" w:color="1F497D"/>
              <w:right w:val="nil"/>
            </w:tcBorders>
            <w:shd w:val="clear" w:color="auto" w:fill="auto"/>
            <w:noWrap/>
            <w:vAlign w:val="bottom"/>
            <w:hideMark/>
          </w:tcPr>
          <w:p w:rsidR="00E608A3" w:rsidRPr="00C94167" w:rsidRDefault="00D62059" w:rsidP="00734D89">
            <w:pPr>
              <w:spacing w:after="0" w:line="240" w:lineRule="auto"/>
              <w:rPr>
                <w:rFonts w:eastAsia="Times New Roman"/>
                <w:color w:val="1F497D"/>
                <w:rtl/>
              </w:rPr>
            </w:pPr>
            <w:r>
              <w:rPr>
                <w:rFonts w:eastAsia="Times New Roman"/>
                <w:color w:val="1F497D"/>
              </w:rPr>
              <w:t>0.</w:t>
            </w:r>
            <w:r w:rsidR="00734D89">
              <w:rPr>
                <w:rFonts w:eastAsia="Times New Roman"/>
                <w:color w:val="1F497D"/>
              </w:rPr>
              <w:t>3</w:t>
            </w:r>
          </w:p>
        </w:tc>
      </w:tr>
      <w:tr w:rsidR="00E608A3" w:rsidRPr="00C94167"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E608A3" w:rsidRPr="00564538" w:rsidRDefault="00E608A3" w:rsidP="00810C7A">
            <w:pPr>
              <w:spacing w:after="0" w:line="240" w:lineRule="auto"/>
              <w:rPr>
                <w:rFonts w:eastAsia="Times New Roman"/>
              </w:rPr>
            </w:pPr>
            <w:r w:rsidRPr="00564538">
              <w:rPr>
                <w:rFonts w:eastAsia="Times New Roman" w:hint="eastAsia"/>
                <w:rtl/>
              </w:rPr>
              <w:t>גירעון</w:t>
            </w:r>
            <w:r w:rsidRPr="00564538">
              <w:rPr>
                <w:rFonts w:eastAsia="Times New Roman"/>
                <w:rtl/>
              </w:rPr>
              <w:t xml:space="preserve"> </w:t>
            </w:r>
            <w:r w:rsidRPr="00564538">
              <w:rPr>
                <w:rFonts w:eastAsia="Times New Roman" w:hint="eastAsia"/>
                <w:rtl/>
              </w:rPr>
              <w:t>הממשלה</w:t>
            </w:r>
            <w:r w:rsidRPr="00564538">
              <w:rPr>
                <w:rFonts w:eastAsia="Times New Roman"/>
                <w:rtl/>
              </w:rPr>
              <w:t xml:space="preserve"> (אחוזי </w:t>
            </w:r>
            <w:r w:rsidRPr="00564538">
              <w:rPr>
                <w:rFonts w:eastAsia="Times New Roman" w:hint="eastAsia"/>
                <w:rtl/>
              </w:rPr>
              <w:t>תוצר</w:t>
            </w:r>
            <w:r w:rsidRPr="00564538">
              <w:rPr>
                <w:rFonts w:eastAsia="Times New Roman"/>
                <w:rtl/>
              </w:rPr>
              <w:t>)</w:t>
            </w:r>
          </w:p>
        </w:tc>
        <w:tc>
          <w:tcPr>
            <w:tcW w:w="544" w:type="pct"/>
            <w:tcBorders>
              <w:top w:val="nil"/>
              <w:left w:val="nil"/>
              <w:bottom w:val="nil"/>
              <w:right w:val="nil"/>
            </w:tcBorders>
            <w:shd w:val="clear" w:color="auto" w:fill="auto"/>
            <w:noWrap/>
            <w:vAlign w:val="bottom"/>
            <w:hideMark/>
          </w:tcPr>
          <w:p w:rsidR="00E608A3" w:rsidRPr="00556EFB" w:rsidRDefault="00FD16FC" w:rsidP="00936D72">
            <w:pPr>
              <w:spacing w:after="0" w:line="240" w:lineRule="auto"/>
              <w:rPr>
                <w:rFonts w:eastAsia="Times New Roman"/>
                <w:b/>
                <w:bCs/>
              </w:rPr>
            </w:pPr>
            <w:r w:rsidRPr="00556EFB">
              <w:rPr>
                <w:rFonts w:eastAsia="Times New Roman"/>
                <w:b/>
                <w:bCs/>
              </w:rPr>
              <w:t>4.</w:t>
            </w:r>
            <w:r w:rsidR="00936D72" w:rsidRPr="00556EFB">
              <w:rPr>
                <w:rFonts w:eastAsia="Times New Roman"/>
                <w:b/>
                <w:bCs/>
              </w:rPr>
              <w:t>9</w:t>
            </w:r>
          </w:p>
        </w:tc>
        <w:tc>
          <w:tcPr>
            <w:tcW w:w="544" w:type="pct"/>
            <w:tcBorders>
              <w:top w:val="nil"/>
              <w:left w:val="nil"/>
              <w:bottom w:val="nil"/>
              <w:right w:val="nil"/>
            </w:tcBorders>
            <w:shd w:val="clear" w:color="auto" w:fill="auto"/>
            <w:noWrap/>
            <w:vAlign w:val="bottom"/>
            <w:hideMark/>
          </w:tcPr>
          <w:p w:rsidR="00E608A3" w:rsidRPr="00556EFB" w:rsidRDefault="00564538" w:rsidP="0051640C">
            <w:pPr>
              <w:spacing w:after="0" w:line="240" w:lineRule="auto"/>
              <w:rPr>
                <w:rFonts w:eastAsia="Times New Roman"/>
              </w:rPr>
            </w:pPr>
            <w:r w:rsidRPr="00556EFB">
              <w:rPr>
                <w:rFonts w:eastAsia="Times New Roman"/>
                <w:color w:val="1F497D"/>
              </w:rPr>
              <w:t>0.7</w:t>
            </w:r>
          </w:p>
        </w:tc>
        <w:tc>
          <w:tcPr>
            <w:tcW w:w="544" w:type="pct"/>
            <w:tcBorders>
              <w:top w:val="nil"/>
              <w:left w:val="nil"/>
              <w:bottom w:val="nil"/>
              <w:right w:val="nil"/>
            </w:tcBorders>
            <w:shd w:val="clear" w:color="auto" w:fill="auto"/>
            <w:noWrap/>
            <w:vAlign w:val="bottom"/>
            <w:hideMark/>
          </w:tcPr>
          <w:p w:rsidR="00E608A3" w:rsidRPr="00556EFB" w:rsidRDefault="00D62059" w:rsidP="00556EFB">
            <w:pPr>
              <w:spacing w:after="0" w:line="240" w:lineRule="auto"/>
              <w:rPr>
                <w:rFonts w:eastAsia="Times New Roman"/>
                <w:b/>
                <w:bCs/>
              </w:rPr>
            </w:pPr>
            <w:r w:rsidRPr="00556EFB">
              <w:rPr>
                <w:rFonts w:eastAsia="Times New Roman"/>
                <w:b/>
                <w:bCs/>
              </w:rPr>
              <w:t>4.</w:t>
            </w:r>
            <w:r w:rsidR="00556EFB" w:rsidRPr="00556EFB">
              <w:rPr>
                <w:rFonts w:eastAsia="Times New Roman"/>
                <w:b/>
                <w:bCs/>
              </w:rPr>
              <w:t>2</w:t>
            </w:r>
          </w:p>
        </w:tc>
        <w:tc>
          <w:tcPr>
            <w:tcW w:w="543" w:type="pct"/>
            <w:tcBorders>
              <w:top w:val="nil"/>
              <w:left w:val="nil"/>
              <w:bottom w:val="nil"/>
              <w:right w:val="nil"/>
            </w:tcBorders>
            <w:shd w:val="clear" w:color="auto" w:fill="auto"/>
            <w:noWrap/>
            <w:vAlign w:val="bottom"/>
            <w:hideMark/>
          </w:tcPr>
          <w:p w:rsidR="00E608A3" w:rsidRPr="00556EFB" w:rsidRDefault="00564538" w:rsidP="00556EFB">
            <w:pPr>
              <w:spacing w:after="0" w:line="240" w:lineRule="auto"/>
              <w:rPr>
                <w:rFonts w:eastAsia="Times New Roman"/>
                <w:rtl/>
              </w:rPr>
            </w:pPr>
            <w:r w:rsidRPr="00556EFB">
              <w:rPr>
                <w:rFonts w:eastAsia="Times New Roman"/>
                <w:color w:val="1F497D"/>
              </w:rPr>
              <w:t>1.</w:t>
            </w:r>
            <w:r w:rsidR="00556EFB">
              <w:rPr>
                <w:rFonts w:eastAsia="Times New Roman"/>
                <w:color w:val="1F497D"/>
              </w:rPr>
              <w:t>3</w:t>
            </w:r>
          </w:p>
        </w:tc>
      </w:tr>
      <w:tr w:rsidR="00E608A3" w:rsidRPr="00C94167" w:rsidTr="00E07D9F">
        <w:trPr>
          <w:gridAfter w:val="1"/>
          <w:wAfter w:w="543" w:type="pct"/>
          <w:trHeight w:val="300"/>
        </w:trPr>
        <w:tc>
          <w:tcPr>
            <w:tcW w:w="2282" w:type="pct"/>
            <w:tcBorders>
              <w:top w:val="nil"/>
              <w:left w:val="nil"/>
              <w:bottom w:val="single" w:sz="4" w:space="0" w:color="1F497D"/>
              <w:right w:val="nil"/>
            </w:tcBorders>
            <w:shd w:val="clear" w:color="auto" w:fill="auto"/>
            <w:vAlign w:val="center"/>
            <w:hideMark/>
          </w:tcPr>
          <w:p w:rsidR="00E608A3" w:rsidRPr="00C94167" w:rsidRDefault="00E608A3" w:rsidP="00810C7A">
            <w:pPr>
              <w:spacing w:after="0" w:line="240" w:lineRule="auto"/>
              <w:rPr>
                <w:rFonts w:eastAsia="Times New Roman"/>
              </w:rPr>
            </w:pPr>
            <w:r w:rsidRPr="00C94167">
              <w:rPr>
                <w:rFonts w:eastAsia="Times New Roman" w:hint="cs"/>
                <w:rtl/>
              </w:rPr>
              <w:t>יחס החוב לתוצר</w:t>
            </w:r>
            <w:r>
              <w:rPr>
                <w:rFonts w:eastAsia="Times New Roman" w:hint="cs"/>
                <w:rtl/>
              </w:rPr>
              <w:t xml:space="preserve"> </w:t>
            </w:r>
            <w:r w:rsidRPr="00C94167">
              <w:rPr>
                <w:rFonts w:eastAsia="Times New Roman" w:hint="cs"/>
                <w:rtl/>
              </w:rPr>
              <w:t>(אחוזי תוצר)</w:t>
            </w:r>
          </w:p>
        </w:tc>
        <w:tc>
          <w:tcPr>
            <w:tcW w:w="544" w:type="pct"/>
            <w:tcBorders>
              <w:top w:val="nil"/>
              <w:left w:val="nil"/>
              <w:bottom w:val="single" w:sz="4" w:space="0" w:color="1F497D"/>
              <w:right w:val="nil"/>
            </w:tcBorders>
            <w:shd w:val="clear" w:color="auto" w:fill="auto"/>
            <w:noWrap/>
            <w:vAlign w:val="bottom"/>
            <w:hideMark/>
          </w:tcPr>
          <w:p w:rsidR="00E608A3" w:rsidRPr="00556EFB" w:rsidRDefault="00D62059" w:rsidP="00810C7A">
            <w:pPr>
              <w:spacing w:after="0" w:line="240" w:lineRule="auto"/>
              <w:rPr>
                <w:rFonts w:eastAsia="Times New Roman"/>
                <w:b/>
                <w:bCs/>
                <w:color w:val="000000"/>
              </w:rPr>
            </w:pPr>
            <w:r w:rsidRPr="00556EFB">
              <w:rPr>
                <w:rFonts w:eastAsia="Times New Roman"/>
                <w:b/>
                <w:bCs/>
                <w:color w:val="000000"/>
              </w:rPr>
              <w:t>70</w:t>
            </w:r>
          </w:p>
        </w:tc>
        <w:tc>
          <w:tcPr>
            <w:tcW w:w="544" w:type="pct"/>
            <w:tcBorders>
              <w:top w:val="nil"/>
              <w:left w:val="nil"/>
              <w:bottom w:val="single" w:sz="4" w:space="0" w:color="1F497D"/>
              <w:right w:val="nil"/>
            </w:tcBorders>
            <w:shd w:val="clear" w:color="auto" w:fill="auto"/>
            <w:noWrap/>
            <w:vAlign w:val="bottom"/>
            <w:hideMark/>
          </w:tcPr>
          <w:p w:rsidR="00E608A3" w:rsidRPr="00556EFB" w:rsidRDefault="00D62059" w:rsidP="00810C7A">
            <w:pPr>
              <w:spacing w:after="0" w:line="240" w:lineRule="auto"/>
              <w:rPr>
                <w:rFonts w:eastAsia="Times New Roman"/>
                <w:color w:val="1F497D"/>
              </w:rPr>
            </w:pPr>
            <w:r w:rsidRPr="00556EFB">
              <w:rPr>
                <w:rFonts w:eastAsia="Times New Roman"/>
                <w:color w:val="1F497D"/>
              </w:rPr>
              <w:t>1</w:t>
            </w:r>
          </w:p>
        </w:tc>
        <w:tc>
          <w:tcPr>
            <w:tcW w:w="544" w:type="pct"/>
            <w:tcBorders>
              <w:top w:val="nil"/>
              <w:left w:val="nil"/>
              <w:bottom w:val="single" w:sz="4" w:space="0" w:color="1F497D"/>
              <w:right w:val="nil"/>
            </w:tcBorders>
            <w:shd w:val="clear" w:color="auto" w:fill="auto"/>
            <w:noWrap/>
            <w:vAlign w:val="bottom"/>
            <w:hideMark/>
          </w:tcPr>
          <w:p w:rsidR="00E608A3" w:rsidRPr="00556EFB" w:rsidRDefault="00D62059" w:rsidP="00430A11">
            <w:pPr>
              <w:spacing w:after="0" w:line="240" w:lineRule="auto"/>
              <w:rPr>
                <w:rFonts w:eastAsia="Times New Roman"/>
                <w:b/>
                <w:bCs/>
                <w:color w:val="000000"/>
              </w:rPr>
            </w:pPr>
            <w:r w:rsidRPr="00556EFB">
              <w:rPr>
                <w:rFonts w:eastAsia="Times New Roman"/>
                <w:b/>
                <w:bCs/>
                <w:color w:val="000000"/>
              </w:rPr>
              <w:t>71</w:t>
            </w:r>
          </w:p>
        </w:tc>
        <w:tc>
          <w:tcPr>
            <w:tcW w:w="543" w:type="pct"/>
            <w:tcBorders>
              <w:top w:val="nil"/>
              <w:left w:val="nil"/>
              <w:bottom w:val="single" w:sz="4" w:space="0" w:color="1F497D"/>
              <w:right w:val="nil"/>
            </w:tcBorders>
            <w:shd w:val="clear" w:color="auto" w:fill="auto"/>
            <w:noWrap/>
            <w:vAlign w:val="bottom"/>
            <w:hideMark/>
          </w:tcPr>
          <w:p w:rsidR="00E608A3" w:rsidRPr="00556EFB" w:rsidRDefault="00D62059" w:rsidP="00810C7A">
            <w:pPr>
              <w:spacing w:after="0" w:line="240" w:lineRule="auto"/>
              <w:rPr>
                <w:rFonts w:eastAsia="Times New Roman"/>
                <w:color w:val="1F497D"/>
              </w:rPr>
            </w:pPr>
            <w:r w:rsidRPr="00556EFB">
              <w:rPr>
                <w:rFonts w:eastAsia="Times New Roman"/>
                <w:color w:val="1F497D"/>
              </w:rPr>
              <w:t>3</w:t>
            </w:r>
          </w:p>
        </w:tc>
      </w:tr>
      <w:tr w:rsidR="00E608A3" w:rsidRPr="00C94167" w:rsidTr="00E07D9F">
        <w:trPr>
          <w:gridAfter w:val="1"/>
          <w:wAfter w:w="543" w:type="pct"/>
          <w:trHeight w:val="300"/>
        </w:trPr>
        <w:tc>
          <w:tcPr>
            <w:tcW w:w="2282" w:type="pct"/>
            <w:tcBorders>
              <w:top w:val="nil"/>
              <w:left w:val="nil"/>
              <w:bottom w:val="single" w:sz="4" w:space="0" w:color="1F497D"/>
              <w:right w:val="nil"/>
            </w:tcBorders>
            <w:shd w:val="clear" w:color="auto" w:fill="auto"/>
            <w:vAlign w:val="center"/>
            <w:hideMark/>
          </w:tcPr>
          <w:p w:rsidR="00E608A3" w:rsidRPr="00C94167" w:rsidRDefault="00E608A3" w:rsidP="00810C7A">
            <w:pPr>
              <w:spacing w:after="0" w:line="240" w:lineRule="auto"/>
              <w:rPr>
                <w:rFonts w:eastAsia="Times New Roman"/>
                <w:color w:val="000000"/>
              </w:rPr>
            </w:pPr>
            <w:r w:rsidRPr="00C94167">
              <w:rPr>
                <w:rFonts w:eastAsia="Times New Roman"/>
                <w:color w:val="000000"/>
                <w:rtl/>
              </w:rPr>
              <w:t>אינפלציה</w:t>
            </w:r>
            <w:r w:rsidRPr="00C94167">
              <w:rPr>
                <w:rFonts w:eastAsia="Times New Roman"/>
                <w:color w:val="000000"/>
                <w:vertAlign w:val="superscript"/>
                <w:rtl/>
              </w:rPr>
              <w:t>3</w:t>
            </w:r>
          </w:p>
        </w:tc>
        <w:tc>
          <w:tcPr>
            <w:tcW w:w="544" w:type="pct"/>
            <w:tcBorders>
              <w:top w:val="nil"/>
              <w:left w:val="nil"/>
              <w:bottom w:val="single" w:sz="4" w:space="0" w:color="1F497D"/>
              <w:right w:val="nil"/>
            </w:tcBorders>
            <w:shd w:val="clear" w:color="auto" w:fill="auto"/>
            <w:noWrap/>
            <w:vAlign w:val="bottom"/>
            <w:hideMark/>
          </w:tcPr>
          <w:p w:rsidR="00E608A3" w:rsidRPr="002C7CC8" w:rsidRDefault="00E608A3" w:rsidP="00C9553E">
            <w:pPr>
              <w:spacing w:after="0" w:line="240" w:lineRule="auto"/>
              <w:rPr>
                <w:rFonts w:eastAsia="Times New Roman" w:cstheme="minorBidi"/>
                <w:b/>
                <w:bCs/>
                <w:color w:val="000000"/>
              </w:rPr>
            </w:pPr>
            <w:r>
              <w:rPr>
                <w:rFonts w:eastAsia="Times New Roman"/>
                <w:b/>
                <w:bCs/>
                <w:color w:val="000000"/>
              </w:rPr>
              <w:t>2.</w:t>
            </w:r>
            <w:r w:rsidR="00C9553E">
              <w:rPr>
                <w:rFonts w:eastAsia="Times New Roman"/>
                <w:b/>
                <w:bCs/>
                <w:color w:val="000000"/>
              </w:rPr>
              <w:t>6</w:t>
            </w:r>
          </w:p>
        </w:tc>
        <w:tc>
          <w:tcPr>
            <w:tcW w:w="544" w:type="pct"/>
            <w:tcBorders>
              <w:top w:val="nil"/>
              <w:left w:val="nil"/>
              <w:bottom w:val="single" w:sz="4" w:space="0" w:color="1F497D"/>
              <w:right w:val="nil"/>
            </w:tcBorders>
            <w:shd w:val="clear" w:color="auto" w:fill="auto"/>
            <w:noWrap/>
            <w:vAlign w:val="bottom"/>
            <w:hideMark/>
          </w:tcPr>
          <w:p w:rsidR="00E608A3" w:rsidRPr="00C94167" w:rsidRDefault="00E608A3" w:rsidP="00C9553E">
            <w:pPr>
              <w:spacing w:after="0" w:line="240" w:lineRule="auto"/>
              <w:rPr>
                <w:rFonts w:eastAsia="Times New Roman"/>
                <w:color w:val="1F497D"/>
              </w:rPr>
            </w:pPr>
            <w:r w:rsidRPr="00C94167">
              <w:rPr>
                <w:rFonts w:eastAsia="Times New Roman"/>
                <w:color w:val="1F497D"/>
              </w:rPr>
              <w:t>0.</w:t>
            </w:r>
            <w:r w:rsidR="00C9553E">
              <w:rPr>
                <w:rFonts w:eastAsia="Times New Roman"/>
                <w:color w:val="1F497D"/>
              </w:rPr>
              <w:t>0</w:t>
            </w:r>
          </w:p>
        </w:tc>
        <w:tc>
          <w:tcPr>
            <w:tcW w:w="544" w:type="pct"/>
            <w:tcBorders>
              <w:top w:val="nil"/>
              <w:left w:val="nil"/>
              <w:bottom w:val="single" w:sz="4" w:space="0" w:color="1F497D"/>
              <w:right w:val="nil"/>
            </w:tcBorders>
            <w:shd w:val="clear" w:color="auto" w:fill="auto"/>
            <w:noWrap/>
            <w:vAlign w:val="bottom"/>
            <w:hideMark/>
          </w:tcPr>
          <w:p w:rsidR="00E608A3" w:rsidRPr="00C94167" w:rsidRDefault="00E608A3" w:rsidP="00D62059">
            <w:pPr>
              <w:spacing w:after="0" w:line="240" w:lineRule="auto"/>
              <w:rPr>
                <w:rFonts w:eastAsia="Times New Roman"/>
                <w:b/>
                <w:bCs/>
                <w:color w:val="000000"/>
              </w:rPr>
            </w:pPr>
            <w:r w:rsidRPr="00C94167">
              <w:rPr>
                <w:rFonts w:eastAsia="Times New Roman"/>
                <w:b/>
                <w:bCs/>
                <w:color w:val="000000"/>
              </w:rPr>
              <w:t>2.</w:t>
            </w:r>
            <w:r w:rsidR="00D62059">
              <w:rPr>
                <w:rFonts w:eastAsia="Times New Roman"/>
                <w:b/>
                <w:bCs/>
                <w:color w:val="000000"/>
              </w:rPr>
              <w:t>0</w:t>
            </w:r>
          </w:p>
        </w:tc>
        <w:tc>
          <w:tcPr>
            <w:tcW w:w="543" w:type="pct"/>
            <w:tcBorders>
              <w:top w:val="nil"/>
              <w:left w:val="nil"/>
              <w:bottom w:val="single" w:sz="4" w:space="0" w:color="1F497D"/>
              <w:right w:val="nil"/>
            </w:tcBorders>
            <w:shd w:val="clear" w:color="auto" w:fill="auto"/>
            <w:noWrap/>
            <w:vAlign w:val="bottom"/>
            <w:hideMark/>
          </w:tcPr>
          <w:p w:rsidR="00E608A3" w:rsidRPr="00C94167" w:rsidRDefault="00E608A3" w:rsidP="00D62059">
            <w:pPr>
              <w:spacing w:after="0" w:line="240" w:lineRule="auto"/>
              <w:rPr>
                <w:rFonts w:eastAsia="Times New Roman"/>
                <w:color w:val="1F497D"/>
              </w:rPr>
            </w:pPr>
            <w:r>
              <w:rPr>
                <w:rFonts w:eastAsia="Times New Roman"/>
                <w:color w:val="1F497D"/>
              </w:rPr>
              <w:t>-0.</w:t>
            </w:r>
            <w:r w:rsidR="00D62059">
              <w:rPr>
                <w:rFonts w:eastAsia="Times New Roman"/>
                <w:color w:val="1F497D"/>
              </w:rPr>
              <w:t>2</w:t>
            </w:r>
          </w:p>
        </w:tc>
      </w:tr>
      <w:bookmarkEnd w:id="2"/>
      <w:tr w:rsidR="00FB2C1E" w:rsidRPr="00C94167" w:rsidTr="00D17817">
        <w:trPr>
          <w:trHeight w:val="300"/>
        </w:trPr>
        <w:tc>
          <w:tcPr>
            <w:tcW w:w="5000" w:type="pct"/>
            <w:gridSpan w:val="6"/>
            <w:tcBorders>
              <w:top w:val="single" w:sz="4" w:space="0" w:color="1F497D"/>
              <w:left w:val="nil"/>
              <w:bottom w:val="nil"/>
              <w:right w:val="nil"/>
            </w:tcBorders>
            <w:shd w:val="clear" w:color="auto" w:fill="auto"/>
            <w:noWrap/>
            <w:vAlign w:val="center"/>
            <w:hideMark/>
          </w:tcPr>
          <w:p w:rsidR="00FB2C1E" w:rsidRPr="00C94167" w:rsidRDefault="00FB2C1E" w:rsidP="00D17817">
            <w:pPr>
              <w:spacing w:after="0" w:line="240" w:lineRule="auto"/>
              <w:rPr>
                <w:rFonts w:eastAsia="Times New Roman"/>
                <w:color w:val="000000"/>
                <w:sz w:val="20"/>
                <w:szCs w:val="20"/>
                <w:rtl/>
              </w:rPr>
            </w:pPr>
            <w:r w:rsidRPr="00C94167">
              <w:rPr>
                <w:rFonts w:eastAsia="Times New Roman"/>
                <w:color w:val="000000"/>
                <w:sz w:val="20"/>
                <w:szCs w:val="20"/>
                <w:vertAlign w:val="superscript"/>
                <w:rtl/>
              </w:rPr>
              <w:t>1</w:t>
            </w:r>
            <w:r w:rsidRPr="00C94167">
              <w:rPr>
                <w:rFonts w:eastAsia="Times New Roman"/>
                <w:color w:val="000000"/>
                <w:sz w:val="20"/>
                <w:szCs w:val="20"/>
                <w:rtl/>
              </w:rPr>
              <w:t xml:space="preserve"> </w:t>
            </w:r>
            <w:r w:rsidRPr="002C7CC8">
              <w:rPr>
                <w:rFonts w:eastAsia="Times New Roman"/>
                <w:color w:val="000000"/>
                <w:sz w:val="20"/>
                <w:szCs w:val="20"/>
                <w:rtl/>
              </w:rPr>
              <w:t>התחזית לרכיבי החשבונאות הלאומית מעוגלת לחצי נקודת אחוז והתחזית לחוב הציבורי מעוגלת לנקודת אחוז.</w:t>
            </w:r>
          </w:p>
        </w:tc>
      </w:tr>
      <w:tr w:rsidR="00FB2C1E" w:rsidRPr="00C94167" w:rsidTr="00D17817">
        <w:trPr>
          <w:trHeight w:val="765"/>
        </w:trPr>
        <w:tc>
          <w:tcPr>
            <w:tcW w:w="5000" w:type="pct"/>
            <w:gridSpan w:val="6"/>
            <w:tcBorders>
              <w:top w:val="nil"/>
              <w:left w:val="nil"/>
              <w:bottom w:val="nil"/>
              <w:right w:val="nil"/>
            </w:tcBorders>
            <w:shd w:val="clear" w:color="auto" w:fill="auto"/>
            <w:vAlign w:val="bottom"/>
            <w:hideMark/>
          </w:tcPr>
          <w:p w:rsidR="00FB2C1E" w:rsidRPr="00C94167" w:rsidRDefault="00FB2C1E" w:rsidP="00D17817">
            <w:pPr>
              <w:spacing w:after="0" w:line="240" w:lineRule="auto"/>
              <w:rPr>
                <w:rFonts w:eastAsia="Times New Roman"/>
                <w:color w:val="000000"/>
                <w:sz w:val="20"/>
                <w:szCs w:val="20"/>
                <w:rtl/>
              </w:rPr>
            </w:pPr>
            <w:r w:rsidRPr="00C94167">
              <w:rPr>
                <w:rFonts w:eastAsia="Times New Roman"/>
                <w:color w:val="000000"/>
                <w:sz w:val="20"/>
                <w:szCs w:val="20"/>
                <w:vertAlign w:val="superscript"/>
                <w:rtl/>
              </w:rPr>
              <w:t>2</w:t>
            </w:r>
            <w:r w:rsidRPr="00C94167">
              <w:rPr>
                <w:rFonts w:eastAsia="Times New Roman"/>
                <w:color w:val="000000"/>
                <w:sz w:val="20"/>
                <w:szCs w:val="20"/>
                <w:rtl/>
              </w:rPr>
              <w:t xml:space="preserve"> ממוצע שנתי. בהתאם להגדרה של </w:t>
            </w:r>
            <w:proofErr w:type="spellStart"/>
            <w:r w:rsidRPr="00C94167">
              <w:rPr>
                <w:rFonts w:eastAsia="Times New Roman"/>
                <w:color w:val="000000"/>
                <w:sz w:val="20"/>
                <w:szCs w:val="20"/>
                <w:rtl/>
              </w:rPr>
              <w:t>הלמ"ס</w:t>
            </w:r>
            <w:proofErr w:type="spellEnd"/>
            <w:r w:rsidRPr="00C94167">
              <w:rPr>
                <w:rFonts w:eastAsia="Times New Roman"/>
                <w:color w:val="000000"/>
                <w:sz w:val="20"/>
                <w:szCs w:val="20"/>
                <w:rtl/>
              </w:rPr>
              <w:t>, שיעור האבטלה הרחב כולל את המובטלים בהגדרתם הרגילה (מי שלא עבדו, רצו לעבוד, היו פנויים לעבודה, וחיפשו עבודה) ואת המועסקים שנעדרים זמנית מעבודתם מסיבות כלכליות (כולל עובדים בחל"ת). בהתאם, שיעור התעסוקה המותאם אינו כולל את הנעדרים זמנית מסיבות כלכליות.</w:t>
            </w:r>
          </w:p>
        </w:tc>
      </w:tr>
      <w:tr w:rsidR="00FB2C1E" w:rsidRPr="00C94167" w:rsidTr="00D17817">
        <w:trPr>
          <w:trHeight w:val="300"/>
        </w:trPr>
        <w:tc>
          <w:tcPr>
            <w:tcW w:w="5000" w:type="pct"/>
            <w:gridSpan w:val="6"/>
            <w:tcBorders>
              <w:top w:val="nil"/>
              <w:left w:val="nil"/>
              <w:bottom w:val="nil"/>
              <w:right w:val="nil"/>
            </w:tcBorders>
            <w:shd w:val="clear" w:color="auto" w:fill="auto"/>
            <w:noWrap/>
            <w:vAlign w:val="bottom"/>
            <w:hideMark/>
          </w:tcPr>
          <w:p w:rsidR="00FB2C1E" w:rsidRPr="00C94167" w:rsidRDefault="00FB2C1E" w:rsidP="00D17817">
            <w:pPr>
              <w:spacing w:after="0" w:line="240" w:lineRule="auto"/>
              <w:rPr>
                <w:rFonts w:eastAsia="Times New Roman"/>
                <w:color w:val="000000"/>
                <w:sz w:val="20"/>
                <w:szCs w:val="20"/>
                <w:rtl/>
              </w:rPr>
            </w:pPr>
            <w:r w:rsidRPr="00C94167">
              <w:rPr>
                <w:rFonts w:eastAsia="Times New Roman"/>
                <w:color w:val="000000"/>
                <w:sz w:val="20"/>
                <w:szCs w:val="20"/>
                <w:vertAlign w:val="superscript"/>
                <w:rtl/>
              </w:rPr>
              <w:t>3</w:t>
            </w:r>
            <w:r w:rsidRPr="00C94167">
              <w:rPr>
                <w:rFonts w:eastAsia="Times New Roman"/>
                <w:color w:val="000000"/>
                <w:sz w:val="20"/>
                <w:szCs w:val="20"/>
                <w:rtl/>
              </w:rPr>
              <w:t xml:space="preserve"> הממוצע של מדד המחירים לצרכן ברבעון האחרון בשנה לעומת הממוצע ברבעון האחרון בשנה הקודמת.</w:t>
            </w:r>
          </w:p>
        </w:tc>
      </w:tr>
    </w:tbl>
    <w:p w:rsidR="00202530" w:rsidRPr="00202530" w:rsidRDefault="00202530" w:rsidP="00202530">
      <w:pPr>
        <w:pStyle w:val="a"/>
        <w:rPr>
          <w:rFonts w:ascii="Calibri" w:hAnsi="Calibri" w:cs="Calibri"/>
          <w:sz w:val="24"/>
          <w:rtl/>
        </w:rPr>
      </w:pPr>
      <w:r w:rsidRPr="00202530">
        <w:rPr>
          <w:rFonts w:ascii="Calibri" w:hAnsi="Calibri" w:cs="Calibri"/>
          <w:sz w:val="24"/>
          <w:rtl/>
        </w:rPr>
        <w:t>הפעילות הריאלית בישראל</w:t>
      </w:r>
    </w:p>
    <w:p w:rsidR="00E34578" w:rsidRDefault="00161F3C" w:rsidP="00CA6E5B">
      <w:pPr>
        <w:ind w:left="8"/>
        <w:jc w:val="both"/>
        <w:rPr>
          <w:rtl/>
        </w:rPr>
      </w:pPr>
      <w:r w:rsidRPr="00202530">
        <w:rPr>
          <w:b/>
          <w:bCs/>
          <w:rtl/>
        </w:rPr>
        <w:t>התוצר צפוי לצמוח ב</w:t>
      </w:r>
      <w:r w:rsidRPr="007D53DC">
        <w:rPr>
          <w:b/>
          <w:bCs/>
          <w:rtl/>
        </w:rPr>
        <w:t>-</w:t>
      </w:r>
      <w:r w:rsidR="00AD3E3C">
        <w:rPr>
          <w:b/>
          <w:bCs/>
        </w:rPr>
        <w:t>3.3%</w:t>
      </w:r>
      <w:r>
        <w:rPr>
          <w:rFonts w:hint="cs"/>
          <w:b/>
          <w:bCs/>
          <w:rtl/>
        </w:rPr>
        <w:t xml:space="preserve"> </w:t>
      </w:r>
      <w:r w:rsidRPr="007D53DC">
        <w:rPr>
          <w:b/>
          <w:bCs/>
          <w:rtl/>
        </w:rPr>
        <w:t>בשנת 2025</w:t>
      </w:r>
      <w:r w:rsidRPr="007D53DC">
        <w:rPr>
          <w:rtl/>
        </w:rPr>
        <w:t xml:space="preserve"> </w:t>
      </w:r>
      <w:r w:rsidRPr="007D53DC">
        <w:rPr>
          <w:rFonts w:hint="cs"/>
          <w:b/>
          <w:bCs/>
          <w:rtl/>
        </w:rPr>
        <w:t>ו</w:t>
      </w:r>
      <w:r w:rsidRPr="007D53DC">
        <w:rPr>
          <w:b/>
          <w:bCs/>
          <w:rtl/>
        </w:rPr>
        <w:t>ב-</w:t>
      </w:r>
      <w:r w:rsidR="00AD3E3C">
        <w:rPr>
          <w:b/>
          <w:bCs/>
        </w:rPr>
        <w:t>4.6%</w:t>
      </w:r>
      <w:r w:rsidRPr="007D53DC">
        <w:rPr>
          <w:rFonts w:hint="cs"/>
          <w:b/>
          <w:bCs/>
          <w:rtl/>
        </w:rPr>
        <w:t xml:space="preserve"> בשנת</w:t>
      </w:r>
      <w:r>
        <w:rPr>
          <w:rFonts w:hint="cs"/>
          <w:b/>
          <w:bCs/>
          <w:rtl/>
        </w:rPr>
        <w:t xml:space="preserve"> </w:t>
      </w:r>
      <w:r w:rsidR="00EE06D1">
        <w:rPr>
          <w:rFonts w:hint="cs"/>
          <w:b/>
          <w:bCs/>
          <w:rtl/>
        </w:rPr>
        <w:t>2026</w:t>
      </w:r>
      <w:r w:rsidR="00D651B5" w:rsidRPr="00202530">
        <w:rPr>
          <w:rtl/>
        </w:rPr>
        <w:t xml:space="preserve"> (לוח 1)</w:t>
      </w:r>
      <w:r w:rsidR="00D651B5" w:rsidRPr="002C7CC8">
        <w:rPr>
          <w:rFonts w:hint="cs"/>
          <w:rtl/>
        </w:rPr>
        <w:t>.</w:t>
      </w:r>
      <w:r w:rsidR="00202530" w:rsidRPr="00202530">
        <w:rPr>
          <w:b/>
          <w:bCs/>
          <w:rtl/>
        </w:rPr>
        <w:t xml:space="preserve"> </w:t>
      </w:r>
      <w:r w:rsidR="00D94A10" w:rsidRPr="00D94A10">
        <w:rPr>
          <w:rFonts w:hint="cs"/>
          <w:rtl/>
        </w:rPr>
        <w:t>תרחיש הבסיס של ה</w:t>
      </w:r>
      <w:r w:rsidR="00D94A10" w:rsidRPr="00D94A10">
        <w:rPr>
          <w:rtl/>
        </w:rPr>
        <w:t>תחזית גובש תחת ההנחה ש</w:t>
      </w:r>
      <w:r w:rsidR="00D94A10" w:rsidRPr="00D94A10">
        <w:rPr>
          <w:rFonts w:hint="cs"/>
          <w:rtl/>
        </w:rPr>
        <w:t xml:space="preserve">יוסכם </w:t>
      </w:r>
      <w:r w:rsidR="00CA6E5B">
        <w:rPr>
          <w:rFonts w:hint="cs"/>
          <w:rtl/>
        </w:rPr>
        <w:t>בתקופה הקרובה</w:t>
      </w:r>
      <w:r w:rsidR="00D94A10" w:rsidRPr="00D94A10">
        <w:rPr>
          <w:rFonts w:hint="cs"/>
          <w:rtl/>
        </w:rPr>
        <w:t xml:space="preserve"> על הפסקת אש בעזה וכי </w:t>
      </w:r>
      <w:r w:rsidR="00CA6E5B">
        <w:rPr>
          <w:rFonts w:hint="cs"/>
          <w:rtl/>
        </w:rPr>
        <w:t xml:space="preserve">בהמשך אופק התחזית </w:t>
      </w:r>
      <w:r w:rsidR="00CA6E5B" w:rsidRPr="00CA6E5B">
        <w:rPr>
          <w:rFonts w:hint="cs"/>
          <w:rtl/>
        </w:rPr>
        <w:t>לא תהיה בעזה לחימה עצימה</w:t>
      </w:r>
      <w:r w:rsidR="00D94A10" w:rsidRPr="00D94A10">
        <w:rPr>
          <w:rFonts w:hint="cs"/>
          <w:rtl/>
        </w:rPr>
        <w:t>. התחזית גם מניחה שהפסקת האש עם איראן תישמר</w:t>
      </w:r>
      <w:r w:rsidR="00D94A10" w:rsidRPr="00D94A10">
        <w:rPr>
          <w:rtl/>
        </w:rPr>
        <w:t>.</w:t>
      </w:r>
      <w:r w:rsidR="00202296" w:rsidRPr="00202296">
        <w:rPr>
          <w:rtl/>
        </w:rPr>
        <w:t xml:space="preserve"> </w:t>
      </w:r>
      <w:r w:rsidR="00E34578">
        <w:rPr>
          <w:rFonts w:hint="cs"/>
          <w:rtl/>
        </w:rPr>
        <w:t>להערכתנו</w:t>
      </w:r>
      <w:r w:rsidR="009E79A5">
        <w:rPr>
          <w:rFonts w:hint="cs"/>
          <w:rtl/>
        </w:rPr>
        <w:t>,</w:t>
      </w:r>
      <w:r w:rsidR="00E34578">
        <w:rPr>
          <w:rFonts w:hint="cs"/>
          <w:rtl/>
        </w:rPr>
        <w:t xml:space="preserve"> ההשפעה הישירה </w:t>
      </w:r>
      <w:r w:rsidR="00FD4152">
        <w:rPr>
          <w:rFonts w:hint="cs"/>
          <w:rtl/>
        </w:rPr>
        <w:t xml:space="preserve">על הפעילות הכלכלית </w:t>
      </w:r>
      <w:r w:rsidR="00E34578">
        <w:rPr>
          <w:rFonts w:hint="cs"/>
          <w:rtl/>
        </w:rPr>
        <w:t xml:space="preserve">של מבצע </w:t>
      </w:r>
      <w:r w:rsidR="00907727">
        <w:rPr>
          <w:rFonts w:hint="cs"/>
          <w:rtl/>
        </w:rPr>
        <w:t>"</w:t>
      </w:r>
      <w:r w:rsidR="00E34578">
        <w:rPr>
          <w:rFonts w:hint="cs"/>
          <w:rtl/>
        </w:rPr>
        <w:t>עם כלביא</w:t>
      </w:r>
      <w:r w:rsidR="00907727">
        <w:rPr>
          <w:rFonts w:hint="cs"/>
          <w:rtl/>
        </w:rPr>
        <w:t>", שארך 12 ימים,</w:t>
      </w:r>
      <w:r w:rsidR="00E34578">
        <w:rPr>
          <w:rFonts w:hint="cs"/>
          <w:rtl/>
        </w:rPr>
        <w:t xml:space="preserve"> </w:t>
      </w:r>
      <w:r w:rsidR="002E5D2E" w:rsidRPr="002E5D2E">
        <w:rPr>
          <w:rtl/>
        </w:rPr>
        <w:t>מתמצה בהשפעה השלילית הישירה במהלך ימי הלחימה</w:t>
      </w:r>
      <w:r w:rsidR="001F1F9D">
        <w:rPr>
          <w:rFonts w:hint="cs"/>
          <w:rtl/>
        </w:rPr>
        <w:t xml:space="preserve">. עם זאת, כתלות בהתפתחויות </w:t>
      </w:r>
      <w:proofErr w:type="spellStart"/>
      <w:r w:rsidR="001F1F9D">
        <w:rPr>
          <w:rFonts w:hint="cs"/>
          <w:rtl/>
        </w:rPr>
        <w:t>הגיאו</w:t>
      </w:r>
      <w:proofErr w:type="spellEnd"/>
      <w:r w:rsidR="001F1F9D">
        <w:rPr>
          <w:rFonts w:hint="cs"/>
          <w:rtl/>
        </w:rPr>
        <w:t xml:space="preserve">-פוליטיות, יתכנו השפעות ארוכות טווח </w:t>
      </w:r>
      <w:r w:rsidR="00D53719">
        <w:rPr>
          <w:rFonts w:hint="cs"/>
          <w:rtl/>
        </w:rPr>
        <w:t xml:space="preserve">על המשק - </w:t>
      </w:r>
      <w:r w:rsidR="001F1F9D">
        <w:rPr>
          <w:rFonts w:hint="cs"/>
          <w:rtl/>
        </w:rPr>
        <w:t xml:space="preserve">על </w:t>
      </w:r>
      <w:r w:rsidR="00E34578">
        <w:rPr>
          <w:rFonts w:hint="cs"/>
          <w:rtl/>
        </w:rPr>
        <w:t xml:space="preserve">פרמיית הסיכון </w:t>
      </w:r>
      <w:r w:rsidR="00D53719">
        <w:rPr>
          <w:rFonts w:hint="cs"/>
          <w:rtl/>
        </w:rPr>
        <w:t>ו</w:t>
      </w:r>
      <w:r w:rsidR="001F1F9D">
        <w:rPr>
          <w:rFonts w:hint="cs"/>
          <w:rtl/>
        </w:rPr>
        <w:t>ההשקעות במשק, על הביקוש ליצוא, על הצמיחה הפוטנציאלית ועוד</w:t>
      </w:r>
      <w:r w:rsidR="00E34578">
        <w:rPr>
          <w:rFonts w:hint="cs"/>
          <w:rtl/>
        </w:rPr>
        <w:t>.</w:t>
      </w:r>
      <w:r w:rsidR="00E85312">
        <w:rPr>
          <w:rFonts w:hint="cs"/>
          <w:rtl/>
        </w:rPr>
        <w:t xml:space="preserve"> </w:t>
      </w:r>
      <w:r w:rsidR="00D53719">
        <w:rPr>
          <w:rFonts w:hint="cs"/>
          <w:rtl/>
        </w:rPr>
        <w:t xml:space="preserve">ייסוף השקל ועליית מדדי </w:t>
      </w:r>
      <w:r w:rsidR="00E85312">
        <w:rPr>
          <w:rFonts w:hint="cs"/>
          <w:rtl/>
        </w:rPr>
        <w:t xml:space="preserve">המניות </w:t>
      </w:r>
      <w:r w:rsidR="00D53719">
        <w:rPr>
          <w:rFonts w:hint="cs"/>
          <w:rtl/>
        </w:rPr>
        <w:t xml:space="preserve">בבורסה בתל אביב, עוד טרם נכנסה לתוקפה הפסקת האש בין ישראל לאיראן, </w:t>
      </w:r>
      <w:r w:rsidR="00A276CC">
        <w:rPr>
          <w:rFonts w:hint="cs"/>
          <w:rtl/>
        </w:rPr>
        <w:t xml:space="preserve">וגם אחריה, </w:t>
      </w:r>
      <w:r w:rsidR="00281B26">
        <w:rPr>
          <w:rFonts w:hint="cs"/>
          <w:rtl/>
        </w:rPr>
        <w:t xml:space="preserve">משקפים </w:t>
      </w:r>
      <w:r w:rsidR="00AF3FEC">
        <w:rPr>
          <w:rFonts w:hint="cs"/>
          <w:rtl/>
        </w:rPr>
        <w:t>אופטימיות של השווקים באשר להתפתחויות אלו</w:t>
      </w:r>
      <w:r w:rsidR="00E85312">
        <w:rPr>
          <w:rFonts w:hint="cs"/>
          <w:rtl/>
        </w:rPr>
        <w:t xml:space="preserve">. </w:t>
      </w:r>
      <w:r w:rsidR="00F632D3">
        <w:rPr>
          <w:rFonts w:hint="cs"/>
          <w:rtl/>
        </w:rPr>
        <w:t>ואולם</w:t>
      </w:r>
      <w:r w:rsidR="00E85312">
        <w:rPr>
          <w:rFonts w:hint="cs"/>
          <w:rtl/>
        </w:rPr>
        <w:t>, בשלב זה פרמיית הסיכון במשק, כפי שהיא משתקפת ברמת ה-</w:t>
      </w:r>
      <w:r w:rsidR="00E85312">
        <w:t>CDS</w:t>
      </w:r>
      <w:r w:rsidR="00E85312">
        <w:rPr>
          <w:rFonts w:hint="cs"/>
          <w:rtl/>
        </w:rPr>
        <w:t xml:space="preserve"> ו</w:t>
      </w:r>
      <w:r w:rsidR="00AF3FEC">
        <w:rPr>
          <w:rFonts w:hint="cs"/>
          <w:rtl/>
        </w:rPr>
        <w:t>במרווחי תשואות האג"ח של ממשלת ישראל</w:t>
      </w:r>
      <w:r w:rsidR="00E85312">
        <w:rPr>
          <w:rFonts w:hint="cs"/>
          <w:rtl/>
        </w:rPr>
        <w:t xml:space="preserve">, </w:t>
      </w:r>
      <w:r w:rsidR="00DB2BD1" w:rsidRPr="00DB2BD1">
        <w:rPr>
          <w:rFonts w:hint="cs"/>
          <w:rtl/>
        </w:rPr>
        <w:t xml:space="preserve">אמנם ירדה </w:t>
      </w:r>
      <w:r w:rsidR="00C90933">
        <w:rPr>
          <w:rFonts w:hint="cs"/>
          <w:rtl/>
        </w:rPr>
        <w:t>ביחס לרמתה ערב מבצע "עם כלביא"</w:t>
      </w:r>
      <w:r w:rsidR="00DB2BD1" w:rsidRPr="00DB2BD1">
        <w:rPr>
          <w:rFonts w:hint="cs"/>
          <w:rtl/>
        </w:rPr>
        <w:t>, אך עודנה גבוהה מרמתה ערב מלחמת "חרבות ברזל"</w:t>
      </w:r>
      <w:r w:rsidR="00DB2BD1" w:rsidRPr="00DB2BD1">
        <w:rPr>
          <w:rtl/>
        </w:rPr>
        <w:t>.</w:t>
      </w:r>
    </w:p>
    <w:p w:rsidR="00243A2F" w:rsidRDefault="00243A2F" w:rsidP="00AB5F84">
      <w:pPr>
        <w:spacing w:after="360"/>
        <w:ind w:left="6"/>
        <w:jc w:val="both"/>
        <w:rPr>
          <w:rtl/>
        </w:rPr>
      </w:pPr>
      <w:r w:rsidRPr="00243A2F">
        <w:rPr>
          <w:rtl/>
        </w:rPr>
        <w:t xml:space="preserve">התחזית כוללת הערכה מעודכנת לגבי השפעת המכסים עליהם הכריז הממשל האמריקאי. </w:t>
      </w:r>
      <w:r w:rsidR="00AB5F84" w:rsidRPr="00243A2F">
        <w:rPr>
          <w:rtl/>
        </w:rPr>
        <w:t>לפי</w:t>
      </w:r>
      <w:r w:rsidR="00AB5F84">
        <w:rPr>
          <w:rFonts w:hint="cs"/>
          <w:rtl/>
        </w:rPr>
        <w:t xml:space="preserve"> ההערכה המעודכנת</w:t>
      </w:r>
      <w:r w:rsidRPr="00243A2F">
        <w:rPr>
          <w:rtl/>
        </w:rPr>
        <w:t xml:space="preserve">, במרבית המדינות לא תהיה עלייה משמעותית </w:t>
      </w:r>
      <w:r w:rsidR="00AB5F84">
        <w:rPr>
          <w:rFonts w:hint="cs"/>
          <w:rtl/>
        </w:rPr>
        <w:t>ברמת המכסים ב</w:t>
      </w:r>
      <w:r w:rsidRPr="00243A2F">
        <w:rPr>
          <w:rtl/>
        </w:rPr>
        <w:t xml:space="preserve">יחס לרמה הנוכחית, אך אי-הוודאות סביב הנושא עודנה גבוהה וכשלעצמה משפיעה לרעה על הפעילות, ובפרט על ההשקעות בעולם ובישראל. </w:t>
      </w:r>
    </w:p>
    <w:p w:rsidR="00D879D0" w:rsidRPr="00D879D0" w:rsidRDefault="00D879D0" w:rsidP="009E79A5">
      <w:pPr>
        <w:spacing w:after="360"/>
        <w:ind w:left="6"/>
        <w:jc w:val="both"/>
        <w:rPr>
          <w:rtl/>
        </w:rPr>
      </w:pPr>
      <w:r w:rsidRPr="00D879D0">
        <w:rPr>
          <w:b/>
          <w:bCs/>
          <w:rtl/>
        </w:rPr>
        <w:lastRenderedPageBreak/>
        <w:t xml:space="preserve">הגרעון בתקציב המדינה צפוי </w:t>
      </w:r>
      <w:r w:rsidRPr="007D71C7">
        <w:rPr>
          <w:b/>
          <w:bCs/>
          <w:rtl/>
        </w:rPr>
        <w:t xml:space="preserve">לעמוד על </w:t>
      </w:r>
      <w:r w:rsidR="00374FB4" w:rsidRPr="007D71C7">
        <w:rPr>
          <w:b/>
          <w:bCs/>
          <w:rtl/>
        </w:rPr>
        <w:t>4.</w:t>
      </w:r>
      <w:r w:rsidR="00BA723E" w:rsidRPr="007D71C7">
        <w:rPr>
          <w:b/>
          <w:bCs/>
          <w:rtl/>
        </w:rPr>
        <w:t>9</w:t>
      </w:r>
      <w:r w:rsidRPr="007D71C7">
        <w:rPr>
          <w:b/>
          <w:bCs/>
          <w:rtl/>
        </w:rPr>
        <w:t xml:space="preserve">% </w:t>
      </w:r>
      <w:r w:rsidR="000C29DF" w:rsidRPr="007D71C7">
        <w:rPr>
          <w:rFonts w:hint="eastAsia"/>
          <w:b/>
          <w:bCs/>
          <w:rtl/>
        </w:rPr>
        <w:t>ו</w:t>
      </w:r>
      <w:r w:rsidR="000C29DF" w:rsidRPr="007D71C7">
        <w:rPr>
          <w:b/>
          <w:bCs/>
          <w:rtl/>
        </w:rPr>
        <w:t>-4.</w:t>
      </w:r>
      <w:r w:rsidR="007D71C7" w:rsidRPr="007D71C7">
        <w:rPr>
          <w:rFonts w:hint="cs"/>
          <w:b/>
          <w:bCs/>
          <w:rtl/>
        </w:rPr>
        <w:t>2</w:t>
      </w:r>
      <w:r w:rsidR="000C29DF" w:rsidRPr="007D71C7">
        <w:rPr>
          <w:b/>
          <w:bCs/>
          <w:rtl/>
        </w:rPr>
        <w:t xml:space="preserve">% </w:t>
      </w:r>
      <w:r w:rsidR="000C29DF" w:rsidRPr="007D71C7">
        <w:rPr>
          <w:rFonts w:hint="eastAsia"/>
          <w:b/>
          <w:bCs/>
          <w:rtl/>
        </w:rPr>
        <w:t>תוצר</w:t>
      </w:r>
      <w:r w:rsidR="000C29DF" w:rsidRPr="007D71C7">
        <w:rPr>
          <w:b/>
          <w:bCs/>
          <w:rtl/>
        </w:rPr>
        <w:t xml:space="preserve"> </w:t>
      </w:r>
      <w:r w:rsidR="000C29DF" w:rsidRPr="007D71C7">
        <w:rPr>
          <w:rFonts w:hint="eastAsia"/>
          <w:b/>
          <w:bCs/>
          <w:rtl/>
        </w:rPr>
        <w:t>בשנים</w:t>
      </w:r>
      <w:r w:rsidR="000C29DF" w:rsidRPr="007D71C7">
        <w:rPr>
          <w:b/>
          <w:bCs/>
          <w:rtl/>
        </w:rPr>
        <w:t xml:space="preserve"> 2025 </w:t>
      </w:r>
      <w:r w:rsidR="000C29DF" w:rsidRPr="007D71C7">
        <w:rPr>
          <w:rFonts w:hint="eastAsia"/>
          <w:b/>
          <w:bCs/>
          <w:rtl/>
        </w:rPr>
        <w:t>ו</w:t>
      </w:r>
      <w:r w:rsidR="000C29DF" w:rsidRPr="007D71C7">
        <w:rPr>
          <w:b/>
          <w:bCs/>
          <w:rtl/>
        </w:rPr>
        <w:t xml:space="preserve">-2026, </w:t>
      </w:r>
      <w:r w:rsidR="000C29DF" w:rsidRPr="007D71C7">
        <w:rPr>
          <w:rFonts w:hint="eastAsia"/>
          <w:b/>
          <w:bCs/>
          <w:rtl/>
        </w:rPr>
        <w:t>בהתאמה</w:t>
      </w:r>
      <w:r w:rsidRPr="007D71C7">
        <w:rPr>
          <w:b/>
          <w:bCs/>
          <w:rtl/>
        </w:rPr>
        <w:t xml:space="preserve">. החוב הציבורי צפוי לעמוד על 70% </w:t>
      </w:r>
      <w:r w:rsidR="001F322D" w:rsidRPr="007D71C7">
        <w:rPr>
          <w:b/>
          <w:bCs/>
          <w:rtl/>
        </w:rPr>
        <w:t>תוצר</w:t>
      </w:r>
      <w:r w:rsidR="009B76C4" w:rsidRPr="007D71C7">
        <w:rPr>
          <w:b/>
          <w:bCs/>
          <w:rtl/>
        </w:rPr>
        <w:t xml:space="preserve"> בשנת 2025, ועל 71%</w:t>
      </w:r>
      <w:r w:rsidR="001F322D" w:rsidRPr="007D71C7">
        <w:rPr>
          <w:b/>
          <w:bCs/>
          <w:rtl/>
        </w:rPr>
        <w:t xml:space="preserve"> </w:t>
      </w:r>
      <w:r w:rsidR="009B76C4" w:rsidRPr="007D71C7">
        <w:rPr>
          <w:rFonts w:hint="eastAsia"/>
          <w:b/>
          <w:bCs/>
          <w:rtl/>
        </w:rPr>
        <w:t>בשנת</w:t>
      </w:r>
      <w:r w:rsidR="001F322D" w:rsidRPr="007D71C7">
        <w:rPr>
          <w:b/>
          <w:bCs/>
          <w:rtl/>
        </w:rPr>
        <w:t xml:space="preserve"> 2026</w:t>
      </w:r>
      <w:r w:rsidRPr="007D71C7">
        <w:rPr>
          <w:b/>
          <w:bCs/>
          <w:rtl/>
        </w:rPr>
        <w:t xml:space="preserve">. </w:t>
      </w:r>
      <w:r w:rsidRPr="007D71C7">
        <w:rPr>
          <w:rtl/>
        </w:rPr>
        <w:t>תחזית זו</w:t>
      </w:r>
      <w:r w:rsidRPr="00D879D0">
        <w:rPr>
          <w:b/>
          <w:bCs/>
          <w:rtl/>
        </w:rPr>
        <w:t xml:space="preserve"> </w:t>
      </w:r>
      <w:r w:rsidRPr="00D879D0">
        <w:rPr>
          <w:rtl/>
        </w:rPr>
        <w:t xml:space="preserve">משקללת את ההערכות הראשוניות לעלויות המערכה מול איראן לצד עלויות נוספות שלא תוקצבו במקור בשנת 2025 </w:t>
      </w:r>
      <w:r w:rsidRPr="007D71C7">
        <w:rPr>
          <w:rtl/>
        </w:rPr>
        <w:t xml:space="preserve">עבור המשך הלחימה ברצועת עזה. היא </w:t>
      </w:r>
      <w:r w:rsidR="00BA723E" w:rsidRPr="007D71C7">
        <w:rPr>
          <w:rFonts w:hint="cs"/>
          <w:rtl/>
        </w:rPr>
        <w:t>מניחה</w:t>
      </w:r>
      <w:r w:rsidR="00BA723E" w:rsidRPr="007D71C7">
        <w:rPr>
          <w:rtl/>
        </w:rPr>
        <w:t xml:space="preserve"> </w:t>
      </w:r>
      <w:r w:rsidRPr="007D71C7">
        <w:rPr>
          <w:rtl/>
        </w:rPr>
        <w:t xml:space="preserve">גם </w:t>
      </w:r>
      <w:r w:rsidR="00BA723E" w:rsidRPr="007D71C7">
        <w:rPr>
          <w:rFonts w:hint="cs"/>
          <w:rtl/>
        </w:rPr>
        <w:t>שהממשלה תאמץ את</w:t>
      </w:r>
      <w:r w:rsidRPr="007D71C7">
        <w:rPr>
          <w:rtl/>
        </w:rPr>
        <w:t xml:space="preserve"> התוספות לתקציב הביטחון שהומלצו על ידי ועדת נגל לבחינת תקציב הביטחון ובניין הכוח</w:t>
      </w:r>
      <w:r w:rsidR="00BA723E" w:rsidRPr="007D71C7">
        <w:rPr>
          <w:rFonts w:hint="cs"/>
          <w:rtl/>
        </w:rPr>
        <w:t>,</w:t>
      </w:r>
      <w:r w:rsidRPr="007D71C7">
        <w:rPr>
          <w:rtl/>
        </w:rPr>
        <w:t xml:space="preserve"> בניכוי חלק מרכיבי ההתעצמות שרכישתם הוקדמה עבור מבצע "עם כלביא". במקביל, אנו מעריכים כי העלויות האזרחיות של המערכה יסתכמו בכ-10 מיליארדי </w:t>
      </w:r>
      <w:r w:rsidR="004450CF" w:rsidRPr="007D71C7">
        <w:rPr>
          <w:rFonts w:hint="cs"/>
          <w:rtl/>
        </w:rPr>
        <w:t>₪,</w:t>
      </w:r>
      <w:r w:rsidR="000E4FFC" w:rsidRPr="007D71C7">
        <w:rPr>
          <w:rFonts w:hint="cs"/>
          <w:rtl/>
        </w:rPr>
        <w:t xml:space="preserve"> </w:t>
      </w:r>
      <w:r w:rsidR="00BA723E" w:rsidRPr="007D71C7">
        <w:rPr>
          <w:rFonts w:hint="cs"/>
          <w:rtl/>
        </w:rPr>
        <w:t>ש</w:t>
      </w:r>
      <w:r w:rsidR="000E4FFC" w:rsidRPr="007D71C7">
        <w:rPr>
          <w:rFonts w:hint="cs"/>
          <w:rtl/>
        </w:rPr>
        <w:t>מרבית</w:t>
      </w:r>
      <w:r w:rsidR="00BA723E" w:rsidRPr="007D71C7">
        <w:rPr>
          <w:rFonts w:hint="cs"/>
          <w:rtl/>
        </w:rPr>
        <w:t>ן</w:t>
      </w:r>
      <w:r w:rsidR="000E4FFC" w:rsidRPr="007D71C7">
        <w:rPr>
          <w:rFonts w:hint="cs"/>
          <w:rtl/>
        </w:rPr>
        <w:t xml:space="preserve"> </w:t>
      </w:r>
      <w:r w:rsidR="00BA723E" w:rsidRPr="007D71C7">
        <w:rPr>
          <w:rFonts w:hint="cs"/>
          <w:rtl/>
        </w:rPr>
        <w:t>ישולמו</w:t>
      </w:r>
      <w:r w:rsidR="000E4FFC" w:rsidRPr="007D71C7">
        <w:rPr>
          <w:rFonts w:hint="cs"/>
          <w:rtl/>
        </w:rPr>
        <w:t xml:space="preserve"> מקרן מס רכוש ועל כן אינן </w:t>
      </w:r>
      <w:r w:rsidR="00BA723E" w:rsidRPr="007D71C7">
        <w:rPr>
          <w:rFonts w:hint="cs"/>
          <w:rtl/>
        </w:rPr>
        <w:t>נרשמות</w:t>
      </w:r>
      <w:r w:rsidR="000E4FFC" w:rsidRPr="007D71C7">
        <w:rPr>
          <w:rFonts w:hint="cs"/>
          <w:rtl/>
        </w:rPr>
        <w:t xml:space="preserve"> </w:t>
      </w:r>
      <w:r w:rsidR="00BA723E" w:rsidRPr="007D71C7">
        <w:rPr>
          <w:rFonts w:hint="cs"/>
          <w:rtl/>
        </w:rPr>
        <w:t>ב</w:t>
      </w:r>
      <w:r w:rsidR="000E4FFC" w:rsidRPr="007D71C7">
        <w:rPr>
          <w:rFonts w:hint="cs"/>
          <w:rtl/>
        </w:rPr>
        <w:t xml:space="preserve">גירעון הממשלה המרכזית, אך </w:t>
      </w:r>
      <w:r w:rsidR="00BA723E" w:rsidRPr="007D71C7">
        <w:rPr>
          <w:rFonts w:hint="cs"/>
          <w:rtl/>
        </w:rPr>
        <w:t xml:space="preserve">כן </w:t>
      </w:r>
      <w:r w:rsidR="000E4FFC" w:rsidRPr="007D71C7">
        <w:rPr>
          <w:rFonts w:hint="cs"/>
          <w:rtl/>
        </w:rPr>
        <w:t xml:space="preserve">מצריכות גיוס חוב </w:t>
      </w:r>
      <w:r w:rsidR="000933F0" w:rsidRPr="007D71C7">
        <w:rPr>
          <w:rFonts w:hint="cs"/>
          <w:rtl/>
        </w:rPr>
        <w:t>למימונן</w:t>
      </w:r>
      <w:r w:rsidR="000E4FFC" w:rsidRPr="007D71C7">
        <w:rPr>
          <w:rFonts w:hint="cs"/>
          <w:rtl/>
        </w:rPr>
        <w:t>.</w:t>
      </w:r>
      <w:r w:rsidRPr="007D71C7">
        <w:rPr>
          <w:rtl/>
        </w:rPr>
        <w:t xml:space="preserve"> תחזית הגרעון לשנת 2025 משקפת גם את הגידול המשמעותי בהכנסות ממסים בתחילת השנה</w:t>
      </w:r>
      <w:r w:rsidR="00BA723E" w:rsidRPr="007D71C7">
        <w:rPr>
          <w:rFonts w:hint="cs"/>
          <w:rtl/>
        </w:rPr>
        <w:t>,</w:t>
      </w:r>
      <w:r w:rsidRPr="007D71C7">
        <w:rPr>
          <w:rtl/>
        </w:rPr>
        <w:t xml:space="preserve"> שנבע מהקדמת רכישות וחלוקת דיבידנדים לפני העלאת שיעורי המס</w:t>
      </w:r>
      <w:r w:rsidR="00BA723E" w:rsidRPr="007D71C7">
        <w:rPr>
          <w:rFonts w:hint="cs"/>
          <w:rtl/>
        </w:rPr>
        <w:t xml:space="preserve"> על רווחים לא מחולקים.</w:t>
      </w:r>
      <w:r w:rsidR="00467F39" w:rsidRPr="007D71C7">
        <w:rPr>
          <w:rFonts w:hint="cs"/>
          <w:rtl/>
        </w:rPr>
        <w:t xml:space="preserve"> </w:t>
      </w:r>
      <w:r w:rsidR="00BA723E" w:rsidRPr="007D71C7">
        <w:rPr>
          <w:rFonts w:hint="cs"/>
          <w:rtl/>
        </w:rPr>
        <w:t>גידול זה מאפ</w:t>
      </w:r>
      <w:r w:rsidR="00BD0816" w:rsidRPr="007D71C7">
        <w:rPr>
          <w:rFonts w:hint="cs"/>
          <w:rtl/>
        </w:rPr>
        <w:t>שר</w:t>
      </w:r>
      <w:r w:rsidR="00467F39" w:rsidRPr="007D71C7">
        <w:rPr>
          <w:rFonts w:hint="cs"/>
          <w:rtl/>
        </w:rPr>
        <w:t xml:space="preserve"> </w:t>
      </w:r>
      <w:r w:rsidR="00BA723E" w:rsidRPr="007D71C7">
        <w:rPr>
          <w:rFonts w:hint="cs"/>
          <w:rtl/>
        </w:rPr>
        <w:t xml:space="preserve">את הגדלת </w:t>
      </w:r>
      <w:r w:rsidR="00467F39" w:rsidRPr="007D71C7">
        <w:rPr>
          <w:rFonts w:hint="cs"/>
          <w:rtl/>
        </w:rPr>
        <w:t xml:space="preserve">הוצאות </w:t>
      </w:r>
      <w:r w:rsidR="00BA723E" w:rsidRPr="007D71C7">
        <w:rPr>
          <w:rFonts w:hint="cs"/>
          <w:rtl/>
        </w:rPr>
        <w:t xml:space="preserve">הממשלה </w:t>
      </w:r>
      <w:r w:rsidR="00467F39" w:rsidRPr="007D71C7">
        <w:rPr>
          <w:rFonts w:hint="cs"/>
          <w:rtl/>
        </w:rPr>
        <w:t>ללא גידול משמעותי בג</w:t>
      </w:r>
      <w:r w:rsidR="00BA723E" w:rsidRPr="007D71C7">
        <w:rPr>
          <w:rFonts w:hint="cs"/>
          <w:rtl/>
        </w:rPr>
        <w:t>י</w:t>
      </w:r>
      <w:r w:rsidR="00467F39" w:rsidRPr="007D71C7">
        <w:rPr>
          <w:rFonts w:hint="cs"/>
          <w:rtl/>
        </w:rPr>
        <w:t>רעון</w:t>
      </w:r>
      <w:r w:rsidR="00BA723E" w:rsidRPr="007D71C7">
        <w:rPr>
          <w:rFonts w:hint="cs"/>
          <w:rtl/>
        </w:rPr>
        <w:t xml:space="preserve"> שנקבע בתקציב 2025</w:t>
      </w:r>
      <w:r w:rsidRPr="007D71C7">
        <w:rPr>
          <w:rtl/>
        </w:rPr>
        <w:t xml:space="preserve">. התחזית לשנת 2026 </w:t>
      </w:r>
      <w:r w:rsidR="00BA723E" w:rsidRPr="007D71C7">
        <w:rPr>
          <w:rFonts w:hint="cs"/>
          <w:rtl/>
        </w:rPr>
        <w:t>מניחה גם שיתקבלו</w:t>
      </w:r>
      <w:r w:rsidR="00BA723E" w:rsidRPr="007D71C7">
        <w:rPr>
          <w:rtl/>
        </w:rPr>
        <w:t xml:space="preserve"> </w:t>
      </w:r>
      <w:r w:rsidRPr="007D71C7">
        <w:rPr>
          <w:rtl/>
        </w:rPr>
        <w:t>הכנסות חד-פעמיות כתוצאה מעסקת המכירה של חברת וויז (</w:t>
      </w:r>
      <w:r w:rsidRPr="007D71C7">
        <w:t>Wiz</w:t>
      </w:r>
      <w:r w:rsidR="009E79A5" w:rsidRPr="007D71C7">
        <w:rPr>
          <w:rtl/>
        </w:rPr>
        <w:t>)</w:t>
      </w:r>
      <w:r w:rsidR="009E79A5">
        <w:rPr>
          <w:rFonts w:hint="cs"/>
          <w:rtl/>
        </w:rPr>
        <w:t>,</w:t>
      </w:r>
      <w:r w:rsidR="009E79A5" w:rsidRPr="007D71C7">
        <w:rPr>
          <w:rtl/>
        </w:rPr>
        <w:t xml:space="preserve"> </w:t>
      </w:r>
      <w:r w:rsidR="000933F0" w:rsidRPr="007D71C7">
        <w:rPr>
          <w:rFonts w:hint="cs"/>
          <w:rtl/>
        </w:rPr>
        <w:t>אך האומדן הנוכחי לגבי גודלן נמוך בכחצי אחוז תוצר מהאומדנים המוקדמים באפריל.</w:t>
      </w:r>
      <w:r w:rsidR="000933F0" w:rsidRPr="007D71C7">
        <w:rPr>
          <w:rtl/>
        </w:rPr>
        <w:t xml:space="preserve"> </w:t>
      </w:r>
      <w:r w:rsidR="000933F0" w:rsidRPr="007D71C7">
        <w:rPr>
          <w:rFonts w:hint="cs"/>
          <w:rtl/>
        </w:rPr>
        <w:t xml:space="preserve">כמו כן אנו מניחים </w:t>
      </w:r>
      <w:r w:rsidR="00BA723E" w:rsidRPr="007D71C7">
        <w:rPr>
          <w:rFonts w:hint="cs"/>
          <w:rtl/>
        </w:rPr>
        <w:t>שהממשלה</w:t>
      </w:r>
      <w:r w:rsidRPr="007D71C7">
        <w:rPr>
          <w:rtl/>
        </w:rPr>
        <w:t xml:space="preserve"> </w:t>
      </w:r>
      <w:r w:rsidR="00BA723E" w:rsidRPr="007D71C7">
        <w:rPr>
          <w:rFonts w:hint="cs"/>
          <w:rtl/>
        </w:rPr>
        <w:t xml:space="preserve">תאריך את </w:t>
      </w:r>
      <w:r w:rsidRPr="007D71C7">
        <w:rPr>
          <w:rtl/>
        </w:rPr>
        <w:t xml:space="preserve">ההפרשות המוגברות לקרן מס רכוש כדי להחזיר </w:t>
      </w:r>
      <w:r w:rsidRPr="00D879D0">
        <w:rPr>
          <w:rtl/>
        </w:rPr>
        <w:t xml:space="preserve">את יתרת הקרן לרמה </w:t>
      </w:r>
      <w:r w:rsidR="00BA723E">
        <w:rPr>
          <w:rFonts w:hint="cs"/>
          <w:rtl/>
        </w:rPr>
        <w:t xml:space="preserve">שתוכננה </w:t>
      </w:r>
      <w:r w:rsidRPr="00D879D0">
        <w:rPr>
          <w:rtl/>
        </w:rPr>
        <w:t>ערב המ</w:t>
      </w:r>
      <w:r w:rsidR="00BA723E">
        <w:rPr>
          <w:rFonts w:hint="cs"/>
          <w:rtl/>
        </w:rPr>
        <w:t>בצע</w:t>
      </w:r>
      <w:r w:rsidRPr="00D879D0">
        <w:rPr>
          <w:rtl/>
        </w:rPr>
        <w:t>.</w:t>
      </w:r>
    </w:p>
    <w:p w:rsidR="00202530" w:rsidRPr="00202530" w:rsidRDefault="00202530" w:rsidP="007C40DE">
      <w:pPr>
        <w:pStyle w:val="a"/>
        <w:rPr>
          <w:rtl/>
        </w:rPr>
      </w:pPr>
      <w:r w:rsidRPr="00202530">
        <w:rPr>
          <w:rtl/>
        </w:rPr>
        <w:t>האינפלציה והריבית</w:t>
      </w:r>
    </w:p>
    <w:p w:rsidR="00E37C06" w:rsidRDefault="00D7789E" w:rsidP="00EE3500">
      <w:pPr>
        <w:jc w:val="both"/>
        <w:rPr>
          <w:b/>
          <w:rtl/>
        </w:rPr>
      </w:pPr>
      <w:bookmarkStart w:id="3" w:name="_Hlk202427787"/>
      <w:r w:rsidRPr="00D7789E">
        <w:rPr>
          <w:bCs/>
          <w:rtl/>
        </w:rPr>
        <w:t xml:space="preserve">שיעור האינפלציה </w:t>
      </w:r>
      <w:r w:rsidR="00D274A5" w:rsidRPr="003165D2">
        <w:rPr>
          <w:rFonts w:hint="cs"/>
          <w:bCs/>
          <w:rtl/>
        </w:rPr>
        <w:t xml:space="preserve">המצטברת </w:t>
      </w:r>
      <w:r w:rsidRPr="003165D2">
        <w:rPr>
          <w:bCs/>
          <w:rtl/>
        </w:rPr>
        <w:t xml:space="preserve">במהלך ארבעת הרבעונים </w:t>
      </w:r>
      <w:r w:rsidR="00D274A5" w:rsidRPr="003165D2">
        <w:rPr>
          <w:rFonts w:hint="cs"/>
          <w:bCs/>
          <w:rtl/>
        </w:rPr>
        <w:t xml:space="preserve">הבאים, </w:t>
      </w:r>
      <w:r w:rsidRPr="003165D2">
        <w:rPr>
          <w:bCs/>
          <w:rtl/>
        </w:rPr>
        <w:t xml:space="preserve">המסתיימים ברבעון </w:t>
      </w:r>
      <w:r w:rsidR="000D6D0B" w:rsidRPr="003165D2">
        <w:rPr>
          <w:rFonts w:hint="cs"/>
          <w:bCs/>
          <w:rtl/>
        </w:rPr>
        <w:t>השני</w:t>
      </w:r>
      <w:r w:rsidR="000D6D0B" w:rsidRPr="003165D2">
        <w:rPr>
          <w:bCs/>
          <w:rtl/>
        </w:rPr>
        <w:t xml:space="preserve"> </w:t>
      </w:r>
      <w:r w:rsidRPr="003165D2">
        <w:rPr>
          <w:bCs/>
          <w:rtl/>
        </w:rPr>
        <w:t>של שנת 2026</w:t>
      </w:r>
      <w:r w:rsidR="00D274A5" w:rsidRPr="003165D2">
        <w:rPr>
          <w:rFonts w:hint="cs"/>
          <w:bCs/>
          <w:rtl/>
        </w:rPr>
        <w:t>,</w:t>
      </w:r>
      <w:r w:rsidRPr="003165D2">
        <w:rPr>
          <w:bCs/>
          <w:rtl/>
        </w:rPr>
        <w:t xml:space="preserve"> צפוי לעמוד על 2.</w:t>
      </w:r>
      <w:r w:rsidR="003165D2" w:rsidRPr="003165D2">
        <w:rPr>
          <w:rFonts w:hint="cs"/>
          <w:bCs/>
          <w:rtl/>
        </w:rPr>
        <w:t>2</w:t>
      </w:r>
      <w:r w:rsidRPr="003165D2">
        <w:rPr>
          <w:bCs/>
          <w:rtl/>
        </w:rPr>
        <w:t xml:space="preserve">% </w:t>
      </w:r>
      <w:r w:rsidRPr="003165D2">
        <w:rPr>
          <w:b/>
          <w:rtl/>
        </w:rPr>
        <w:t>(לוח 2).</w:t>
      </w:r>
      <w:r w:rsidRPr="003165D2">
        <w:rPr>
          <w:bCs/>
          <w:rtl/>
        </w:rPr>
        <w:t xml:space="preserve"> ב</w:t>
      </w:r>
      <w:r w:rsidR="00B036EE" w:rsidRPr="003165D2">
        <w:rPr>
          <w:rFonts w:hint="cs"/>
          <w:bCs/>
          <w:rtl/>
        </w:rPr>
        <w:t xml:space="preserve">מהלך </w:t>
      </w:r>
      <w:r w:rsidRPr="003165D2">
        <w:rPr>
          <w:bCs/>
          <w:rtl/>
        </w:rPr>
        <w:t xml:space="preserve">שנת 2025 הוא צפוי </w:t>
      </w:r>
      <w:r w:rsidR="00B036EE" w:rsidRPr="003165D2">
        <w:rPr>
          <w:rFonts w:hint="cs"/>
          <w:bCs/>
          <w:rtl/>
        </w:rPr>
        <w:t>להסתכם ב-</w:t>
      </w:r>
      <w:r w:rsidRPr="003165D2">
        <w:rPr>
          <w:bCs/>
          <w:rtl/>
        </w:rPr>
        <w:t>2.</w:t>
      </w:r>
      <w:r w:rsidR="0047168B">
        <w:rPr>
          <w:rFonts w:hint="cs"/>
          <w:bCs/>
          <w:rtl/>
        </w:rPr>
        <w:t>6</w:t>
      </w:r>
      <w:r w:rsidRPr="003165D2">
        <w:rPr>
          <w:bCs/>
          <w:rtl/>
        </w:rPr>
        <w:t xml:space="preserve">% </w:t>
      </w:r>
      <w:r w:rsidR="00B036EE" w:rsidRPr="003165D2">
        <w:rPr>
          <w:bCs/>
          <w:rtl/>
        </w:rPr>
        <w:t>ו</w:t>
      </w:r>
      <w:r w:rsidR="00B036EE" w:rsidRPr="003165D2">
        <w:rPr>
          <w:rFonts w:hint="cs"/>
          <w:bCs/>
          <w:rtl/>
        </w:rPr>
        <w:t>ב</w:t>
      </w:r>
      <w:r w:rsidR="00D07230">
        <w:rPr>
          <w:rFonts w:hint="cs"/>
          <w:bCs/>
          <w:rtl/>
        </w:rPr>
        <w:t>-</w:t>
      </w:r>
      <w:r w:rsidRPr="003165D2">
        <w:rPr>
          <w:bCs/>
          <w:rtl/>
        </w:rPr>
        <w:t xml:space="preserve">2026 </w:t>
      </w:r>
      <w:r w:rsidR="00D07230">
        <w:rPr>
          <w:rFonts w:hint="cs"/>
          <w:bCs/>
          <w:rtl/>
        </w:rPr>
        <w:t>ב-</w:t>
      </w:r>
      <w:r w:rsidRPr="003165D2">
        <w:rPr>
          <w:bCs/>
          <w:rtl/>
        </w:rPr>
        <w:t>2.</w:t>
      </w:r>
      <w:r w:rsidR="003165D2" w:rsidRPr="003165D2">
        <w:rPr>
          <w:rFonts w:hint="cs"/>
          <w:bCs/>
          <w:rtl/>
        </w:rPr>
        <w:t>0</w:t>
      </w:r>
      <w:r w:rsidRPr="003165D2">
        <w:rPr>
          <w:bCs/>
          <w:rtl/>
        </w:rPr>
        <w:t xml:space="preserve">% </w:t>
      </w:r>
      <w:r w:rsidR="00202530" w:rsidRPr="003165D2">
        <w:rPr>
          <w:b/>
          <w:rtl/>
        </w:rPr>
        <w:t xml:space="preserve">(לוח 1). </w:t>
      </w:r>
      <w:r w:rsidR="00B036EE" w:rsidRPr="003165D2">
        <w:rPr>
          <w:rFonts w:hint="cs"/>
          <w:b/>
          <w:rtl/>
        </w:rPr>
        <w:t>ל</w:t>
      </w:r>
      <w:r w:rsidR="00096584">
        <w:rPr>
          <w:rFonts w:hint="cs"/>
          <w:b/>
          <w:rtl/>
        </w:rPr>
        <w:t>מבצע</w:t>
      </w:r>
      <w:r w:rsidR="00B036EE">
        <w:rPr>
          <w:rFonts w:hint="cs"/>
          <w:b/>
          <w:rtl/>
        </w:rPr>
        <w:t xml:space="preserve"> "</w:t>
      </w:r>
      <w:r w:rsidR="00251F3E">
        <w:rPr>
          <w:rFonts w:hint="cs"/>
          <w:b/>
          <w:rtl/>
        </w:rPr>
        <w:t>עם כלביא</w:t>
      </w:r>
      <w:r w:rsidR="00B036EE">
        <w:rPr>
          <w:rFonts w:hint="cs"/>
          <w:b/>
          <w:rtl/>
        </w:rPr>
        <w:t>"</w:t>
      </w:r>
      <w:r w:rsidR="00251F3E">
        <w:rPr>
          <w:rFonts w:hint="cs"/>
          <w:b/>
          <w:rtl/>
        </w:rPr>
        <w:t xml:space="preserve"> </w:t>
      </w:r>
      <w:r w:rsidR="00467F39">
        <w:rPr>
          <w:rFonts w:hint="cs"/>
          <w:b/>
          <w:rtl/>
        </w:rPr>
        <w:t xml:space="preserve">ייתכנו </w:t>
      </w:r>
      <w:r w:rsidR="00B036EE">
        <w:rPr>
          <w:rFonts w:hint="cs"/>
          <w:b/>
          <w:rtl/>
        </w:rPr>
        <w:t xml:space="preserve">בטווח הקצר </w:t>
      </w:r>
      <w:r w:rsidR="00B24282">
        <w:rPr>
          <w:rFonts w:hint="cs"/>
          <w:b/>
          <w:rtl/>
        </w:rPr>
        <w:t xml:space="preserve">השפעות מנוגדות על התפתחות האינפלציה. </w:t>
      </w:r>
      <w:r w:rsidR="00454E80">
        <w:rPr>
          <w:rFonts w:hint="cs"/>
          <w:b/>
          <w:rtl/>
        </w:rPr>
        <w:t>ה</w:t>
      </w:r>
      <w:r w:rsidR="00467F39">
        <w:rPr>
          <w:rFonts w:hint="cs"/>
          <w:b/>
          <w:rtl/>
        </w:rPr>
        <w:t>שיבושים בה</w:t>
      </w:r>
      <w:r w:rsidR="00FC6616">
        <w:rPr>
          <w:rFonts w:hint="cs"/>
          <w:b/>
          <w:rtl/>
        </w:rPr>
        <w:t>י</w:t>
      </w:r>
      <w:r w:rsidR="00467F39">
        <w:rPr>
          <w:rFonts w:hint="cs"/>
          <w:b/>
          <w:rtl/>
        </w:rPr>
        <w:t xml:space="preserve">צע </w:t>
      </w:r>
      <w:r w:rsidR="0048173D">
        <w:rPr>
          <w:rFonts w:hint="cs"/>
          <w:b/>
          <w:rtl/>
        </w:rPr>
        <w:t xml:space="preserve">הדירות </w:t>
      </w:r>
      <w:r w:rsidR="00467F39">
        <w:rPr>
          <w:rFonts w:hint="cs"/>
          <w:b/>
          <w:rtl/>
        </w:rPr>
        <w:t>והגידול בביקוש לשכירות בשל הפגיעה במבנים</w:t>
      </w:r>
      <w:r w:rsidR="000E4FFC">
        <w:rPr>
          <w:rFonts w:hint="cs"/>
          <w:b/>
          <w:rtl/>
        </w:rPr>
        <w:t xml:space="preserve"> </w:t>
      </w:r>
      <w:r w:rsidR="00467F39">
        <w:rPr>
          <w:rFonts w:hint="cs"/>
          <w:b/>
          <w:rtl/>
        </w:rPr>
        <w:t>עלולים להיות</w:t>
      </w:r>
      <w:r w:rsidR="001D5DBF">
        <w:rPr>
          <w:rFonts w:hint="cs"/>
          <w:b/>
          <w:rtl/>
        </w:rPr>
        <w:t xml:space="preserve"> בעלי השלכות אינפלציוניות בטווח התחזית.</w:t>
      </w:r>
      <w:r w:rsidR="00D07230">
        <w:rPr>
          <w:rFonts w:hint="cs"/>
          <w:b/>
          <w:rtl/>
        </w:rPr>
        <w:t xml:space="preserve"> </w:t>
      </w:r>
      <w:r w:rsidR="00454E80">
        <w:rPr>
          <w:rFonts w:hint="cs"/>
          <w:b/>
          <w:rtl/>
        </w:rPr>
        <w:t>אולם</w:t>
      </w:r>
      <w:r w:rsidR="001D5DBF">
        <w:rPr>
          <w:rFonts w:hint="cs"/>
          <w:b/>
          <w:rtl/>
        </w:rPr>
        <w:t xml:space="preserve"> </w:t>
      </w:r>
      <w:r w:rsidR="007D25E8">
        <w:rPr>
          <w:rFonts w:hint="cs"/>
          <w:rtl/>
        </w:rPr>
        <w:t xml:space="preserve">השפעות אלו </w:t>
      </w:r>
      <w:r w:rsidR="00467F39">
        <w:rPr>
          <w:rFonts w:hint="cs"/>
          <w:rtl/>
        </w:rPr>
        <w:t xml:space="preserve">צפויות להיות </w:t>
      </w:r>
      <w:r w:rsidR="007D25E8">
        <w:rPr>
          <w:rFonts w:hint="cs"/>
          <w:rtl/>
        </w:rPr>
        <w:t xml:space="preserve">מקוזזות </w:t>
      </w:r>
      <w:r w:rsidR="00467F39">
        <w:rPr>
          <w:rFonts w:hint="cs"/>
          <w:rtl/>
        </w:rPr>
        <w:t>במידה מסויימת</w:t>
      </w:r>
      <w:r w:rsidR="000E4FFC">
        <w:rPr>
          <w:rFonts w:hint="cs"/>
          <w:rtl/>
        </w:rPr>
        <w:t xml:space="preserve"> </w:t>
      </w:r>
      <w:r w:rsidR="00096584">
        <w:rPr>
          <w:rFonts w:hint="cs"/>
          <w:rtl/>
        </w:rPr>
        <w:t>על ידי</w:t>
      </w:r>
      <w:r w:rsidR="007D25E8">
        <w:rPr>
          <w:rFonts w:hint="cs"/>
          <w:rtl/>
        </w:rPr>
        <w:t xml:space="preserve"> מגמת הייסוף של השקל</w:t>
      </w:r>
      <w:r w:rsidR="00F5203C">
        <w:rPr>
          <w:rFonts w:hint="cs"/>
          <w:rtl/>
        </w:rPr>
        <w:t>.</w:t>
      </w:r>
      <w:r w:rsidR="00776E03">
        <w:rPr>
          <w:rFonts w:hint="cs"/>
          <w:b/>
          <w:rtl/>
        </w:rPr>
        <w:t xml:space="preserve"> </w:t>
      </w:r>
      <w:r w:rsidR="001C522F" w:rsidRPr="001C522F">
        <w:rPr>
          <w:b/>
          <w:rtl/>
        </w:rPr>
        <w:t xml:space="preserve">בסיכום ההשפעות, תחזית האינפלציה של החטיבה </w:t>
      </w:r>
      <w:r w:rsidR="00454E80">
        <w:rPr>
          <w:rFonts w:hint="cs"/>
          <w:b/>
          <w:rtl/>
        </w:rPr>
        <w:t>ל</w:t>
      </w:r>
      <w:r w:rsidR="00454E80" w:rsidRPr="001C522F">
        <w:rPr>
          <w:b/>
          <w:rtl/>
        </w:rPr>
        <w:t xml:space="preserve">שנת </w:t>
      </w:r>
      <w:r w:rsidR="001C522F" w:rsidRPr="001C522F">
        <w:rPr>
          <w:b/>
          <w:rtl/>
        </w:rPr>
        <w:t>2025 דומה לתחזית מאפריל אך התחזית לשנה קדימה מעט נמוכה יותר.</w:t>
      </w:r>
    </w:p>
    <w:p w:rsidR="009B37AE" w:rsidRDefault="001972AA" w:rsidP="00EE3500">
      <w:pPr>
        <w:jc w:val="both"/>
        <w:rPr>
          <w:b/>
          <w:rtl/>
        </w:rPr>
      </w:pPr>
      <w:r>
        <w:rPr>
          <w:rFonts w:hint="cs"/>
          <w:b/>
          <w:rtl/>
        </w:rPr>
        <w:t xml:space="preserve">אנו </w:t>
      </w:r>
      <w:r w:rsidRPr="007D71C7">
        <w:rPr>
          <w:rFonts w:hint="cs"/>
          <w:b/>
          <w:rtl/>
        </w:rPr>
        <w:t>צופים</w:t>
      </w:r>
      <w:r w:rsidR="00952C62" w:rsidRPr="007D71C7">
        <w:rPr>
          <w:rFonts w:hint="cs"/>
          <w:b/>
          <w:rtl/>
        </w:rPr>
        <w:t xml:space="preserve"> </w:t>
      </w:r>
      <w:proofErr w:type="spellStart"/>
      <w:r w:rsidRPr="007D71C7">
        <w:rPr>
          <w:rFonts w:hint="cs"/>
          <w:b/>
          <w:rtl/>
        </w:rPr>
        <w:t>ש</w:t>
      </w:r>
      <w:r w:rsidR="00EE3500">
        <w:rPr>
          <w:rFonts w:hint="cs"/>
          <w:b/>
          <w:rtl/>
        </w:rPr>
        <w:t>בהינתן</w:t>
      </w:r>
      <w:proofErr w:type="spellEnd"/>
      <w:r w:rsidR="00EE3500">
        <w:rPr>
          <w:rFonts w:hint="cs"/>
          <w:b/>
          <w:rtl/>
        </w:rPr>
        <w:t xml:space="preserve"> ההנחה על</w:t>
      </w:r>
      <w:r w:rsidRPr="007D71C7">
        <w:rPr>
          <w:rFonts w:hint="cs"/>
          <w:b/>
          <w:rtl/>
        </w:rPr>
        <w:t xml:space="preserve"> סיום </w:t>
      </w:r>
      <w:r w:rsidR="005B3EA3">
        <w:rPr>
          <w:rFonts w:hint="cs"/>
          <w:b/>
          <w:rtl/>
        </w:rPr>
        <w:t>הלחימה</w:t>
      </w:r>
      <w:r w:rsidRPr="007D71C7">
        <w:rPr>
          <w:rFonts w:hint="cs"/>
          <w:b/>
          <w:rtl/>
        </w:rPr>
        <w:t xml:space="preserve"> בעזה</w:t>
      </w:r>
      <w:r w:rsidR="00EE3500">
        <w:rPr>
          <w:rFonts w:hint="cs"/>
          <w:b/>
          <w:rtl/>
        </w:rPr>
        <w:t>,</w:t>
      </w:r>
      <w:r w:rsidR="007D71C7">
        <w:rPr>
          <w:rFonts w:hint="cs"/>
          <w:b/>
          <w:rtl/>
        </w:rPr>
        <w:t xml:space="preserve"> ו</w:t>
      </w:r>
      <w:r w:rsidRPr="007D71C7">
        <w:rPr>
          <w:rFonts w:hint="cs"/>
          <w:b/>
          <w:rtl/>
        </w:rPr>
        <w:t>צמצום</w:t>
      </w:r>
      <w:r>
        <w:rPr>
          <w:rFonts w:hint="cs"/>
          <w:b/>
          <w:rtl/>
        </w:rPr>
        <w:t xml:space="preserve"> היקף גיוס המילואים</w:t>
      </w:r>
      <w:r w:rsidR="00EE3500">
        <w:rPr>
          <w:rFonts w:hint="cs"/>
          <w:b/>
          <w:rtl/>
        </w:rPr>
        <w:t xml:space="preserve"> הנגזר מכך</w:t>
      </w:r>
      <w:r w:rsidR="002D3577">
        <w:rPr>
          <w:rFonts w:hint="cs"/>
          <w:b/>
          <w:rtl/>
        </w:rPr>
        <w:t xml:space="preserve">, </w:t>
      </w:r>
      <w:r w:rsidR="00467F39">
        <w:rPr>
          <w:rFonts w:hint="cs"/>
          <w:b/>
          <w:rtl/>
        </w:rPr>
        <w:t>תהיה</w:t>
      </w:r>
      <w:r w:rsidR="00D7789E" w:rsidRPr="00D7789E">
        <w:rPr>
          <w:b/>
          <w:rtl/>
        </w:rPr>
        <w:t xml:space="preserve"> הקלה במגבלות </w:t>
      </w:r>
      <w:r w:rsidR="00D416AB">
        <w:rPr>
          <w:rFonts w:hint="cs"/>
          <w:b/>
          <w:rtl/>
        </w:rPr>
        <w:t xml:space="preserve">ההיצע בשוק העבודה, בשילוב עם </w:t>
      </w:r>
      <w:r w:rsidR="00517517">
        <w:rPr>
          <w:rFonts w:hint="cs"/>
          <w:b/>
          <w:rtl/>
        </w:rPr>
        <w:t xml:space="preserve">התמתנות בביקוש לצריכה </w:t>
      </w:r>
      <w:r w:rsidR="00974D42">
        <w:rPr>
          <w:rFonts w:hint="cs"/>
          <w:b/>
          <w:rtl/>
        </w:rPr>
        <w:t>הציבורית</w:t>
      </w:r>
      <w:r w:rsidR="00517517">
        <w:rPr>
          <w:rFonts w:hint="cs"/>
          <w:b/>
          <w:rtl/>
        </w:rPr>
        <w:t xml:space="preserve"> </w:t>
      </w:r>
      <w:r w:rsidR="00D416AB">
        <w:rPr>
          <w:b/>
          <w:rtl/>
        </w:rPr>
        <w:t>–</w:t>
      </w:r>
      <w:r w:rsidR="00D416AB">
        <w:rPr>
          <w:rFonts w:hint="cs"/>
          <w:b/>
          <w:rtl/>
        </w:rPr>
        <w:t xml:space="preserve"> התפתחות שצפויה לה</w:t>
      </w:r>
      <w:r w:rsidR="00517517">
        <w:rPr>
          <w:rFonts w:hint="cs"/>
          <w:b/>
          <w:rtl/>
        </w:rPr>
        <w:t>וביל</w:t>
      </w:r>
      <w:r w:rsidR="00D7789E" w:rsidRPr="00D7789E">
        <w:rPr>
          <w:b/>
          <w:rtl/>
        </w:rPr>
        <w:t xml:space="preserve"> </w:t>
      </w:r>
      <w:r w:rsidR="00517517">
        <w:rPr>
          <w:rFonts w:hint="cs"/>
          <w:b/>
          <w:rtl/>
        </w:rPr>
        <w:t>ל</w:t>
      </w:r>
      <w:r w:rsidR="00D7789E" w:rsidRPr="00D7789E">
        <w:rPr>
          <w:b/>
          <w:rtl/>
        </w:rPr>
        <w:t xml:space="preserve">המשך התמתנות האינפלציה. </w:t>
      </w:r>
      <w:r w:rsidR="00CC388A">
        <w:rPr>
          <w:rFonts w:hint="cs"/>
          <w:b/>
          <w:rtl/>
        </w:rPr>
        <w:t>מאז פרסום תחזית אפריל</w:t>
      </w:r>
      <w:r w:rsidR="00243A2F">
        <w:rPr>
          <w:rFonts w:hint="cs"/>
          <w:b/>
          <w:rtl/>
        </w:rPr>
        <w:t xml:space="preserve"> </w:t>
      </w:r>
      <w:r w:rsidR="00CC388A">
        <w:rPr>
          <w:rFonts w:hint="cs"/>
          <w:b/>
          <w:rtl/>
        </w:rPr>
        <w:t xml:space="preserve">התקבלו </w:t>
      </w:r>
      <w:r w:rsidR="00D7789E" w:rsidRPr="00C52F8A">
        <w:rPr>
          <w:b/>
          <w:rtl/>
        </w:rPr>
        <w:t xml:space="preserve">מדדי המחירים </w:t>
      </w:r>
      <w:r w:rsidR="00CC388A">
        <w:rPr>
          <w:rFonts w:hint="cs"/>
          <w:b/>
          <w:rtl/>
        </w:rPr>
        <w:t>של חודשים אפריל ומאי,</w:t>
      </w:r>
      <w:r w:rsidR="00D7789E" w:rsidRPr="00C52F8A">
        <w:rPr>
          <w:b/>
          <w:rtl/>
        </w:rPr>
        <w:t xml:space="preserve"> </w:t>
      </w:r>
      <w:r w:rsidR="00454E80">
        <w:rPr>
          <w:rFonts w:hint="cs"/>
          <w:b/>
          <w:rtl/>
        </w:rPr>
        <w:t>ו</w:t>
      </w:r>
      <w:r w:rsidR="00CC388A" w:rsidRPr="00776E03">
        <w:rPr>
          <w:rFonts w:hint="cs"/>
          <w:b/>
          <w:rtl/>
        </w:rPr>
        <w:t>השפעתם המצטברת</w:t>
      </w:r>
      <w:r w:rsidR="00D7789E" w:rsidRPr="00776E03">
        <w:rPr>
          <w:b/>
          <w:rtl/>
        </w:rPr>
        <w:t xml:space="preserve"> </w:t>
      </w:r>
      <w:r w:rsidR="00CC388A" w:rsidRPr="00776E03">
        <w:rPr>
          <w:rFonts w:hint="cs"/>
          <w:b/>
          <w:rtl/>
        </w:rPr>
        <w:t>דומה ל</w:t>
      </w:r>
      <w:r w:rsidR="00D7789E" w:rsidRPr="00776E03">
        <w:rPr>
          <w:b/>
          <w:rtl/>
        </w:rPr>
        <w:t>הערכותינו</w:t>
      </w:r>
      <w:r w:rsidR="00F355D1">
        <w:rPr>
          <w:rFonts w:hint="cs"/>
          <w:b/>
          <w:rtl/>
        </w:rPr>
        <w:t xml:space="preserve"> בתחזית אפריל</w:t>
      </w:r>
      <w:r w:rsidR="00D7789E" w:rsidRPr="00C52F8A">
        <w:rPr>
          <w:b/>
          <w:rtl/>
        </w:rPr>
        <w:t>.</w:t>
      </w:r>
      <w:r w:rsidR="00D37E42">
        <w:rPr>
          <w:rFonts w:hint="cs"/>
          <w:b/>
          <w:rtl/>
        </w:rPr>
        <w:t xml:space="preserve"> </w:t>
      </w:r>
    </w:p>
    <w:p w:rsidR="00D7789E" w:rsidRPr="00D7789E" w:rsidRDefault="00202530" w:rsidP="00A05AEF">
      <w:pPr>
        <w:jc w:val="both"/>
        <w:rPr>
          <w:b/>
          <w:rtl/>
        </w:rPr>
      </w:pPr>
      <w:r w:rsidRPr="00202530">
        <w:rPr>
          <w:bCs/>
          <w:rtl/>
        </w:rPr>
        <w:t xml:space="preserve">ריבית </w:t>
      </w:r>
      <w:r w:rsidR="00096584">
        <w:rPr>
          <w:rFonts w:hint="cs"/>
          <w:bCs/>
          <w:rtl/>
        </w:rPr>
        <w:t xml:space="preserve">בנק ישראל </w:t>
      </w:r>
      <w:r w:rsidRPr="00202530">
        <w:rPr>
          <w:bCs/>
          <w:rtl/>
        </w:rPr>
        <w:t xml:space="preserve">צפויה לעמוד </w:t>
      </w:r>
      <w:r w:rsidRPr="000A4A06">
        <w:rPr>
          <w:bCs/>
          <w:rtl/>
        </w:rPr>
        <w:t xml:space="preserve">על </w:t>
      </w:r>
      <w:r w:rsidR="00A05AEF">
        <w:rPr>
          <w:rFonts w:hint="cs"/>
          <w:bCs/>
          <w:rtl/>
        </w:rPr>
        <w:t>3</w:t>
      </w:r>
      <w:r w:rsidRPr="000A4A06">
        <w:rPr>
          <w:bCs/>
          <w:rtl/>
        </w:rPr>
        <w:t>.</w:t>
      </w:r>
      <w:r w:rsidR="00A05AEF">
        <w:rPr>
          <w:rFonts w:hint="cs"/>
          <w:bCs/>
          <w:rtl/>
        </w:rPr>
        <w:t>75</w:t>
      </w:r>
      <w:r w:rsidRPr="000A4A06">
        <w:rPr>
          <w:bCs/>
          <w:rtl/>
        </w:rPr>
        <w:t>% בממוצע</w:t>
      </w:r>
      <w:r w:rsidRPr="00202530">
        <w:rPr>
          <w:bCs/>
          <w:rtl/>
        </w:rPr>
        <w:t xml:space="preserve"> ברבעון </w:t>
      </w:r>
      <w:r w:rsidR="00653E10">
        <w:rPr>
          <w:rFonts w:hint="cs"/>
          <w:bCs/>
          <w:rtl/>
        </w:rPr>
        <w:t>השני</w:t>
      </w:r>
      <w:r w:rsidRPr="00202530">
        <w:rPr>
          <w:bCs/>
          <w:rtl/>
        </w:rPr>
        <w:t xml:space="preserve"> של 20</w:t>
      </w:r>
      <w:r w:rsidR="00A37310">
        <w:rPr>
          <w:rFonts w:hint="cs"/>
          <w:bCs/>
          <w:rtl/>
        </w:rPr>
        <w:t>26</w:t>
      </w:r>
      <w:r w:rsidRPr="00202530">
        <w:rPr>
          <w:b/>
          <w:rtl/>
        </w:rPr>
        <w:t xml:space="preserve"> (לוח 2). </w:t>
      </w:r>
      <w:r w:rsidR="00D7789E" w:rsidRPr="00D7789E">
        <w:rPr>
          <w:b/>
          <w:rtl/>
        </w:rPr>
        <w:t xml:space="preserve">תחזית זו מגלמת </w:t>
      </w:r>
      <w:r w:rsidR="00496BE1">
        <w:rPr>
          <w:rFonts w:hint="cs"/>
          <w:b/>
          <w:rtl/>
        </w:rPr>
        <w:t>ירידה</w:t>
      </w:r>
      <w:r w:rsidR="00D7789E" w:rsidRPr="00D7789E">
        <w:rPr>
          <w:b/>
          <w:rtl/>
        </w:rPr>
        <w:t xml:space="preserve"> הדרגתית של הריבית מרמתה הנוכחית</w:t>
      </w:r>
      <w:r w:rsidR="001C522F">
        <w:rPr>
          <w:rFonts w:hint="cs"/>
          <w:b/>
          <w:rtl/>
        </w:rPr>
        <w:t xml:space="preserve">, בהתאם לקצב </w:t>
      </w:r>
      <w:r w:rsidR="00D7789E" w:rsidRPr="00D7789E">
        <w:rPr>
          <w:b/>
          <w:rtl/>
        </w:rPr>
        <w:t>התכנסות האינפלציה ל</w:t>
      </w:r>
      <w:r w:rsidR="00467F39">
        <w:rPr>
          <w:rFonts w:hint="cs"/>
          <w:b/>
          <w:rtl/>
        </w:rPr>
        <w:t>מרכז ה</w:t>
      </w:r>
      <w:r w:rsidR="00D7789E" w:rsidRPr="00D7789E">
        <w:rPr>
          <w:b/>
          <w:rtl/>
        </w:rPr>
        <w:t>יעד</w:t>
      </w:r>
      <w:r w:rsidR="00096584">
        <w:rPr>
          <w:rFonts w:hint="cs"/>
          <w:b/>
          <w:rtl/>
        </w:rPr>
        <w:t xml:space="preserve"> על פי התרחיש בבסיס התחזית</w:t>
      </w:r>
      <w:r w:rsidR="00D7789E" w:rsidRPr="00D7789E">
        <w:rPr>
          <w:b/>
          <w:rtl/>
        </w:rPr>
        <w:t>.</w:t>
      </w:r>
    </w:p>
    <w:bookmarkEnd w:id="3"/>
    <w:p w:rsidR="00804663" w:rsidRPr="00CA0C7C" w:rsidRDefault="00EA4EDD" w:rsidP="00122CEE">
      <w:pPr>
        <w:jc w:val="both"/>
        <w:rPr>
          <w:b/>
          <w:rtl/>
        </w:rPr>
      </w:pPr>
      <w:r w:rsidRPr="00D7789E">
        <w:rPr>
          <w:b/>
          <w:rtl/>
        </w:rPr>
        <w:t xml:space="preserve">מלוח 2 עולה כי תחזית החטיבה לאינפלציה במהלך ארבעת הרביעים הקרובים </w:t>
      </w:r>
      <w:r>
        <w:rPr>
          <w:rFonts w:hint="cs"/>
          <w:b/>
          <w:rtl/>
        </w:rPr>
        <w:t>נמוכה</w:t>
      </w:r>
      <w:r w:rsidRPr="00D7789E">
        <w:rPr>
          <w:b/>
          <w:rtl/>
        </w:rPr>
        <w:t xml:space="preserve"> </w:t>
      </w:r>
      <w:r w:rsidR="00532ED2">
        <w:rPr>
          <w:rFonts w:hint="cs"/>
          <w:b/>
          <w:rtl/>
        </w:rPr>
        <w:t xml:space="preserve">במעט </w:t>
      </w:r>
      <w:r w:rsidRPr="00884F41">
        <w:rPr>
          <w:rFonts w:hint="cs"/>
          <w:b/>
          <w:rtl/>
        </w:rPr>
        <w:t>מ</w:t>
      </w:r>
      <w:r w:rsidRPr="00884F41">
        <w:rPr>
          <w:b/>
          <w:rtl/>
        </w:rPr>
        <w:t xml:space="preserve">ממוצע תחזיות החזאים הפרטיים וגבוהה מהתחזית הנגזרת משוק ההון. תחזית החטיבה לריבית בעוד ארבעה רביעים </w:t>
      </w:r>
      <w:r w:rsidR="00855B6F">
        <w:rPr>
          <w:rFonts w:hint="cs"/>
          <w:b/>
          <w:rtl/>
        </w:rPr>
        <w:t>דומה</w:t>
      </w:r>
      <w:r w:rsidRPr="00884F41">
        <w:rPr>
          <w:rFonts w:hint="cs"/>
          <w:b/>
          <w:rtl/>
        </w:rPr>
        <w:t xml:space="preserve"> </w:t>
      </w:r>
      <w:r w:rsidR="00855B6F">
        <w:rPr>
          <w:rFonts w:hint="cs"/>
          <w:b/>
          <w:rtl/>
        </w:rPr>
        <w:t>ל</w:t>
      </w:r>
      <w:r w:rsidRPr="00884F41">
        <w:rPr>
          <w:b/>
          <w:rtl/>
        </w:rPr>
        <w:t>ציפיות הנגזרות</w:t>
      </w:r>
      <w:r w:rsidRPr="00D7789E">
        <w:rPr>
          <w:b/>
          <w:rtl/>
        </w:rPr>
        <w:t xml:space="preserve"> משוק ההון </w:t>
      </w:r>
      <w:r>
        <w:rPr>
          <w:rFonts w:hint="cs"/>
          <w:b/>
          <w:rtl/>
        </w:rPr>
        <w:t>ומ</w:t>
      </w:r>
      <w:r w:rsidRPr="00D7789E">
        <w:rPr>
          <w:b/>
          <w:rtl/>
        </w:rPr>
        <w:t>ממוצע תחזיות החזאים.</w:t>
      </w:r>
    </w:p>
    <w:tbl>
      <w:tblPr>
        <w:bidiVisual/>
        <w:tblW w:w="5000" w:type="pct"/>
        <w:jc w:val="center"/>
        <w:tblLook w:val="04A0" w:firstRow="1" w:lastRow="0" w:firstColumn="1" w:lastColumn="0" w:noHBand="0" w:noVBand="1"/>
      </w:tblPr>
      <w:tblGrid>
        <w:gridCol w:w="2892"/>
        <w:gridCol w:w="2368"/>
        <w:gridCol w:w="2368"/>
        <w:gridCol w:w="2118"/>
      </w:tblGrid>
      <w:tr w:rsidR="00C94167" w:rsidRPr="00582BD2" w:rsidTr="00261FA6">
        <w:trPr>
          <w:trHeight w:val="280"/>
          <w:jc w:val="center"/>
        </w:trPr>
        <w:tc>
          <w:tcPr>
            <w:tcW w:w="5000" w:type="pct"/>
            <w:gridSpan w:val="4"/>
            <w:tcBorders>
              <w:top w:val="nil"/>
              <w:left w:val="nil"/>
              <w:bottom w:val="nil"/>
              <w:right w:val="nil"/>
            </w:tcBorders>
            <w:shd w:val="clear" w:color="auto" w:fill="auto"/>
            <w:noWrap/>
            <w:vAlign w:val="bottom"/>
            <w:hideMark/>
          </w:tcPr>
          <w:p w:rsidR="00C94167" w:rsidRPr="00582BD2" w:rsidRDefault="00C94167" w:rsidP="00C94167">
            <w:pPr>
              <w:spacing w:after="0"/>
              <w:rPr>
                <w:rFonts w:eastAsia="Times New Roman"/>
                <w:b/>
                <w:bCs/>
                <w:color w:val="000000"/>
                <w:sz w:val="28"/>
                <w:szCs w:val="28"/>
              </w:rPr>
            </w:pPr>
            <w:bookmarkStart w:id="4" w:name="_Hlk202427821"/>
            <w:r w:rsidRPr="00C94167">
              <w:rPr>
                <w:rFonts w:eastAsia="Times New Roman"/>
                <w:b/>
                <w:bCs/>
                <w:color w:val="000000"/>
                <w:sz w:val="24"/>
                <w:szCs w:val="24"/>
                <w:rtl/>
              </w:rPr>
              <w:t xml:space="preserve">לוח 2 | התחזיות לגבי האינפלציה במהלך השנה הקרובה ולגבי הריבית בעוד שנה </w:t>
            </w:r>
          </w:p>
        </w:tc>
      </w:tr>
      <w:tr w:rsidR="00C94167" w:rsidRPr="00582BD2" w:rsidTr="00261FA6">
        <w:trPr>
          <w:trHeight w:val="315"/>
          <w:jc w:val="center"/>
        </w:trPr>
        <w:tc>
          <w:tcPr>
            <w:tcW w:w="5000" w:type="pct"/>
            <w:gridSpan w:val="4"/>
            <w:tcBorders>
              <w:top w:val="nil"/>
              <w:left w:val="nil"/>
              <w:bottom w:val="single" w:sz="4" w:space="0" w:color="1F497D"/>
              <w:right w:val="nil"/>
            </w:tcBorders>
            <w:shd w:val="clear" w:color="auto" w:fill="auto"/>
            <w:noWrap/>
            <w:vAlign w:val="bottom"/>
            <w:hideMark/>
          </w:tcPr>
          <w:p w:rsidR="00C94167" w:rsidRPr="00582BD2" w:rsidRDefault="00C94167" w:rsidP="007B1E2D">
            <w:pPr>
              <w:spacing w:after="0" w:line="240" w:lineRule="auto"/>
              <w:rPr>
                <w:rFonts w:eastAsia="Times New Roman"/>
                <w:color w:val="000000"/>
                <w:sz w:val="24"/>
                <w:szCs w:val="24"/>
                <w:rtl/>
              </w:rPr>
            </w:pPr>
            <w:r w:rsidRPr="00C94167">
              <w:rPr>
                <w:rFonts w:eastAsia="Times New Roman"/>
                <w:color w:val="000000"/>
                <w:rtl/>
              </w:rPr>
              <w:t>(אחוזים)</w:t>
            </w:r>
          </w:p>
        </w:tc>
      </w:tr>
      <w:tr w:rsidR="00C94167" w:rsidRPr="00582BD2" w:rsidTr="00DA511E">
        <w:trPr>
          <w:trHeight w:val="660"/>
          <w:jc w:val="center"/>
        </w:trPr>
        <w:tc>
          <w:tcPr>
            <w:tcW w:w="1489" w:type="pct"/>
            <w:tcBorders>
              <w:top w:val="nil"/>
              <w:left w:val="nil"/>
              <w:bottom w:val="single" w:sz="4" w:space="0" w:color="1F497D"/>
              <w:right w:val="nil"/>
            </w:tcBorders>
            <w:shd w:val="clear" w:color="auto" w:fill="auto"/>
            <w:noWrap/>
            <w:vAlign w:val="bottom"/>
            <w:hideMark/>
          </w:tcPr>
          <w:p w:rsidR="00C94167" w:rsidRPr="00582BD2" w:rsidRDefault="00C94167" w:rsidP="007B1E2D">
            <w:pPr>
              <w:bidi w:val="0"/>
              <w:spacing w:after="0" w:line="240" w:lineRule="auto"/>
              <w:rPr>
                <w:rFonts w:eastAsia="Times New Roman"/>
                <w:color w:val="000000"/>
              </w:rPr>
            </w:pPr>
            <w:r w:rsidRPr="00582BD2">
              <w:rPr>
                <w:rFonts w:eastAsia="Times New Roman"/>
                <w:color w:val="000000"/>
              </w:rPr>
              <w:t> </w:t>
            </w:r>
          </w:p>
        </w:tc>
        <w:tc>
          <w:tcPr>
            <w:tcW w:w="1214" w:type="pct"/>
            <w:tcBorders>
              <w:top w:val="nil"/>
              <w:left w:val="nil"/>
              <w:bottom w:val="nil"/>
              <w:right w:val="nil"/>
            </w:tcBorders>
            <w:shd w:val="clear" w:color="auto" w:fill="auto"/>
            <w:vAlign w:val="center"/>
            <w:hideMark/>
          </w:tcPr>
          <w:p w:rsidR="00C94167" w:rsidRPr="00582BD2" w:rsidRDefault="00C94167" w:rsidP="00261FA6">
            <w:pPr>
              <w:spacing w:after="0" w:line="240" w:lineRule="auto"/>
              <w:rPr>
                <w:rFonts w:eastAsia="Times New Roman"/>
                <w:color w:val="1F497D"/>
              </w:rPr>
            </w:pPr>
            <w:r w:rsidRPr="00582BD2">
              <w:rPr>
                <w:rFonts w:eastAsia="Times New Roman"/>
                <w:color w:val="1F497D"/>
                <w:rtl/>
              </w:rPr>
              <w:t>חטיבת המחקר של בנק ישראל</w:t>
            </w:r>
            <w:r w:rsidR="00AE30C2" w:rsidRPr="00582BD2">
              <w:rPr>
                <w:rFonts w:eastAsia="Times New Roman"/>
                <w:color w:val="1F497D"/>
                <w:vertAlign w:val="superscript"/>
                <w:rtl/>
              </w:rPr>
              <w:t>1</w:t>
            </w:r>
          </w:p>
        </w:tc>
        <w:tc>
          <w:tcPr>
            <w:tcW w:w="1214" w:type="pct"/>
            <w:tcBorders>
              <w:top w:val="nil"/>
              <w:left w:val="nil"/>
              <w:bottom w:val="single" w:sz="4" w:space="0" w:color="1F497D"/>
              <w:right w:val="nil"/>
            </w:tcBorders>
            <w:shd w:val="clear" w:color="auto" w:fill="auto"/>
            <w:vAlign w:val="center"/>
            <w:hideMark/>
          </w:tcPr>
          <w:p w:rsidR="00C94167" w:rsidRPr="00582BD2" w:rsidRDefault="00C94167" w:rsidP="00AE30C2">
            <w:pPr>
              <w:spacing w:after="0" w:line="240" w:lineRule="auto"/>
              <w:rPr>
                <w:rFonts w:eastAsia="Times New Roman"/>
                <w:color w:val="1F497D"/>
                <w:rtl/>
              </w:rPr>
            </w:pPr>
            <w:r w:rsidRPr="00582BD2">
              <w:rPr>
                <w:rFonts w:eastAsia="Times New Roman"/>
                <w:color w:val="1F497D"/>
                <w:rtl/>
              </w:rPr>
              <w:t>שוק ההון</w:t>
            </w:r>
            <w:r w:rsidR="00AE30C2">
              <w:rPr>
                <w:rFonts w:eastAsia="Times New Roman" w:hint="cs"/>
                <w:color w:val="1F497D"/>
                <w:vertAlign w:val="superscript"/>
                <w:rtl/>
              </w:rPr>
              <w:t>2</w:t>
            </w:r>
          </w:p>
        </w:tc>
        <w:tc>
          <w:tcPr>
            <w:tcW w:w="1083" w:type="pct"/>
            <w:tcBorders>
              <w:top w:val="nil"/>
              <w:left w:val="nil"/>
              <w:bottom w:val="single" w:sz="4" w:space="0" w:color="1F497D"/>
              <w:right w:val="nil"/>
            </w:tcBorders>
            <w:shd w:val="clear" w:color="auto" w:fill="auto"/>
            <w:vAlign w:val="center"/>
            <w:hideMark/>
          </w:tcPr>
          <w:p w:rsidR="00C94167" w:rsidRPr="00582BD2" w:rsidRDefault="00C94167" w:rsidP="00AE30C2">
            <w:pPr>
              <w:spacing w:after="0" w:line="240" w:lineRule="auto"/>
              <w:rPr>
                <w:rFonts w:eastAsia="Times New Roman"/>
                <w:color w:val="1F497D"/>
                <w:rtl/>
              </w:rPr>
            </w:pPr>
            <w:r w:rsidRPr="00582BD2">
              <w:rPr>
                <w:rFonts w:eastAsia="Times New Roman"/>
                <w:color w:val="1F497D"/>
                <w:rtl/>
              </w:rPr>
              <w:t>החזאים הפרטיים</w:t>
            </w:r>
            <w:r w:rsidR="00AE30C2">
              <w:rPr>
                <w:rFonts w:eastAsia="Times New Roman" w:hint="cs"/>
                <w:color w:val="1F497D"/>
                <w:vertAlign w:val="superscript"/>
                <w:rtl/>
              </w:rPr>
              <w:t>3</w:t>
            </w:r>
            <w:r w:rsidRPr="00582BD2">
              <w:rPr>
                <w:rFonts w:eastAsia="Times New Roman"/>
                <w:color w:val="1F497D"/>
                <w:rtl/>
              </w:rPr>
              <w:br/>
              <w:t>(טווח התחזיות)</w:t>
            </w:r>
          </w:p>
        </w:tc>
      </w:tr>
      <w:tr w:rsidR="00C94167" w:rsidRPr="00582BD2" w:rsidTr="00DA511E">
        <w:trPr>
          <w:trHeight w:val="300"/>
          <w:jc w:val="center"/>
        </w:trPr>
        <w:tc>
          <w:tcPr>
            <w:tcW w:w="1489" w:type="pct"/>
            <w:tcBorders>
              <w:top w:val="nil"/>
              <w:left w:val="nil"/>
              <w:bottom w:val="nil"/>
              <w:right w:val="nil"/>
            </w:tcBorders>
            <w:shd w:val="clear" w:color="auto" w:fill="auto"/>
            <w:vAlign w:val="center"/>
            <w:hideMark/>
          </w:tcPr>
          <w:p w:rsidR="00C94167" w:rsidRPr="00582BD2" w:rsidRDefault="00C94167" w:rsidP="009D3490">
            <w:pPr>
              <w:spacing w:after="0" w:line="240" w:lineRule="auto"/>
              <w:rPr>
                <w:rFonts w:eastAsia="Times New Roman"/>
                <w:rtl/>
              </w:rPr>
            </w:pPr>
            <w:r w:rsidRPr="00582BD2">
              <w:rPr>
                <w:rFonts w:eastAsia="Times New Roman"/>
                <w:rtl/>
              </w:rPr>
              <w:t>האינפלציה</w:t>
            </w:r>
          </w:p>
        </w:tc>
        <w:tc>
          <w:tcPr>
            <w:tcW w:w="1214" w:type="pct"/>
            <w:tcBorders>
              <w:top w:val="single" w:sz="4" w:space="0" w:color="1F497D"/>
              <w:left w:val="nil"/>
              <w:bottom w:val="nil"/>
              <w:right w:val="nil"/>
            </w:tcBorders>
            <w:shd w:val="clear" w:color="auto" w:fill="auto"/>
            <w:noWrap/>
            <w:vAlign w:val="bottom"/>
            <w:hideMark/>
          </w:tcPr>
          <w:p w:rsidR="00C94167" w:rsidRPr="00582BD2" w:rsidRDefault="00C94167" w:rsidP="000A4A06">
            <w:pPr>
              <w:spacing w:after="0" w:line="240" w:lineRule="auto"/>
              <w:rPr>
                <w:rFonts w:eastAsia="Times New Roman"/>
                <w:color w:val="000000"/>
                <w:rtl/>
              </w:rPr>
            </w:pPr>
            <w:r w:rsidRPr="00582BD2">
              <w:rPr>
                <w:rFonts w:eastAsia="Times New Roman" w:hint="cs"/>
                <w:color w:val="000000"/>
                <w:rtl/>
              </w:rPr>
              <w:t>2.</w:t>
            </w:r>
            <w:r w:rsidR="000A4A06">
              <w:rPr>
                <w:rFonts w:eastAsia="Times New Roman" w:hint="cs"/>
                <w:color w:val="000000"/>
                <w:rtl/>
              </w:rPr>
              <w:t>2</w:t>
            </w:r>
          </w:p>
        </w:tc>
        <w:tc>
          <w:tcPr>
            <w:tcW w:w="1214" w:type="pct"/>
            <w:tcBorders>
              <w:top w:val="nil"/>
              <w:left w:val="nil"/>
              <w:bottom w:val="nil"/>
              <w:right w:val="nil"/>
            </w:tcBorders>
            <w:shd w:val="clear" w:color="auto" w:fill="auto"/>
            <w:noWrap/>
            <w:vAlign w:val="bottom"/>
            <w:hideMark/>
          </w:tcPr>
          <w:p w:rsidR="00C94167" w:rsidRPr="00582BD2" w:rsidRDefault="00D7789E" w:rsidP="007625DA">
            <w:pPr>
              <w:spacing w:after="0" w:line="240" w:lineRule="auto"/>
              <w:rPr>
                <w:rFonts w:eastAsia="Times New Roman"/>
                <w:color w:val="000000"/>
                <w:rtl/>
              </w:rPr>
            </w:pPr>
            <w:r>
              <w:rPr>
                <w:rFonts w:eastAsia="Times New Roman" w:hint="cs"/>
                <w:color w:val="000000"/>
                <w:rtl/>
              </w:rPr>
              <w:t>1.</w:t>
            </w:r>
            <w:r w:rsidR="003563F8">
              <w:rPr>
                <w:rFonts w:eastAsia="Times New Roman" w:hint="cs"/>
                <w:color w:val="000000"/>
                <w:rtl/>
              </w:rPr>
              <w:t>6</w:t>
            </w:r>
          </w:p>
        </w:tc>
        <w:tc>
          <w:tcPr>
            <w:tcW w:w="1083" w:type="pct"/>
            <w:tcBorders>
              <w:top w:val="nil"/>
              <w:left w:val="nil"/>
              <w:bottom w:val="nil"/>
              <w:right w:val="nil"/>
            </w:tcBorders>
            <w:shd w:val="clear" w:color="auto" w:fill="auto"/>
            <w:noWrap/>
            <w:vAlign w:val="bottom"/>
            <w:hideMark/>
          </w:tcPr>
          <w:p w:rsidR="00C94167" w:rsidRPr="00582BD2" w:rsidRDefault="00C94167" w:rsidP="000A4A06">
            <w:pPr>
              <w:spacing w:after="0" w:line="240" w:lineRule="auto"/>
              <w:rPr>
                <w:rFonts w:eastAsia="Times New Roman"/>
                <w:color w:val="000000"/>
                <w:rtl/>
              </w:rPr>
            </w:pPr>
            <w:r w:rsidRPr="00582BD2">
              <w:rPr>
                <w:rFonts w:eastAsia="Times New Roman" w:hint="cs"/>
                <w:color w:val="000000"/>
                <w:rtl/>
              </w:rPr>
              <w:t>2</w:t>
            </w:r>
            <w:r w:rsidR="00E40883">
              <w:rPr>
                <w:rFonts w:eastAsia="Times New Roman" w:hint="cs"/>
                <w:color w:val="000000"/>
                <w:rtl/>
              </w:rPr>
              <w:t>.</w:t>
            </w:r>
            <w:r w:rsidR="00A339E0">
              <w:rPr>
                <w:rFonts w:eastAsia="Times New Roman" w:hint="cs"/>
                <w:color w:val="000000"/>
                <w:rtl/>
              </w:rPr>
              <w:t>3</w:t>
            </w:r>
            <w:r w:rsidR="00347DBE" w:rsidRPr="00582BD2">
              <w:rPr>
                <w:rFonts w:eastAsia="Times New Roman" w:hint="cs"/>
                <w:color w:val="000000"/>
                <w:rtl/>
              </w:rPr>
              <w:t xml:space="preserve"> </w:t>
            </w:r>
            <w:r w:rsidRPr="00582BD2">
              <w:rPr>
                <w:rFonts w:eastAsia="Times New Roman" w:hint="cs"/>
                <w:color w:val="000000"/>
                <w:rtl/>
              </w:rPr>
              <w:t>(</w:t>
            </w:r>
            <w:r w:rsidR="000A4A06">
              <w:rPr>
                <w:rFonts w:eastAsia="Times New Roman" w:hint="cs"/>
                <w:color w:val="000000"/>
                <w:rtl/>
              </w:rPr>
              <w:t>1</w:t>
            </w:r>
            <w:r w:rsidR="00347DBE">
              <w:rPr>
                <w:rFonts w:eastAsia="Times New Roman" w:hint="cs"/>
                <w:color w:val="000000"/>
                <w:rtl/>
              </w:rPr>
              <w:t>.</w:t>
            </w:r>
            <w:r w:rsidR="000A4A06">
              <w:rPr>
                <w:rFonts w:eastAsia="Times New Roman" w:hint="cs"/>
                <w:color w:val="000000"/>
                <w:rtl/>
              </w:rPr>
              <w:t>8</w:t>
            </w:r>
            <w:r w:rsidRPr="00582BD2">
              <w:rPr>
                <w:rFonts w:eastAsia="Times New Roman" w:hint="cs"/>
                <w:color w:val="000000"/>
                <w:rtl/>
              </w:rPr>
              <w:t>—</w:t>
            </w:r>
            <w:r w:rsidR="000A4A06">
              <w:rPr>
                <w:rFonts w:eastAsia="Times New Roman" w:hint="cs"/>
                <w:color w:val="000000"/>
                <w:rtl/>
              </w:rPr>
              <w:t>2</w:t>
            </w:r>
            <w:r w:rsidR="00D7789E">
              <w:rPr>
                <w:rFonts w:eastAsia="Times New Roman" w:hint="cs"/>
                <w:color w:val="000000"/>
                <w:rtl/>
              </w:rPr>
              <w:t>.</w:t>
            </w:r>
            <w:r w:rsidR="00A339E0">
              <w:rPr>
                <w:rFonts w:eastAsia="Times New Roman" w:hint="cs"/>
                <w:color w:val="000000"/>
                <w:rtl/>
              </w:rPr>
              <w:t>7</w:t>
            </w:r>
            <w:r w:rsidRPr="00582BD2">
              <w:rPr>
                <w:rFonts w:eastAsia="Times New Roman" w:hint="cs"/>
                <w:color w:val="000000"/>
                <w:rtl/>
              </w:rPr>
              <w:t>)</w:t>
            </w:r>
          </w:p>
        </w:tc>
      </w:tr>
      <w:tr w:rsidR="00C94167" w:rsidRPr="00582BD2" w:rsidTr="00DA511E">
        <w:trPr>
          <w:trHeight w:val="300"/>
          <w:jc w:val="center"/>
        </w:trPr>
        <w:tc>
          <w:tcPr>
            <w:tcW w:w="1489" w:type="pct"/>
            <w:tcBorders>
              <w:top w:val="nil"/>
              <w:left w:val="nil"/>
              <w:bottom w:val="single" w:sz="4" w:space="0" w:color="1F497D"/>
              <w:right w:val="nil"/>
            </w:tcBorders>
            <w:shd w:val="clear" w:color="auto" w:fill="auto"/>
            <w:vAlign w:val="center"/>
            <w:hideMark/>
          </w:tcPr>
          <w:p w:rsidR="00C94167" w:rsidRPr="00582BD2" w:rsidRDefault="00C94167" w:rsidP="009D3490">
            <w:pPr>
              <w:spacing w:after="0" w:line="240" w:lineRule="auto"/>
              <w:rPr>
                <w:rFonts w:eastAsia="Times New Roman"/>
                <w:color w:val="000000"/>
                <w:rtl/>
              </w:rPr>
            </w:pPr>
            <w:r w:rsidRPr="00582BD2">
              <w:rPr>
                <w:rFonts w:eastAsia="Times New Roman"/>
                <w:color w:val="000000"/>
                <w:rtl/>
              </w:rPr>
              <w:t>ריבית בנק ישראל</w:t>
            </w:r>
          </w:p>
        </w:tc>
        <w:tc>
          <w:tcPr>
            <w:tcW w:w="1214" w:type="pct"/>
            <w:tcBorders>
              <w:top w:val="nil"/>
              <w:left w:val="nil"/>
              <w:bottom w:val="single" w:sz="4" w:space="0" w:color="1F497D"/>
              <w:right w:val="nil"/>
            </w:tcBorders>
            <w:shd w:val="clear" w:color="auto" w:fill="auto"/>
            <w:noWrap/>
            <w:vAlign w:val="bottom"/>
            <w:hideMark/>
          </w:tcPr>
          <w:p w:rsidR="00C94167" w:rsidRPr="00582BD2" w:rsidRDefault="002F79A5" w:rsidP="002F79A5">
            <w:pPr>
              <w:spacing w:after="0" w:line="240" w:lineRule="auto"/>
              <w:rPr>
                <w:rFonts w:eastAsia="Times New Roman"/>
                <w:color w:val="000000"/>
                <w:rtl/>
              </w:rPr>
            </w:pPr>
            <w:r>
              <w:rPr>
                <w:rFonts w:eastAsia="Times New Roman" w:hint="cs"/>
                <w:color w:val="000000"/>
                <w:rtl/>
              </w:rPr>
              <w:t>3</w:t>
            </w:r>
            <w:r w:rsidR="00C94167" w:rsidRPr="00582BD2">
              <w:rPr>
                <w:rFonts w:eastAsia="Times New Roman" w:hint="cs"/>
                <w:color w:val="000000"/>
                <w:rtl/>
              </w:rPr>
              <w:t>.</w:t>
            </w:r>
            <w:r>
              <w:rPr>
                <w:rFonts w:eastAsia="Times New Roman" w:hint="cs"/>
                <w:color w:val="000000"/>
                <w:rtl/>
              </w:rPr>
              <w:t>75</w:t>
            </w:r>
          </w:p>
        </w:tc>
        <w:tc>
          <w:tcPr>
            <w:tcW w:w="1214" w:type="pct"/>
            <w:tcBorders>
              <w:top w:val="nil"/>
              <w:left w:val="nil"/>
              <w:bottom w:val="single" w:sz="4" w:space="0" w:color="1F497D"/>
              <w:right w:val="nil"/>
            </w:tcBorders>
            <w:shd w:val="clear" w:color="auto" w:fill="auto"/>
            <w:noWrap/>
            <w:vAlign w:val="bottom"/>
            <w:hideMark/>
          </w:tcPr>
          <w:p w:rsidR="00C94167" w:rsidRPr="00582BD2" w:rsidRDefault="006C71DC" w:rsidP="000A4A06">
            <w:pPr>
              <w:spacing w:after="0" w:line="240" w:lineRule="auto"/>
              <w:rPr>
                <w:rFonts w:eastAsia="Times New Roman"/>
                <w:color w:val="000000"/>
                <w:rtl/>
              </w:rPr>
            </w:pPr>
            <w:r>
              <w:rPr>
                <w:rFonts w:eastAsia="Times New Roman" w:hint="cs"/>
                <w:color w:val="000000"/>
                <w:rtl/>
              </w:rPr>
              <w:t>3.</w:t>
            </w:r>
            <w:r w:rsidR="000A4A06">
              <w:rPr>
                <w:rFonts w:eastAsia="Times New Roman" w:hint="cs"/>
                <w:color w:val="000000"/>
                <w:rtl/>
              </w:rPr>
              <w:t>7</w:t>
            </w:r>
          </w:p>
        </w:tc>
        <w:tc>
          <w:tcPr>
            <w:tcW w:w="1083" w:type="pct"/>
            <w:tcBorders>
              <w:top w:val="nil"/>
              <w:left w:val="nil"/>
              <w:bottom w:val="single" w:sz="4" w:space="0" w:color="1F497D"/>
              <w:right w:val="nil"/>
            </w:tcBorders>
            <w:shd w:val="clear" w:color="auto" w:fill="auto"/>
            <w:noWrap/>
            <w:vAlign w:val="bottom"/>
            <w:hideMark/>
          </w:tcPr>
          <w:p w:rsidR="00C94167" w:rsidRPr="00582BD2" w:rsidRDefault="00E40883" w:rsidP="000A4A06">
            <w:pPr>
              <w:spacing w:after="0" w:line="240" w:lineRule="auto"/>
              <w:rPr>
                <w:rFonts w:eastAsia="Times New Roman"/>
                <w:color w:val="000000"/>
                <w:rtl/>
              </w:rPr>
            </w:pPr>
            <w:r>
              <w:rPr>
                <w:rFonts w:eastAsia="Times New Roman"/>
                <w:color w:val="000000"/>
              </w:rPr>
              <w:t>3.</w:t>
            </w:r>
            <w:r w:rsidR="00A97F88">
              <w:rPr>
                <w:rFonts w:eastAsia="Times New Roman"/>
                <w:color w:val="000000"/>
              </w:rPr>
              <w:t>7</w:t>
            </w:r>
            <w:r w:rsidR="00C94167">
              <w:rPr>
                <w:rFonts w:eastAsia="Times New Roman" w:hint="cs"/>
                <w:color w:val="000000"/>
                <w:rtl/>
              </w:rPr>
              <w:t xml:space="preserve"> </w:t>
            </w:r>
            <w:r w:rsidR="00C94167" w:rsidRPr="00582BD2">
              <w:rPr>
                <w:rFonts w:eastAsia="Times New Roman"/>
                <w:color w:val="000000"/>
              </w:rPr>
              <w:t>(</w:t>
            </w:r>
            <w:r>
              <w:rPr>
                <w:rFonts w:eastAsia="Times New Roman"/>
                <w:color w:val="000000"/>
              </w:rPr>
              <w:t>4.</w:t>
            </w:r>
            <w:r w:rsidR="000A4A06">
              <w:rPr>
                <w:rFonts w:eastAsia="Times New Roman"/>
                <w:color w:val="000000"/>
              </w:rPr>
              <w:t>3</w:t>
            </w:r>
            <w:r w:rsidR="00C94167" w:rsidRPr="00582BD2">
              <w:rPr>
                <w:rFonts w:eastAsia="Times New Roman"/>
                <w:color w:val="000000"/>
              </w:rPr>
              <w:t>—</w:t>
            </w:r>
            <w:r>
              <w:rPr>
                <w:rFonts w:eastAsia="Times New Roman"/>
                <w:color w:val="000000"/>
              </w:rPr>
              <w:t>3.3</w:t>
            </w:r>
            <w:r w:rsidR="00C94167" w:rsidRPr="00582BD2">
              <w:rPr>
                <w:rFonts w:eastAsia="Times New Roman"/>
                <w:color w:val="000000"/>
              </w:rPr>
              <w:t>)</w:t>
            </w:r>
          </w:p>
        </w:tc>
      </w:tr>
      <w:tr w:rsidR="00AE30C2" w:rsidRPr="00582BD2" w:rsidTr="00BD5F22">
        <w:trPr>
          <w:trHeight w:val="285"/>
          <w:jc w:val="center"/>
        </w:trPr>
        <w:tc>
          <w:tcPr>
            <w:tcW w:w="5000" w:type="pct"/>
            <w:gridSpan w:val="4"/>
            <w:tcBorders>
              <w:top w:val="nil"/>
              <w:left w:val="nil"/>
              <w:bottom w:val="nil"/>
              <w:right w:val="nil"/>
            </w:tcBorders>
            <w:shd w:val="clear" w:color="auto" w:fill="auto"/>
            <w:noWrap/>
            <w:vAlign w:val="bottom"/>
          </w:tcPr>
          <w:p w:rsidR="00AE30C2" w:rsidRPr="00C94167" w:rsidRDefault="00AE30C2" w:rsidP="00CD74E7">
            <w:pPr>
              <w:spacing w:after="0" w:line="240" w:lineRule="auto"/>
              <w:rPr>
                <w:rFonts w:eastAsia="Times New Roman"/>
                <w:color w:val="000000"/>
                <w:sz w:val="20"/>
                <w:szCs w:val="20"/>
                <w:rtl/>
              </w:rPr>
            </w:pPr>
            <w:r>
              <w:rPr>
                <w:rFonts w:eastAsia="Times New Roman" w:hint="cs"/>
                <w:color w:val="000000"/>
                <w:sz w:val="20"/>
                <w:szCs w:val="20"/>
                <w:vertAlign w:val="superscript"/>
                <w:rtl/>
              </w:rPr>
              <w:t>1</w:t>
            </w:r>
            <w:r w:rsidRPr="00C94167">
              <w:rPr>
                <w:rFonts w:eastAsia="Times New Roman"/>
                <w:color w:val="000000"/>
                <w:sz w:val="20"/>
                <w:szCs w:val="20"/>
                <w:rtl/>
              </w:rPr>
              <w:t xml:space="preserve"> </w:t>
            </w:r>
            <w:r>
              <w:rPr>
                <w:rFonts w:eastAsia="Times New Roman" w:hint="cs"/>
                <w:color w:val="000000"/>
                <w:sz w:val="20"/>
                <w:szCs w:val="20"/>
                <w:rtl/>
              </w:rPr>
              <w:t xml:space="preserve">תחזית </w:t>
            </w:r>
            <w:r w:rsidR="009D3490">
              <w:rPr>
                <w:rFonts w:eastAsia="Times New Roman" w:hint="cs"/>
                <w:color w:val="000000"/>
                <w:sz w:val="20"/>
                <w:szCs w:val="20"/>
                <w:rtl/>
              </w:rPr>
              <w:t>לאינפלציה ב</w:t>
            </w:r>
            <w:r w:rsidRPr="00C94167">
              <w:rPr>
                <w:rFonts w:eastAsia="Times New Roman"/>
                <w:color w:val="000000"/>
                <w:sz w:val="20"/>
                <w:szCs w:val="20"/>
                <w:rtl/>
              </w:rPr>
              <w:t xml:space="preserve">ארבעת הרבעונים המסתיימים ברבעון </w:t>
            </w:r>
            <w:r w:rsidR="00822BB4">
              <w:rPr>
                <w:rFonts w:eastAsia="Times New Roman" w:hint="cs"/>
                <w:color w:val="000000"/>
                <w:sz w:val="20"/>
                <w:szCs w:val="20"/>
                <w:rtl/>
              </w:rPr>
              <w:t>השני</w:t>
            </w:r>
            <w:r w:rsidRPr="00C94167">
              <w:rPr>
                <w:rFonts w:eastAsia="Times New Roman"/>
                <w:color w:val="000000"/>
                <w:sz w:val="20"/>
                <w:szCs w:val="20"/>
                <w:rtl/>
              </w:rPr>
              <w:t xml:space="preserve"> של 202</w:t>
            </w:r>
            <w:r w:rsidR="00CD74E7">
              <w:rPr>
                <w:rFonts w:eastAsia="Times New Roman" w:hint="cs"/>
                <w:color w:val="000000"/>
                <w:sz w:val="20"/>
                <w:szCs w:val="20"/>
                <w:rtl/>
              </w:rPr>
              <w:t>6</w:t>
            </w:r>
            <w:r w:rsidR="009D3490">
              <w:rPr>
                <w:rFonts w:eastAsia="Times New Roman" w:hint="cs"/>
                <w:color w:val="000000"/>
                <w:sz w:val="20"/>
                <w:szCs w:val="20"/>
                <w:rtl/>
              </w:rPr>
              <w:t xml:space="preserve"> ול</w:t>
            </w:r>
            <w:r w:rsidRPr="00C94167">
              <w:rPr>
                <w:rFonts w:eastAsia="Times New Roman"/>
                <w:color w:val="000000"/>
                <w:sz w:val="20"/>
                <w:szCs w:val="20"/>
                <w:rtl/>
              </w:rPr>
              <w:t xml:space="preserve">ריבית הממוצעת ברבעון </w:t>
            </w:r>
            <w:r w:rsidR="00822BB4">
              <w:rPr>
                <w:rFonts w:eastAsia="Times New Roman" w:hint="cs"/>
                <w:color w:val="000000"/>
                <w:sz w:val="20"/>
                <w:szCs w:val="20"/>
                <w:rtl/>
              </w:rPr>
              <w:t>השני</w:t>
            </w:r>
            <w:r w:rsidRPr="00C94167">
              <w:rPr>
                <w:rFonts w:eastAsia="Times New Roman"/>
                <w:color w:val="000000"/>
                <w:sz w:val="20"/>
                <w:szCs w:val="20"/>
                <w:rtl/>
              </w:rPr>
              <w:t xml:space="preserve"> של 202</w:t>
            </w:r>
            <w:r w:rsidR="00CD74E7">
              <w:rPr>
                <w:rFonts w:eastAsia="Times New Roman" w:hint="cs"/>
                <w:color w:val="000000"/>
                <w:sz w:val="20"/>
                <w:szCs w:val="20"/>
                <w:rtl/>
              </w:rPr>
              <w:t>6</w:t>
            </w:r>
            <w:r w:rsidRPr="00C94167">
              <w:rPr>
                <w:rFonts w:eastAsia="Times New Roman"/>
                <w:color w:val="000000"/>
                <w:sz w:val="20"/>
                <w:szCs w:val="20"/>
                <w:rtl/>
              </w:rPr>
              <w:t>.</w:t>
            </w:r>
          </w:p>
        </w:tc>
      </w:tr>
      <w:tr w:rsidR="00AE30C2" w:rsidRPr="00582BD2" w:rsidTr="00261FA6">
        <w:trPr>
          <w:trHeight w:val="285"/>
          <w:jc w:val="center"/>
        </w:trPr>
        <w:tc>
          <w:tcPr>
            <w:tcW w:w="5000" w:type="pct"/>
            <w:gridSpan w:val="4"/>
            <w:tcBorders>
              <w:top w:val="nil"/>
              <w:left w:val="nil"/>
              <w:bottom w:val="nil"/>
              <w:right w:val="nil"/>
            </w:tcBorders>
            <w:shd w:val="clear" w:color="auto" w:fill="auto"/>
            <w:noWrap/>
            <w:vAlign w:val="center"/>
            <w:hideMark/>
          </w:tcPr>
          <w:p w:rsidR="00AE30C2" w:rsidRPr="00C94167" w:rsidRDefault="00AE30C2" w:rsidP="00613188">
            <w:pPr>
              <w:spacing w:after="0" w:line="240" w:lineRule="auto"/>
              <w:rPr>
                <w:rFonts w:eastAsia="Times New Roman"/>
                <w:color w:val="000000"/>
                <w:sz w:val="20"/>
                <w:szCs w:val="20"/>
                <w:rtl/>
              </w:rPr>
            </w:pPr>
            <w:r>
              <w:rPr>
                <w:rFonts w:eastAsia="Times New Roman" w:hint="cs"/>
                <w:color w:val="000000"/>
                <w:sz w:val="20"/>
                <w:szCs w:val="20"/>
                <w:vertAlign w:val="superscript"/>
                <w:rtl/>
              </w:rPr>
              <w:t>2</w:t>
            </w:r>
            <w:r w:rsidRPr="00C94167">
              <w:rPr>
                <w:rFonts w:eastAsia="Times New Roman"/>
                <w:color w:val="000000"/>
                <w:sz w:val="20"/>
                <w:szCs w:val="20"/>
                <w:rtl/>
              </w:rPr>
              <w:t xml:space="preserve"> </w:t>
            </w:r>
            <w:r>
              <w:rPr>
                <w:rFonts w:eastAsia="Times New Roman"/>
                <w:color w:val="000000"/>
                <w:sz w:val="20"/>
                <w:szCs w:val="20"/>
                <w:rtl/>
              </w:rPr>
              <w:t>נכון לנתוני ה-</w:t>
            </w:r>
            <w:r w:rsidR="007625DA">
              <w:rPr>
                <w:rFonts w:eastAsia="Times New Roman" w:hint="cs"/>
                <w:color w:val="000000"/>
                <w:sz w:val="20"/>
                <w:szCs w:val="20"/>
                <w:rtl/>
              </w:rPr>
              <w:t>6</w:t>
            </w:r>
            <w:r w:rsidR="00D7789E">
              <w:rPr>
                <w:rFonts w:eastAsia="Times New Roman" w:hint="cs"/>
                <w:color w:val="000000"/>
                <w:sz w:val="20"/>
                <w:szCs w:val="20"/>
                <w:rtl/>
              </w:rPr>
              <w:t>/</w:t>
            </w:r>
            <w:r w:rsidR="00822BB4">
              <w:rPr>
                <w:rFonts w:eastAsia="Times New Roman" w:hint="cs"/>
                <w:color w:val="000000"/>
                <w:sz w:val="20"/>
                <w:szCs w:val="20"/>
                <w:rtl/>
              </w:rPr>
              <w:t>7</w:t>
            </w:r>
            <w:r>
              <w:rPr>
                <w:rFonts w:eastAsia="Times New Roman"/>
                <w:color w:val="000000"/>
                <w:sz w:val="20"/>
                <w:szCs w:val="20"/>
                <w:rtl/>
              </w:rPr>
              <w:t>/2025</w:t>
            </w:r>
            <w:r>
              <w:rPr>
                <w:rFonts w:eastAsia="Times New Roman" w:hint="cs"/>
                <w:color w:val="000000"/>
                <w:sz w:val="20"/>
                <w:szCs w:val="20"/>
                <w:rtl/>
              </w:rPr>
              <w:t xml:space="preserve">. </w:t>
            </w:r>
            <w:r w:rsidRPr="00C94167">
              <w:rPr>
                <w:rFonts w:eastAsia="Times New Roman"/>
                <w:color w:val="000000"/>
                <w:sz w:val="20"/>
                <w:szCs w:val="20"/>
                <w:rtl/>
              </w:rPr>
              <w:t xml:space="preserve">ציפיות האינפלציה מנוכות עונתיות </w:t>
            </w:r>
            <w:r w:rsidR="00DC514F">
              <w:rPr>
                <w:rFonts w:eastAsia="Times New Roman" w:hint="cs"/>
                <w:color w:val="000000"/>
                <w:sz w:val="20"/>
                <w:szCs w:val="20"/>
                <w:rtl/>
              </w:rPr>
              <w:t xml:space="preserve">ומתייחסות לשנה קדימה מה-6/7/2025, </w:t>
            </w:r>
            <w:r>
              <w:rPr>
                <w:rFonts w:eastAsia="Times New Roman" w:hint="cs"/>
                <w:color w:val="000000"/>
                <w:sz w:val="20"/>
                <w:szCs w:val="20"/>
                <w:rtl/>
              </w:rPr>
              <w:t>והציפיות לריבית</w:t>
            </w:r>
            <w:r w:rsidRPr="00C94167">
              <w:rPr>
                <w:rFonts w:eastAsia="Times New Roman"/>
                <w:color w:val="000000"/>
                <w:sz w:val="20"/>
                <w:szCs w:val="20"/>
                <w:rtl/>
              </w:rPr>
              <w:t xml:space="preserve"> מבוססות </w:t>
            </w:r>
            <w:r w:rsidR="008D1AA4">
              <w:rPr>
                <w:rFonts w:eastAsia="Times New Roman" w:hint="cs"/>
                <w:color w:val="000000"/>
                <w:sz w:val="20"/>
                <w:szCs w:val="20"/>
                <w:rtl/>
              </w:rPr>
              <w:t xml:space="preserve">על </w:t>
            </w:r>
            <w:r w:rsidR="00DD4D13" w:rsidRPr="00DD4D13">
              <w:rPr>
                <w:rFonts w:eastAsia="Times New Roman"/>
                <w:color w:val="000000"/>
                <w:sz w:val="20"/>
                <w:szCs w:val="20"/>
                <w:rtl/>
              </w:rPr>
              <w:t xml:space="preserve">ממוצע ציטוטי </w:t>
            </w:r>
            <w:r w:rsidR="00613188" w:rsidRPr="00C94167">
              <w:rPr>
                <w:rFonts w:eastAsia="Times New Roman"/>
                <w:color w:val="000000"/>
                <w:sz w:val="20"/>
                <w:szCs w:val="20"/>
                <w:rtl/>
              </w:rPr>
              <w:t xml:space="preserve">שוק </w:t>
            </w:r>
            <w:r w:rsidR="00613188">
              <w:rPr>
                <w:rFonts w:eastAsia="Times New Roman"/>
                <w:color w:val="000000"/>
                <w:sz w:val="20"/>
                <w:szCs w:val="20"/>
                <w:rtl/>
              </w:rPr>
              <w:t>ה</w:t>
            </w:r>
            <w:r w:rsidR="00613188">
              <w:rPr>
                <w:rFonts w:eastAsia="Times New Roman" w:hint="cs"/>
                <w:color w:val="000000"/>
                <w:sz w:val="20"/>
                <w:szCs w:val="20"/>
                <w:rtl/>
              </w:rPr>
              <w:t>-</w:t>
            </w:r>
            <w:r w:rsidR="00613188">
              <w:rPr>
                <w:rFonts w:eastAsia="Times New Roman" w:hint="cs"/>
                <w:color w:val="000000"/>
                <w:sz w:val="20"/>
                <w:szCs w:val="20"/>
              </w:rPr>
              <w:t>SHIR</w:t>
            </w:r>
            <w:r w:rsidR="00613188" w:rsidRPr="00DD4D13">
              <w:rPr>
                <w:rFonts w:eastAsia="Times New Roman"/>
                <w:color w:val="000000"/>
                <w:sz w:val="20"/>
                <w:szCs w:val="20"/>
                <w:rtl/>
              </w:rPr>
              <w:t xml:space="preserve"> </w:t>
            </w:r>
            <w:r w:rsidR="00DD4D13" w:rsidRPr="00DD4D13">
              <w:rPr>
                <w:rFonts w:eastAsia="Times New Roman"/>
                <w:color w:val="000000"/>
                <w:sz w:val="20"/>
                <w:szCs w:val="20"/>
                <w:rtl/>
              </w:rPr>
              <w:t>ועיבודי בנק ישראל</w:t>
            </w:r>
            <w:r>
              <w:rPr>
                <w:rFonts w:eastAsia="Times New Roman" w:hint="cs"/>
                <w:color w:val="000000"/>
                <w:sz w:val="20"/>
                <w:szCs w:val="20"/>
                <w:rtl/>
              </w:rPr>
              <w:t>.</w:t>
            </w:r>
            <w:r w:rsidR="00496BE1">
              <w:rPr>
                <w:rFonts w:eastAsia="Times New Roman" w:hint="cs"/>
                <w:color w:val="000000"/>
                <w:sz w:val="20"/>
                <w:szCs w:val="20"/>
                <w:rtl/>
              </w:rPr>
              <w:t xml:space="preserve"> </w:t>
            </w:r>
          </w:p>
        </w:tc>
      </w:tr>
      <w:tr w:rsidR="00AE30C2" w:rsidRPr="00582BD2" w:rsidTr="00261FA6">
        <w:trPr>
          <w:trHeight w:val="285"/>
          <w:jc w:val="center"/>
        </w:trPr>
        <w:tc>
          <w:tcPr>
            <w:tcW w:w="5000" w:type="pct"/>
            <w:gridSpan w:val="4"/>
            <w:tcBorders>
              <w:top w:val="nil"/>
              <w:left w:val="nil"/>
              <w:bottom w:val="nil"/>
              <w:right w:val="nil"/>
            </w:tcBorders>
            <w:shd w:val="clear" w:color="auto" w:fill="auto"/>
            <w:noWrap/>
            <w:vAlign w:val="bottom"/>
            <w:hideMark/>
          </w:tcPr>
          <w:p w:rsidR="00AE30C2" w:rsidRPr="00C94167" w:rsidRDefault="00AE30C2" w:rsidP="006F21BC">
            <w:pPr>
              <w:spacing w:after="0" w:line="240" w:lineRule="auto"/>
              <w:rPr>
                <w:rFonts w:eastAsia="Times New Roman"/>
                <w:color w:val="000000"/>
                <w:sz w:val="20"/>
                <w:szCs w:val="20"/>
                <w:rtl/>
              </w:rPr>
            </w:pPr>
            <w:r>
              <w:rPr>
                <w:rFonts w:eastAsia="Times New Roman" w:hint="cs"/>
                <w:color w:val="000000"/>
                <w:sz w:val="20"/>
                <w:szCs w:val="20"/>
                <w:vertAlign w:val="superscript"/>
                <w:rtl/>
              </w:rPr>
              <w:t>3</w:t>
            </w:r>
            <w:r w:rsidRPr="00C94167">
              <w:rPr>
                <w:rFonts w:eastAsia="Times New Roman"/>
                <w:color w:val="000000"/>
                <w:sz w:val="20"/>
                <w:szCs w:val="20"/>
                <w:rtl/>
              </w:rPr>
              <w:t xml:space="preserve"> נכון לנתוני ה-</w:t>
            </w:r>
            <w:r w:rsidR="00347DBE">
              <w:rPr>
                <w:rFonts w:eastAsia="Times New Roman" w:hint="cs"/>
                <w:color w:val="000000"/>
                <w:sz w:val="20"/>
                <w:szCs w:val="20"/>
                <w:rtl/>
              </w:rPr>
              <w:t>6</w:t>
            </w:r>
            <w:r w:rsidR="00D7789E">
              <w:rPr>
                <w:rFonts w:eastAsia="Times New Roman" w:hint="cs"/>
                <w:color w:val="000000"/>
                <w:sz w:val="20"/>
                <w:szCs w:val="20"/>
                <w:rtl/>
              </w:rPr>
              <w:t>/</w:t>
            </w:r>
            <w:r w:rsidR="00822BB4">
              <w:rPr>
                <w:rFonts w:eastAsia="Times New Roman" w:hint="cs"/>
                <w:color w:val="000000"/>
                <w:sz w:val="20"/>
                <w:szCs w:val="20"/>
                <w:rtl/>
              </w:rPr>
              <w:t>7</w:t>
            </w:r>
            <w:r w:rsidRPr="00C94167">
              <w:rPr>
                <w:rFonts w:eastAsia="Times New Roman"/>
                <w:color w:val="000000"/>
                <w:sz w:val="20"/>
                <w:szCs w:val="20"/>
                <w:rtl/>
              </w:rPr>
              <w:t>/2025.</w:t>
            </w:r>
            <w:r w:rsidR="00496BE1">
              <w:rPr>
                <w:rFonts w:eastAsia="Times New Roman" w:hint="cs"/>
                <w:color w:val="000000"/>
                <w:sz w:val="20"/>
                <w:szCs w:val="20"/>
                <w:rtl/>
              </w:rPr>
              <w:t xml:space="preserve"> </w:t>
            </w:r>
            <w:r w:rsidR="00DC514F">
              <w:rPr>
                <w:rFonts w:eastAsia="Times New Roman" w:hint="cs"/>
                <w:color w:val="000000"/>
                <w:sz w:val="20"/>
                <w:szCs w:val="20"/>
                <w:rtl/>
              </w:rPr>
              <w:t>תחזיות החזאים מתייחסות ל-12 המדדים הבאים (יוני 2025 עד מאי 2026)</w:t>
            </w:r>
            <w:r w:rsidR="00EE3500">
              <w:rPr>
                <w:rFonts w:eastAsia="Times New Roman" w:hint="cs"/>
                <w:color w:val="000000"/>
                <w:sz w:val="20"/>
                <w:szCs w:val="20"/>
                <w:rtl/>
              </w:rPr>
              <w:t>.</w:t>
            </w:r>
          </w:p>
        </w:tc>
      </w:tr>
      <w:tr w:rsidR="00AE30C2" w:rsidRPr="00582BD2" w:rsidTr="00261FA6">
        <w:trPr>
          <w:trHeight w:val="255"/>
          <w:jc w:val="center"/>
        </w:trPr>
        <w:tc>
          <w:tcPr>
            <w:tcW w:w="5000" w:type="pct"/>
            <w:gridSpan w:val="4"/>
            <w:tcBorders>
              <w:top w:val="nil"/>
              <w:left w:val="nil"/>
              <w:bottom w:val="nil"/>
              <w:right w:val="nil"/>
            </w:tcBorders>
            <w:shd w:val="clear" w:color="auto" w:fill="auto"/>
            <w:noWrap/>
            <w:vAlign w:val="center"/>
            <w:hideMark/>
          </w:tcPr>
          <w:p w:rsidR="00AE30C2" w:rsidRPr="00C94167" w:rsidRDefault="00AE30C2" w:rsidP="00AE30C2">
            <w:pPr>
              <w:spacing w:after="0" w:line="240" w:lineRule="auto"/>
              <w:rPr>
                <w:rFonts w:eastAsia="Times New Roman"/>
                <w:color w:val="000000"/>
                <w:sz w:val="20"/>
                <w:szCs w:val="20"/>
                <w:rtl/>
              </w:rPr>
            </w:pPr>
            <w:r w:rsidRPr="00C94167">
              <w:rPr>
                <w:rFonts w:eastAsia="Times New Roman"/>
                <w:b/>
                <w:bCs/>
                <w:color w:val="000000"/>
                <w:sz w:val="20"/>
                <w:szCs w:val="20"/>
                <w:rtl/>
              </w:rPr>
              <w:t>המקור:</w:t>
            </w:r>
            <w:r w:rsidRPr="00C94167">
              <w:rPr>
                <w:rFonts w:eastAsia="Times New Roman"/>
                <w:color w:val="000000"/>
                <w:sz w:val="20"/>
                <w:szCs w:val="20"/>
                <w:rtl/>
              </w:rPr>
              <w:t xml:space="preserve"> בנק ישראל.</w:t>
            </w:r>
          </w:p>
        </w:tc>
      </w:tr>
      <w:bookmarkEnd w:id="4"/>
    </w:tbl>
    <w:p w:rsidR="00C94167" w:rsidRDefault="00C94167" w:rsidP="00202530">
      <w:pPr>
        <w:jc w:val="both"/>
        <w:rPr>
          <w:b/>
          <w:rtl/>
        </w:rPr>
      </w:pPr>
    </w:p>
    <w:p w:rsidR="00202530" w:rsidRPr="00202530" w:rsidRDefault="00202530" w:rsidP="00202530">
      <w:pPr>
        <w:pStyle w:val="a"/>
        <w:rPr>
          <w:rFonts w:ascii="Calibri" w:hAnsi="Calibri" w:cs="Calibri"/>
          <w:sz w:val="24"/>
        </w:rPr>
      </w:pPr>
      <w:r w:rsidRPr="00202530">
        <w:rPr>
          <w:rFonts w:ascii="Calibri" w:hAnsi="Calibri" w:cs="Calibri"/>
          <w:sz w:val="24"/>
          <w:rtl/>
        </w:rPr>
        <w:t>הסיכונים העיקריים לתחזית</w:t>
      </w:r>
    </w:p>
    <w:p w:rsidR="005E3C4D" w:rsidRDefault="002F232D" w:rsidP="00B018B3">
      <w:pPr>
        <w:ind w:left="8"/>
        <w:jc w:val="both"/>
        <w:rPr>
          <w:rtl/>
        </w:rPr>
      </w:pPr>
      <w:r>
        <w:rPr>
          <w:rtl/>
        </w:rPr>
        <w:t xml:space="preserve">אי-הוודאות </w:t>
      </w:r>
      <w:r w:rsidR="00096584">
        <w:rPr>
          <w:rFonts w:hint="cs"/>
          <w:rtl/>
        </w:rPr>
        <w:t xml:space="preserve">סביב התחזית </w:t>
      </w:r>
      <w:r>
        <w:rPr>
          <w:rtl/>
        </w:rPr>
        <w:t xml:space="preserve">גבוהה, </w:t>
      </w:r>
      <w:r w:rsidR="00096584">
        <w:rPr>
          <w:rFonts w:hint="cs"/>
          <w:rtl/>
        </w:rPr>
        <w:t xml:space="preserve">אך בשונה מהתחזיות הקודמות </w:t>
      </w:r>
      <w:r>
        <w:rPr>
          <w:rtl/>
        </w:rPr>
        <w:t xml:space="preserve">היא מכילה סיכונים לתחזית הן כלפי מעלה והן כלפי מטה. מצד אחד, </w:t>
      </w:r>
      <w:r w:rsidR="00096584">
        <w:rPr>
          <w:rFonts w:hint="cs"/>
          <w:rtl/>
        </w:rPr>
        <w:t xml:space="preserve">תוצאות הלחימה במבצע "עם כלביא" משקפות </w:t>
      </w:r>
      <w:r>
        <w:rPr>
          <w:rtl/>
        </w:rPr>
        <w:t xml:space="preserve">אפשרות </w:t>
      </w:r>
      <w:r w:rsidR="001062EF">
        <w:rPr>
          <w:rFonts w:hint="cs"/>
          <w:rtl/>
        </w:rPr>
        <w:t>להפחתה בסיכונים הביטחוניים לישראל</w:t>
      </w:r>
      <w:r w:rsidR="00B018B3">
        <w:rPr>
          <w:rFonts w:hint="cs"/>
          <w:rtl/>
        </w:rPr>
        <w:t>, ומסתמן</w:t>
      </w:r>
      <w:r w:rsidR="001062EF">
        <w:rPr>
          <w:rFonts w:hint="cs"/>
          <w:rtl/>
        </w:rPr>
        <w:t xml:space="preserve"> </w:t>
      </w:r>
      <w:r w:rsidR="00B018B3">
        <w:rPr>
          <w:rFonts w:hint="cs"/>
          <w:rtl/>
        </w:rPr>
        <w:t xml:space="preserve">גם </w:t>
      </w:r>
      <w:r w:rsidR="001062EF">
        <w:rPr>
          <w:rFonts w:hint="cs"/>
          <w:rtl/>
        </w:rPr>
        <w:t>פוטנציאל ל</w:t>
      </w:r>
      <w:r w:rsidR="001062EF">
        <w:rPr>
          <w:rtl/>
        </w:rPr>
        <w:t>הסדר</w:t>
      </w:r>
      <w:r w:rsidR="001062EF">
        <w:rPr>
          <w:rFonts w:hint="cs"/>
          <w:rtl/>
        </w:rPr>
        <w:t xml:space="preserve"> שיסיים את הלחימה </w:t>
      </w:r>
      <w:r w:rsidR="00DC514F">
        <w:rPr>
          <w:rFonts w:hint="cs"/>
          <w:rtl/>
        </w:rPr>
        <w:t xml:space="preserve">בעזה </w:t>
      </w:r>
      <w:r w:rsidR="001062EF">
        <w:rPr>
          <w:rFonts w:hint="cs"/>
          <w:rtl/>
        </w:rPr>
        <w:t>ואולי גם יאפשר הסדרה רחבה יותר של היחסים באזורנו</w:t>
      </w:r>
      <w:r>
        <w:rPr>
          <w:rtl/>
        </w:rPr>
        <w:t xml:space="preserve">. </w:t>
      </w:r>
      <w:r w:rsidR="000122C0">
        <w:rPr>
          <w:rFonts w:hint="cs"/>
          <w:rtl/>
        </w:rPr>
        <w:t xml:space="preserve">זאת בפרט אם </w:t>
      </w:r>
      <w:r w:rsidR="00B018B3">
        <w:rPr>
          <w:rFonts w:hint="cs"/>
          <w:rtl/>
        </w:rPr>
        <w:t xml:space="preserve">הפסקת האש </w:t>
      </w:r>
      <w:r w:rsidR="000122C0">
        <w:rPr>
          <w:rFonts w:hint="cs"/>
          <w:rtl/>
        </w:rPr>
        <w:t xml:space="preserve">בעזה תוליך להסכם שיסיים את הלחימה ויסיר </w:t>
      </w:r>
      <w:r w:rsidR="005B41C4">
        <w:rPr>
          <w:rFonts w:hint="cs"/>
          <w:rtl/>
        </w:rPr>
        <w:t xml:space="preserve">לאורך זמן </w:t>
      </w:r>
      <w:r w:rsidR="000122C0">
        <w:rPr>
          <w:rFonts w:hint="cs"/>
          <w:rtl/>
        </w:rPr>
        <w:t xml:space="preserve">את האיום שנשקף לישראל מחמאס. </w:t>
      </w:r>
      <w:r>
        <w:rPr>
          <w:rtl/>
        </w:rPr>
        <w:t xml:space="preserve">התממשות הסדרה בזירות השונות צפויה להפחית את רמת הסיכון של המשק, ולהקל על מגבלות ההיצע. </w:t>
      </w:r>
      <w:r w:rsidR="00454E80">
        <w:rPr>
          <w:rFonts w:hint="cs"/>
          <w:rtl/>
        </w:rPr>
        <w:t xml:space="preserve">הסדרה כזו </w:t>
      </w:r>
      <w:r w:rsidR="001062EF">
        <w:rPr>
          <w:rFonts w:hint="cs"/>
          <w:rtl/>
        </w:rPr>
        <w:t xml:space="preserve">גם </w:t>
      </w:r>
      <w:r w:rsidR="00454E80">
        <w:rPr>
          <w:rFonts w:hint="cs"/>
          <w:rtl/>
        </w:rPr>
        <w:t>עשויה</w:t>
      </w:r>
      <w:r>
        <w:rPr>
          <w:rtl/>
        </w:rPr>
        <w:t xml:space="preserve"> להגדיל את ה</w:t>
      </w:r>
      <w:r w:rsidR="001062EF">
        <w:rPr>
          <w:rFonts w:hint="cs"/>
          <w:rtl/>
        </w:rPr>
        <w:t>ביקושים</w:t>
      </w:r>
      <w:r>
        <w:rPr>
          <w:rtl/>
        </w:rPr>
        <w:t xml:space="preserve"> וההשקעות במשק במהלך השנים הקרובות.</w:t>
      </w:r>
    </w:p>
    <w:p w:rsidR="007A7B42" w:rsidRDefault="002F232D" w:rsidP="00B5291C">
      <w:pPr>
        <w:ind w:left="8"/>
        <w:jc w:val="both"/>
        <w:rPr>
          <w:rtl/>
        </w:rPr>
      </w:pPr>
      <w:r>
        <w:rPr>
          <w:rtl/>
        </w:rPr>
        <w:t xml:space="preserve">מנגד, אי </w:t>
      </w:r>
      <w:r w:rsidR="001062EF">
        <w:rPr>
          <w:rFonts w:hint="cs"/>
          <w:rtl/>
        </w:rPr>
        <w:t>ה</w:t>
      </w:r>
      <w:r>
        <w:rPr>
          <w:rtl/>
        </w:rPr>
        <w:t xml:space="preserve">וודאות ביחס </w:t>
      </w:r>
      <w:r w:rsidR="001062EF">
        <w:rPr>
          <w:rFonts w:hint="cs"/>
          <w:rtl/>
        </w:rPr>
        <w:t>להשפעות ארוכות הטווח של מבצע</w:t>
      </w:r>
      <w:r w:rsidR="005B41C4">
        <w:rPr>
          <w:rFonts w:hint="cs"/>
          <w:rtl/>
        </w:rPr>
        <w:t xml:space="preserve"> "עם כלביא"</w:t>
      </w:r>
      <w:r>
        <w:rPr>
          <w:rtl/>
        </w:rPr>
        <w:t xml:space="preserve"> </w:t>
      </w:r>
      <w:r w:rsidR="00454E80">
        <w:rPr>
          <w:rFonts w:hint="cs"/>
          <w:rtl/>
        </w:rPr>
        <w:t>ולמצב הב</w:t>
      </w:r>
      <w:r w:rsidR="001062EF">
        <w:rPr>
          <w:rFonts w:hint="cs"/>
          <w:rtl/>
        </w:rPr>
        <w:t>י</w:t>
      </w:r>
      <w:r w:rsidR="00454E80">
        <w:rPr>
          <w:rFonts w:hint="cs"/>
          <w:rtl/>
        </w:rPr>
        <w:t>טחוני מול איראן</w:t>
      </w:r>
      <w:r w:rsidR="001062EF">
        <w:rPr>
          <w:rFonts w:hint="cs"/>
          <w:rtl/>
        </w:rPr>
        <w:t>, טומנת בחובה סיכונים שהשיפור יהיה מוגבל בזמן והשפעתו החיובית על המשק קצרה</w:t>
      </w:r>
      <w:r>
        <w:rPr>
          <w:rtl/>
        </w:rPr>
        <w:t xml:space="preserve">. גם </w:t>
      </w:r>
      <w:r w:rsidRPr="007D71C7">
        <w:rPr>
          <w:rtl/>
        </w:rPr>
        <w:t xml:space="preserve">בגזרת עזה, ככל </w:t>
      </w:r>
      <w:r w:rsidR="00B018B3" w:rsidRPr="007D71C7">
        <w:rPr>
          <w:rFonts w:hint="cs"/>
          <w:rtl/>
        </w:rPr>
        <w:t>שה</w:t>
      </w:r>
      <w:r w:rsidR="00B018B3">
        <w:rPr>
          <w:rFonts w:hint="cs"/>
          <w:rtl/>
        </w:rPr>
        <w:t>פסקת האש לא תוביל להסדרה בת-קיימא</w:t>
      </w:r>
      <w:r w:rsidR="0013157B" w:rsidRPr="007D71C7">
        <w:rPr>
          <w:rFonts w:hint="cs"/>
          <w:rtl/>
        </w:rPr>
        <w:t>, ו</w:t>
      </w:r>
      <w:r w:rsidRPr="007D71C7">
        <w:rPr>
          <w:rtl/>
        </w:rPr>
        <w:t xml:space="preserve">שהמלחמה תתעצם </w:t>
      </w:r>
      <w:r>
        <w:rPr>
          <w:rtl/>
        </w:rPr>
        <w:t xml:space="preserve">או תתארך, קיים סיכון שמגבלות ההיצע יוסיפו להעיב על התאוששות הפעילות, הצמיחה תהיה מתונה יותר והגרעון </w:t>
      </w:r>
      <w:r w:rsidR="00B018B3">
        <w:rPr>
          <w:rFonts w:hint="cs"/>
          <w:rtl/>
        </w:rPr>
        <w:t xml:space="preserve">בתקציב </w:t>
      </w:r>
      <w:r>
        <w:rPr>
          <w:rtl/>
        </w:rPr>
        <w:t>גבוה יותר.</w:t>
      </w:r>
      <w:r w:rsidR="00F24E03">
        <w:rPr>
          <w:rFonts w:hint="cs"/>
          <w:rtl/>
        </w:rPr>
        <w:t xml:space="preserve"> </w:t>
      </w:r>
    </w:p>
    <w:p w:rsidR="002F232D" w:rsidRPr="001A16D1" w:rsidRDefault="00CA6E5B" w:rsidP="00AD48B2">
      <w:pPr>
        <w:ind w:left="8"/>
        <w:jc w:val="both"/>
      </w:pPr>
      <w:r w:rsidRPr="00CA6E5B">
        <w:rPr>
          <w:rtl/>
        </w:rPr>
        <w:t xml:space="preserve">מובן </w:t>
      </w:r>
      <w:r w:rsidRPr="00CA6E5B">
        <w:rPr>
          <w:rFonts w:hint="cs"/>
          <w:rtl/>
        </w:rPr>
        <w:t xml:space="preserve">שהתפתחויות </w:t>
      </w:r>
      <w:r w:rsidR="007A7B42">
        <w:rPr>
          <w:rFonts w:hint="cs"/>
          <w:rtl/>
        </w:rPr>
        <w:t>לעיל</w:t>
      </w:r>
      <w:r w:rsidRPr="00CA6E5B">
        <w:rPr>
          <w:rFonts w:hint="cs"/>
          <w:rtl/>
        </w:rPr>
        <w:t xml:space="preserve"> </w:t>
      </w:r>
      <w:r w:rsidRPr="00CA6E5B">
        <w:rPr>
          <w:rtl/>
        </w:rPr>
        <w:t>אינ</w:t>
      </w:r>
      <w:r w:rsidRPr="00CA6E5B">
        <w:rPr>
          <w:rFonts w:hint="cs"/>
          <w:rtl/>
        </w:rPr>
        <w:t>ן</w:t>
      </w:r>
      <w:r w:rsidRPr="00CA6E5B">
        <w:rPr>
          <w:rtl/>
        </w:rPr>
        <w:t xml:space="preserve"> </w:t>
      </w:r>
      <w:proofErr w:type="spellStart"/>
      <w:r w:rsidRPr="00CA6E5B">
        <w:rPr>
          <w:rtl/>
        </w:rPr>
        <w:t>מתכלל</w:t>
      </w:r>
      <w:r w:rsidRPr="00CA6E5B">
        <w:rPr>
          <w:rFonts w:hint="cs"/>
          <w:rtl/>
        </w:rPr>
        <w:t>ות</w:t>
      </w:r>
      <w:proofErr w:type="spellEnd"/>
      <w:r w:rsidRPr="00CA6E5B">
        <w:rPr>
          <w:rtl/>
        </w:rPr>
        <w:t xml:space="preserve"> את כל התרחישים </w:t>
      </w:r>
      <w:r w:rsidRPr="00CA6E5B">
        <w:rPr>
          <w:rFonts w:hint="cs"/>
          <w:rtl/>
        </w:rPr>
        <w:t>האפשריים, ושתתכנה התפתחויות</w:t>
      </w:r>
      <w:r w:rsidRPr="00CA6E5B">
        <w:rPr>
          <w:rtl/>
        </w:rPr>
        <w:t xml:space="preserve"> נוספ</w:t>
      </w:r>
      <w:r w:rsidRPr="00CA6E5B">
        <w:rPr>
          <w:rFonts w:hint="cs"/>
          <w:rtl/>
        </w:rPr>
        <w:t>ות</w:t>
      </w:r>
      <w:r w:rsidRPr="00CA6E5B">
        <w:rPr>
          <w:rtl/>
        </w:rPr>
        <w:t xml:space="preserve"> </w:t>
      </w:r>
      <w:r w:rsidRPr="00CA6E5B">
        <w:rPr>
          <w:rFonts w:hint="cs"/>
          <w:rtl/>
        </w:rPr>
        <w:t>ש</w:t>
      </w:r>
      <w:r w:rsidRPr="00CA6E5B">
        <w:rPr>
          <w:rtl/>
        </w:rPr>
        <w:t>עשוי</w:t>
      </w:r>
      <w:r w:rsidRPr="00CA6E5B">
        <w:rPr>
          <w:rFonts w:hint="cs"/>
          <w:rtl/>
        </w:rPr>
        <w:t>ות</w:t>
      </w:r>
      <w:r w:rsidRPr="00CA6E5B">
        <w:rPr>
          <w:rtl/>
        </w:rPr>
        <w:t xml:space="preserve"> </w:t>
      </w:r>
      <w:r w:rsidRPr="00CA6E5B">
        <w:rPr>
          <w:rFonts w:hint="cs"/>
          <w:rtl/>
        </w:rPr>
        <w:t xml:space="preserve">להוביל לשינויים משמעותיים </w:t>
      </w:r>
      <w:r w:rsidRPr="00CA6E5B">
        <w:rPr>
          <w:rtl/>
        </w:rPr>
        <w:t>של פרמיית הסיכון</w:t>
      </w:r>
      <w:r w:rsidRPr="00CA6E5B">
        <w:rPr>
          <w:rFonts w:hint="cs"/>
          <w:rtl/>
        </w:rPr>
        <w:t>.</w:t>
      </w:r>
    </w:p>
    <w:p w:rsidR="002F232D" w:rsidRDefault="002F232D" w:rsidP="005B41C4">
      <w:pPr>
        <w:ind w:left="8"/>
        <w:jc w:val="both"/>
        <w:rPr>
          <w:rtl/>
        </w:rPr>
      </w:pPr>
      <w:r>
        <w:rPr>
          <w:rtl/>
        </w:rPr>
        <w:t xml:space="preserve">הסיכון לתחזית הגירעון והחוב נוטה להערכתנו כלפי מעלה, לנוכח חוסר הוודאות באשר לעלות התקציבית של מבצע "עם כלביא" ולנוכח הסיכון </w:t>
      </w:r>
      <w:r w:rsidR="005B41C4">
        <w:rPr>
          <w:rFonts w:hint="cs"/>
          <w:rtl/>
        </w:rPr>
        <w:t>ש</w:t>
      </w:r>
      <w:r>
        <w:rPr>
          <w:rtl/>
        </w:rPr>
        <w:t xml:space="preserve">הלחימה </w:t>
      </w:r>
      <w:r w:rsidR="005B41C4">
        <w:rPr>
          <w:rFonts w:hint="cs"/>
          <w:rtl/>
        </w:rPr>
        <w:t xml:space="preserve">העצימה </w:t>
      </w:r>
      <w:r>
        <w:rPr>
          <w:rtl/>
        </w:rPr>
        <w:t xml:space="preserve">בעזה </w:t>
      </w:r>
      <w:r w:rsidR="005B41C4">
        <w:rPr>
          <w:rFonts w:hint="cs"/>
          <w:rtl/>
        </w:rPr>
        <w:t xml:space="preserve">תתמשך </w:t>
      </w:r>
      <w:r>
        <w:rPr>
          <w:rtl/>
        </w:rPr>
        <w:t xml:space="preserve">ולפיכך תגדיל עוד את </w:t>
      </w:r>
      <w:r w:rsidR="00B018B3">
        <w:rPr>
          <w:rFonts w:hint="cs"/>
          <w:rtl/>
        </w:rPr>
        <w:t>ה</w:t>
      </w:r>
      <w:r>
        <w:rPr>
          <w:rtl/>
        </w:rPr>
        <w:t>הוצאות</w:t>
      </w:r>
      <w:r w:rsidR="00B018B3">
        <w:rPr>
          <w:rFonts w:hint="cs"/>
          <w:rtl/>
        </w:rPr>
        <w:t xml:space="preserve"> על</w:t>
      </w:r>
      <w:r>
        <w:rPr>
          <w:rtl/>
        </w:rPr>
        <w:t xml:space="preserve"> המילואים.</w:t>
      </w:r>
    </w:p>
    <w:p w:rsidR="00202530" w:rsidRDefault="002F232D" w:rsidP="00AA4E7B">
      <w:pPr>
        <w:ind w:left="8"/>
        <w:jc w:val="both"/>
        <w:rPr>
          <w:rtl/>
        </w:rPr>
      </w:pPr>
      <w:r>
        <w:rPr>
          <w:rtl/>
        </w:rPr>
        <w:t>גם בתחום הסחר הבינלאומי נמשכת רמת אי וודאות גבוהה, וגם בהקשר זה יתכנו התפתחויות בשני הכיוונים, הן של החרפה של המכסים וביטול השהיית המכסים ה"הדדיים", והן בכיוון של הפחתת מכסים.</w:t>
      </w:r>
    </w:p>
    <w:p w:rsidR="001A16D1" w:rsidRPr="001A16D1" w:rsidRDefault="001A16D1" w:rsidP="003C686B">
      <w:pPr>
        <w:ind w:left="8"/>
        <w:jc w:val="both"/>
      </w:pPr>
    </w:p>
    <w:p w:rsidR="001A16D1" w:rsidRPr="001A16D1" w:rsidRDefault="001A16D1" w:rsidP="00AA4E7B">
      <w:pPr>
        <w:ind w:left="8"/>
        <w:jc w:val="both"/>
      </w:pPr>
    </w:p>
    <w:sectPr w:rsidR="001A16D1" w:rsidRPr="001A16D1"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DDB" w:rsidRDefault="00A01DDB" w:rsidP="008755E3">
      <w:pPr>
        <w:spacing w:after="0" w:line="240" w:lineRule="auto"/>
      </w:pPr>
      <w:r>
        <w:separator/>
      </w:r>
    </w:p>
  </w:endnote>
  <w:endnote w:type="continuationSeparator" w:id="0">
    <w:p w:rsidR="00A01DDB" w:rsidRDefault="00A01DDB"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f"/>
      <w:rPr>
        <w:rtl/>
      </w:rPr>
    </w:pPr>
    <w:r w:rsidRPr="00571971">
      <w:rPr>
        <w:noProof/>
        <w:rtl/>
      </w:rPr>
      <w:drawing>
        <wp:anchor distT="0" distB="0" distL="114300" distR="114300" simplePos="0" relativeHeight="251674624" behindDoc="0" locked="0" layoutInCell="1" allowOverlap="1" wp14:anchorId="224B253A" wp14:editId="37DFE462">
          <wp:simplePos x="0" y="0"/>
          <wp:positionH relativeFrom="margin">
            <wp:posOffset>5628736</wp:posOffset>
          </wp:positionH>
          <wp:positionV relativeFrom="paragraph">
            <wp:posOffset>-161769</wp:posOffset>
          </wp:positionV>
          <wp:extent cx="310551" cy="310551"/>
          <wp:effectExtent l="0" t="0" r="0" b="0"/>
          <wp:wrapNone/>
          <wp:docPr id="1695957334"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34953ED" wp14:editId="4F257A25">
          <wp:simplePos x="0" y="0"/>
          <wp:positionH relativeFrom="column">
            <wp:posOffset>4231257</wp:posOffset>
          </wp:positionH>
          <wp:positionV relativeFrom="paragraph">
            <wp:posOffset>-127468</wp:posOffset>
          </wp:positionV>
          <wp:extent cx="241539" cy="241539"/>
          <wp:effectExtent l="0" t="0" r="6350" b="6350"/>
          <wp:wrapNone/>
          <wp:docPr id="4476226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75648" behindDoc="0" locked="0" layoutInCell="1" allowOverlap="1" wp14:anchorId="6BCBCF7B" wp14:editId="04E38D0F">
          <wp:simplePos x="0" y="0"/>
          <wp:positionH relativeFrom="column">
            <wp:posOffset>2411084</wp:posOffset>
          </wp:positionH>
          <wp:positionV relativeFrom="paragraph">
            <wp:posOffset>-135638</wp:posOffset>
          </wp:positionV>
          <wp:extent cx="266528" cy="262039"/>
          <wp:effectExtent l="0" t="0" r="635" b="5080"/>
          <wp:wrapNone/>
          <wp:docPr id="204696503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76672" behindDoc="0" locked="0" layoutInCell="1" allowOverlap="1" wp14:anchorId="28A7372A" wp14:editId="31FC215F">
          <wp:simplePos x="0" y="0"/>
          <wp:positionH relativeFrom="column">
            <wp:posOffset>565030</wp:posOffset>
          </wp:positionH>
          <wp:positionV relativeFrom="paragraph">
            <wp:posOffset>-118386</wp:posOffset>
          </wp:positionV>
          <wp:extent cx="329206" cy="241456"/>
          <wp:effectExtent l="0" t="0" r="0" b="6350"/>
          <wp:wrapNone/>
          <wp:docPr id="2098048122"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30990E8E" wp14:editId="7AD03DA4">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sz w:val="16"/>
                              <w:szCs w:val="16"/>
                              <w:rtl/>
                            </w:rPr>
                          </w:pPr>
                          <w:r w:rsidRPr="00031A9D">
                            <w:rPr>
                              <w:noProof/>
                              <w:sz w:val="16"/>
                              <w:szCs w:val="16"/>
                              <w:rtl/>
                            </w:rPr>
                            <w:t>פודקאסט בנק ישראל</w:t>
                          </w:r>
                          <w:r w:rsidRPr="00031A9D">
                            <w:rPr>
                              <w:noProof/>
                              <w:sz w:val="16"/>
                              <w:szCs w:val="16"/>
                              <w:rtl/>
                            </w:rPr>
                            <w:br/>
                          </w:r>
                          <w:hyperlink r:id="rId8" w:history="1">
                            <w:r w:rsidRPr="00031A9D">
                              <w:rPr>
                                <w:rStyle w:val="Hyperlink"/>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90E8E"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sz w:val="16"/>
                        <w:szCs w:val="16"/>
                        <w:rtl/>
                      </w:rPr>
                    </w:pPr>
                    <w:r w:rsidRPr="00031A9D">
                      <w:rPr>
                        <w:noProof/>
                        <w:sz w:val="16"/>
                        <w:szCs w:val="16"/>
                        <w:rtl/>
                      </w:rPr>
                      <w:t>פודקאסט בנק ישראל</w:t>
                    </w:r>
                    <w:r w:rsidRPr="00031A9D">
                      <w:rPr>
                        <w:noProof/>
                        <w:sz w:val="16"/>
                        <w:szCs w:val="16"/>
                        <w:rtl/>
                      </w:rPr>
                      <w:br/>
                    </w:r>
                    <w:hyperlink r:id="rId9" w:history="1">
                      <w:r w:rsidRPr="00031A9D">
                        <w:rPr>
                          <w:rStyle w:val="Hyperlink"/>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21D9B78A" wp14:editId="3862DF75">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noProof/>
                              <w:sz w:val="16"/>
                              <w:szCs w:val="16"/>
                              <w:rtl/>
                            </w:rPr>
                          </w:pPr>
                          <w:r w:rsidRPr="00031A9D">
                            <w:rPr>
                              <w:noProof/>
                              <w:sz w:val="16"/>
                              <w:szCs w:val="16"/>
                              <w:rtl/>
                            </w:rPr>
                            <w:t>יוטיוב - בנק ישראל</w:t>
                          </w:r>
                          <w:r w:rsidRPr="00031A9D">
                            <w:rPr>
                              <w:noProof/>
                              <w:sz w:val="16"/>
                              <w:szCs w:val="16"/>
                              <w:rtl/>
                            </w:rPr>
                            <w:br/>
                          </w:r>
                          <w:hyperlink r:id="rId10" w:history="1">
                            <w:r w:rsidRPr="00031A9D">
                              <w:rPr>
                                <w:rStyle w:val="Hyperlink"/>
                                <w:noProof/>
                                <w:sz w:val="14"/>
                                <w:szCs w:val="14"/>
                              </w:rPr>
                              <w:t>https://www.youtube.com/user/thebankofisrael</w:t>
                            </w:r>
                          </w:hyperlink>
                          <w:r w:rsidRPr="00031A9D">
                            <w:rPr>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9B78A"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noProof/>
                        <w:sz w:val="16"/>
                        <w:szCs w:val="16"/>
                        <w:rtl/>
                      </w:rPr>
                    </w:pPr>
                    <w:r w:rsidRPr="00031A9D">
                      <w:rPr>
                        <w:noProof/>
                        <w:sz w:val="16"/>
                        <w:szCs w:val="16"/>
                        <w:rtl/>
                      </w:rPr>
                      <w:t>יוטיוב - בנק ישראל</w:t>
                    </w:r>
                    <w:r w:rsidRPr="00031A9D">
                      <w:rPr>
                        <w:noProof/>
                        <w:sz w:val="16"/>
                        <w:szCs w:val="16"/>
                        <w:rtl/>
                      </w:rPr>
                      <w:br/>
                    </w:r>
                    <w:hyperlink r:id="rId11" w:history="1">
                      <w:r w:rsidRPr="00031A9D">
                        <w:rPr>
                          <w:rStyle w:val="Hyperlink"/>
                          <w:noProof/>
                          <w:sz w:val="14"/>
                          <w:szCs w:val="14"/>
                        </w:rPr>
                        <w:t>https://www.youtube.com/user/thebankofisrael</w:t>
                      </w:r>
                    </w:hyperlink>
                    <w:r w:rsidRPr="00031A9D">
                      <w:rPr>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4423596E" wp14:editId="1B2AA735">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23596E"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E5D525A" wp14:editId="6D2D2614">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sz w:val="14"/>
                                <w:szCs w:val="14"/>
                              </w:rPr>
                              <w:t>https://www.boi.org.il</w:t>
                            </w:r>
                            <w:r w:rsidRPr="00031A9D">
                              <w:rPr>
                                <w:rStyle w:val="Hyperlink"/>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5D525A"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sz w:val="14"/>
                          <w:szCs w:val="14"/>
                        </w:rPr>
                        <w:t>https://www.boi.org.il</w:t>
                      </w:r>
                      <w:r w:rsidRPr="00031A9D">
                        <w:rPr>
                          <w:rStyle w:val="Hyperlink"/>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81AAFDE" wp14:editId="32D9D95A">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3865E8"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noProof/>
        <w:rtl/>
      </w:rPr>
      <w:t xml:space="preserve"> </w:t>
    </w:r>
  </w:p>
  <w:p w:rsidR="001D340E" w:rsidRPr="009005BA" w:rsidRDefault="001D340E" w:rsidP="001D340E">
    <w:pPr>
      <w:pStyle w:val="af"/>
    </w:pPr>
  </w:p>
  <w:p w:rsidR="001D340E" w:rsidRDefault="001D34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DDB" w:rsidRDefault="00A01DDB" w:rsidP="008755E3">
      <w:pPr>
        <w:spacing w:after="0" w:line="240" w:lineRule="auto"/>
      </w:pPr>
      <w:r>
        <w:separator/>
      </w:r>
    </w:p>
  </w:footnote>
  <w:footnote w:type="continuationSeparator" w:id="0">
    <w:p w:rsidR="00A01DDB" w:rsidRDefault="00A01DDB" w:rsidP="008755E3">
      <w:pPr>
        <w:spacing w:after="0" w:line="240" w:lineRule="auto"/>
      </w:pPr>
      <w:r>
        <w:continuationSeparator/>
      </w:r>
    </w:p>
  </w:footnote>
  <w:footnote w:id="1">
    <w:p w:rsidR="00202530" w:rsidRPr="00202530" w:rsidRDefault="00202530" w:rsidP="00C6582B">
      <w:pPr>
        <w:pStyle w:val="af1"/>
        <w:spacing w:before="60"/>
        <w:ind w:left="19"/>
        <w:rPr>
          <w:sz w:val="18"/>
          <w:szCs w:val="18"/>
          <w:rtl/>
        </w:rPr>
      </w:pPr>
      <w:r w:rsidRPr="00202530">
        <w:rPr>
          <w:rStyle w:val="af3"/>
        </w:rPr>
        <w:footnoteRef/>
      </w:r>
      <w:r w:rsidRPr="00202530">
        <w:rPr>
          <w:rtl/>
        </w:rPr>
        <w:t xml:space="preserve"> התחזית הוצגה לוועדה המוניטרית ב-</w:t>
      </w:r>
      <w:r w:rsidR="00D0016C">
        <w:rPr>
          <w:rFonts w:hint="cs"/>
          <w:rtl/>
        </w:rPr>
        <w:t>6</w:t>
      </w:r>
      <w:r w:rsidRPr="00202530">
        <w:rPr>
          <w:rtl/>
        </w:rPr>
        <w:t>/</w:t>
      </w:r>
      <w:r w:rsidR="00C6582B">
        <w:rPr>
          <w:rFonts w:hint="cs"/>
          <w:rtl/>
        </w:rPr>
        <w:t>7</w:t>
      </w:r>
      <w:r w:rsidRPr="00202530">
        <w:rPr>
          <w:rtl/>
        </w:rPr>
        <w:t>/2025, לקראת החלטת הריבית שהתקבלה ב-</w:t>
      </w:r>
      <w:r w:rsidR="00D0016C">
        <w:rPr>
          <w:rFonts w:hint="cs"/>
          <w:rtl/>
        </w:rPr>
        <w:t>7</w:t>
      </w:r>
      <w:r w:rsidRPr="00202530">
        <w:rPr>
          <w:rtl/>
        </w:rPr>
        <w:t>/</w:t>
      </w:r>
      <w:r w:rsidR="00C6582B">
        <w:rPr>
          <w:rFonts w:hint="cs"/>
          <w:rtl/>
        </w:rPr>
        <w:t>7</w:t>
      </w:r>
      <w:r w:rsidRPr="00202530">
        <w:rPr>
          <w:rtl/>
        </w:rPr>
        <w:t>/2025.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763E3"/>
    <w:multiLevelType w:val="hybridMultilevel"/>
    <w:tmpl w:val="2DA225C2"/>
    <w:lvl w:ilvl="0" w:tplc="E728962E">
      <w:numFmt w:val="bullet"/>
      <w:lvlText w:val=""/>
      <w:lvlJc w:val="left"/>
      <w:pPr>
        <w:ind w:left="720" w:hanging="360"/>
      </w:pPr>
      <w:rPr>
        <w:rFonts w:ascii="Symbol" w:eastAsiaTheme="minorHAnsi" w:hAnsi="Symbol" w:cstheme="minorBidi"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42543E"/>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701312"/>
    <w:multiLevelType w:val="hybridMultilevel"/>
    <w:tmpl w:val="48600200"/>
    <w:lvl w:ilvl="0" w:tplc="359AAEBE">
      <w:start w:val="1"/>
      <w:numFmt w:val="hebrew1"/>
      <w:pStyle w:val="a"/>
      <w:lvlText w:val="%1."/>
      <w:lvlJc w:val="center"/>
      <w:pPr>
        <w:ind w:left="720" w:hanging="360"/>
      </w:pPr>
      <w:rPr>
        <w:rFonts w:asciiTheme="minorHAnsi" w:hAnsiTheme="minorHAnsi" w:cstheme="minorHAns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1182A"/>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1"/>
  </w:num>
  <w:num w:numId="7">
    <w:abstractNumId w:val="13"/>
  </w:num>
  <w:num w:numId="8">
    <w:abstractNumId w:val="18"/>
  </w:num>
  <w:num w:numId="9">
    <w:abstractNumId w:val="20"/>
  </w:num>
  <w:num w:numId="10">
    <w:abstractNumId w:val="14"/>
  </w:num>
  <w:num w:numId="11">
    <w:abstractNumId w:val="12"/>
  </w:num>
  <w:num w:numId="12">
    <w:abstractNumId w:val="15"/>
  </w:num>
  <w:num w:numId="13">
    <w:abstractNumId w:val="10"/>
  </w:num>
  <w:num w:numId="14">
    <w:abstractNumId w:val="2"/>
  </w:num>
  <w:num w:numId="15">
    <w:abstractNumId w:val="17"/>
  </w:num>
  <w:num w:numId="16">
    <w:abstractNumId w:val="0"/>
  </w:num>
  <w:num w:numId="17">
    <w:abstractNumId w:val="22"/>
  </w:num>
  <w:num w:numId="18">
    <w:abstractNumId w:val="21"/>
  </w:num>
  <w:num w:numId="19">
    <w:abstractNumId w:val="19"/>
  </w:num>
  <w:num w:numId="20">
    <w:abstractNumId w:val="3"/>
  </w:num>
  <w:num w:numId="21">
    <w:abstractNumId w:val="9"/>
  </w:num>
  <w:num w:numId="22">
    <w:abstractNumId w:val="11"/>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proofState w:spelling="clean" w:grammar="clean"/>
  <w:documentProtection w:edit="trackedChange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04B66"/>
    <w:rsid w:val="000109E1"/>
    <w:rsid w:val="0001134B"/>
    <w:rsid w:val="000113A8"/>
    <w:rsid w:val="00011A80"/>
    <w:rsid w:val="000122C0"/>
    <w:rsid w:val="00014FD0"/>
    <w:rsid w:val="000152DC"/>
    <w:rsid w:val="0001766D"/>
    <w:rsid w:val="00017BFC"/>
    <w:rsid w:val="0002007D"/>
    <w:rsid w:val="00021FB9"/>
    <w:rsid w:val="000220C6"/>
    <w:rsid w:val="000228A9"/>
    <w:rsid w:val="00023B23"/>
    <w:rsid w:val="00024809"/>
    <w:rsid w:val="00024F11"/>
    <w:rsid w:val="00025519"/>
    <w:rsid w:val="00025537"/>
    <w:rsid w:val="00027C28"/>
    <w:rsid w:val="0003211E"/>
    <w:rsid w:val="00032281"/>
    <w:rsid w:val="00032523"/>
    <w:rsid w:val="00033B6D"/>
    <w:rsid w:val="000358D1"/>
    <w:rsid w:val="000360A2"/>
    <w:rsid w:val="00042C98"/>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0CC1"/>
    <w:rsid w:val="000718EE"/>
    <w:rsid w:val="00075AC0"/>
    <w:rsid w:val="0007674B"/>
    <w:rsid w:val="00077074"/>
    <w:rsid w:val="00080784"/>
    <w:rsid w:val="00082A1D"/>
    <w:rsid w:val="00084628"/>
    <w:rsid w:val="000902E7"/>
    <w:rsid w:val="00091068"/>
    <w:rsid w:val="000910D7"/>
    <w:rsid w:val="000924A8"/>
    <w:rsid w:val="00093045"/>
    <w:rsid w:val="000933F0"/>
    <w:rsid w:val="00093FA1"/>
    <w:rsid w:val="00094C4E"/>
    <w:rsid w:val="00094DF9"/>
    <w:rsid w:val="0009652F"/>
    <w:rsid w:val="00096584"/>
    <w:rsid w:val="00096921"/>
    <w:rsid w:val="00096A01"/>
    <w:rsid w:val="000A1570"/>
    <w:rsid w:val="000A1A7A"/>
    <w:rsid w:val="000A26D8"/>
    <w:rsid w:val="000A27A2"/>
    <w:rsid w:val="000A40C0"/>
    <w:rsid w:val="000A4A06"/>
    <w:rsid w:val="000A54C8"/>
    <w:rsid w:val="000A7049"/>
    <w:rsid w:val="000B0E51"/>
    <w:rsid w:val="000B0EE8"/>
    <w:rsid w:val="000B3FAE"/>
    <w:rsid w:val="000B4E28"/>
    <w:rsid w:val="000C29DF"/>
    <w:rsid w:val="000C2F0B"/>
    <w:rsid w:val="000C32D8"/>
    <w:rsid w:val="000C33AB"/>
    <w:rsid w:val="000C346E"/>
    <w:rsid w:val="000C550D"/>
    <w:rsid w:val="000C75FD"/>
    <w:rsid w:val="000D07B1"/>
    <w:rsid w:val="000D1F9E"/>
    <w:rsid w:val="000D3975"/>
    <w:rsid w:val="000D4224"/>
    <w:rsid w:val="000D439D"/>
    <w:rsid w:val="000D5007"/>
    <w:rsid w:val="000D5FE3"/>
    <w:rsid w:val="000D6D0B"/>
    <w:rsid w:val="000D6E8A"/>
    <w:rsid w:val="000E0A8A"/>
    <w:rsid w:val="000E2793"/>
    <w:rsid w:val="000E2975"/>
    <w:rsid w:val="000E2CFD"/>
    <w:rsid w:val="000E3D04"/>
    <w:rsid w:val="000E4FFC"/>
    <w:rsid w:val="000E6C16"/>
    <w:rsid w:val="000E779F"/>
    <w:rsid w:val="000E781C"/>
    <w:rsid w:val="000F031D"/>
    <w:rsid w:val="000F0BD4"/>
    <w:rsid w:val="000F0ECA"/>
    <w:rsid w:val="000F1133"/>
    <w:rsid w:val="000F3EAC"/>
    <w:rsid w:val="000F40AF"/>
    <w:rsid w:val="000F4A85"/>
    <w:rsid w:val="000F4BEF"/>
    <w:rsid w:val="000F7CAB"/>
    <w:rsid w:val="00100AE5"/>
    <w:rsid w:val="00102F4F"/>
    <w:rsid w:val="00103EFA"/>
    <w:rsid w:val="00104C0C"/>
    <w:rsid w:val="00104F9A"/>
    <w:rsid w:val="001051E1"/>
    <w:rsid w:val="00105891"/>
    <w:rsid w:val="001062EF"/>
    <w:rsid w:val="001077F9"/>
    <w:rsid w:val="00107DB1"/>
    <w:rsid w:val="00110548"/>
    <w:rsid w:val="00111EDD"/>
    <w:rsid w:val="001179BF"/>
    <w:rsid w:val="00122CEE"/>
    <w:rsid w:val="001235DE"/>
    <w:rsid w:val="0012448C"/>
    <w:rsid w:val="00124764"/>
    <w:rsid w:val="00125322"/>
    <w:rsid w:val="00125340"/>
    <w:rsid w:val="001253C6"/>
    <w:rsid w:val="001260EE"/>
    <w:rsid w:val="0013157B"/>
    <w:rsid w:val="0013171B"/>
    <w:rsid w:val="00131AB3"/>
    <w:rsid w:val="00131D6E"/>
    <w:rsid w:val="00132ED1"/>
    <w:rsid w:val="00133384"/>
    <w:rsid w:val="00133DB6"/>
    <w:rsid w:val="001343A1"/>
    <w:rsid w:val="0013442E"/>
    <w:rsid w:val="001353DD"/>
    <w:rsid w:val="001371F0"/>
    <w:rsid w:val="0013763C"/>
    <w:rsid w:val="00141888"/>
    <w:rsid w:val="00141CAE"/>
    <w:rsid w:val="00142115"/>
    <w:rsid w:val="0014229A"/>
    <w:rsid w:val="00142F71"/>
    <w:rsid w:val="00142F72"/>
    <w:rsid w:val="00144C67"/>
    <w:rsid w:val="00144CD6"/>
    <w:rsid w:val="001472FC"/>
    <w:rsid w:val="001474C5"/>
    <w:rsid w:val="00150382"/>
    <w:rsid w:val="00151E77"/>
    <w:rsid w:val="0015200F"/>
    <w:rsid w:val="00153235"/>
    <w:rsid w:val="001537BC"/>
    <w:rsid w:val="00153AEE"/>
    <w:rsid w:val="0015483F"/>
    <w:rsid w:val="00156E60"/>
    <w:rsid w:val="00157873"/>
    <w:rsid w:val="0016061D"/>
    <w:rsid w:val="00161A75"/>
    <w:rsid w:val="00161F3C"/>
    <w:rsid w:val="00164B82"/>
    <w:rsid w:val="00164BA9"/>
    <w:rsid w:val="00164CCE"/>
    <w:rsid w:val="00166FE3"/>
    <w:rsid w:val="00167449"/>
    <w:rsid w:val="00170461"/>
    <w:rsid w:val="0017071A"/>
    <w:rsid w:val="001712A1"/>
    <w:rsid w:val="00171378"/>
    <w:rsid w:val="001749ED"/>
    <w:rsid w:val="001750CB"/>
    <w:rsid w:val="00177DF4"/>
    <w:rsid w:val="001804D4"/>
    <w:rsid w:val="001814EF"/>
    <w:rsid w:val="00183BF0"/>
    <w:rsid w:val="001860B4"/>
    <w:rsid w:val="00186545"/>
    <w:rsid w:val="0018725C"/>
    <w:rsid w:val="00190517"/>
    <w:rsid w:val="00192F1B"/>
    <w:rsid w:val="00193637"/>
    <w:rsid w:val="001972AA"/>
    <w:rsid w:val="001A025E"/>
    <w:rsid w:val="001A0B7F"/>
    <w:rsid w:val="001A16D1"/>
    <w:rsid w:val="001A16EC"/>
    <w:rsid w:val="001A1DD0"/>
    <w:rsid w:val="001A21CD"/>
    <w:rsid w:val="001A2C74"/>
    <w:rsid w:val="001A319B"/>
    <w:rsid w:val="001A3E89"/>
    <w:rsid w:val="001A41EE"/>
    <w:rsid w:val="001A5C6A"/>
    <w:rsid w:val="001A6BC4"/>
    <w:rsid w:val="001A759E"/>
    <w:rsid w:val="001B02DB"/>
    <w:rsid w:val="001B1B76"/>
    <w:rsid w:val="001B4BDA"/>
    <w:rsid w:val="001B571A"/>
    <w:rsid w:val="001B7558"/>
    <w:rsid w:val="001C00E9"/>
    <w:rsid w:val="001C0771"/>
    <w:rsid w:val="001C17B4"/>
    <w:rsid w:val="001C1A17"/>
    <w:rsid w:val="001C2385"/>
    <w:rsid w:val="001C3136"/>
    <w:rsid w:val="001C3633"/>
    <w:rsid w:val="001C41B6"/>
    <w:rsid w:val="001C522F"/>
    <w:rsid w:val="001C5CFB"/>
    <w:rsid w:val="001C623A"/>
    <w:rsid w:val="001C6C89"/>
    <w:rsid w:val="001D1076"/>
    <w:rsid w:val="001D2ECB"/>
    <w:rsid w:val="001D340E"/>
    <w:rsid w:val="001D3E3C"/>
    <w:rsid w:val="001D4545"/>
    <w:rsid w:val="001D5DBF"/>
    <w:rsid w:val="001E2FAE"/>
    <w:rsid w:val="001E5034"/>
    <w:rsid w:val="001E5CDA"/>
    <w:rsid w:val="001E6F06"/>
    <w:rsid w:val="001E78F9"/>
    <w:rsid w:val="001E7BF7"/>
    <w:rsid w:val="001E7EAF"/>
    <w:rsid w:val="001F1EB7"/>
    <w:rsid w:val="001F1F9D"/>
    <w:rsid w:val="001F322D"/>
    <w:rsid w:val="001F447F"/>
    <w:rsid w:val="00200E67"/>
    <w:rsid w:val="00202296"/>
    <w:rsid w:val="00202530"/>
    <w:rsid w:val="0020381C"/>
    <w:rsid w:val="002038AB"/>
    <w:rsid w:val="00204097"/>
    <w:rsid w:val="0020650F"/>
    <w:rsid w:val="00211A0B"/>
    <w:rsid w:val="002127C5"/>
    <w:rsid w:val="0021284F"/>
    <w:rsid w:val="00212AA0"/>
    <w:rsid w:val="00212EA1"/>
    <w:rsid w:val="00213EB1"/>
    <w:rsid w:val="0021439A"/>
    <w:rsid w:val="00215717"/>
    <w:rsid w:val="002168E4"/>
    <w:rsid w:val="00221E9A"/>
    <w:rsid w:val="00222298"/>
    <w:rsid w:val="002242B9"/>
    <w:rsid w:val="002243FE"/>
    <w:rsid w:val="0022458C"/>
    <w:rsid w:val="00224E07"/>
    <w:rsid w:val="00225595"/>
    <w:rsid w:val="00226E0E"/>
    <w:rsid w:val="002270A1"/>
    <w:rsid w:val="00231EDF"/>
    <w:rsid w:val="00232589"/>
    <w:rsid w:val="00232ED7"/>
    <w:rsid w:val="002333C8"/>
    <w:rsid w:val="00233B06"/>
    <w:rsid w:val="00235A43"/>
    <w:rsid w:val="00235DE2"/>
    <w:rsid w:val="00236A01"/>
    <w:rsid w:val="00241C10"/>
    <w:rsid w:val="00242959"/>
    <w:rsid w:val="00242CED"/>
    <w:rsid w:val="00243A2F"/>
    <w:rsid w:val="00244686"/>
    <w:rsid w:val="002454AE"/>
    <w:rsid w:val="00245CA7"/>
    <w:rsid w:val="00245D31"/>
    <w:rsid w:val="00251589"/>
    <w:rsid w:val="00251F3E"/>
    <w:rsid w:val="0025347D"/>
    <w:rsid w:val="00253EEE"/>
    <w:rsid w:val="00254496"/>
    <w:rsid w:val="00256FF4"/>
    <w:rsid w:val="002618FB"/>
    <w:rsid w:val="00261FA6"/>
    <w:rsid w:val="002634E2"/>
    <w:rsid w:val="002636D8"/>
    <w:rsid w:val="0027002F"/>
    <w:rsid w:val="00270BFC"/>
    <w:rsid w:val="00270E19"/>
    <w:rsid w:val="00272352"/>
    <w:rsid w:val="0027581E"/>
    <w:rsid w:val="00276A46"/>
    <w:rsid w:val="00276E1B"/>
    <w:rsid w:val="002771AE"/>
    <w:rsid w:val="00277311"/>
    <w:rsid w:val="00281B26"/>
    <w:rsid w:val="00282A55"/>
    <w:rsid w:val="00283F3C"/>
    <w:rsid w:val="0028653E"/>
    <w:rsid w:val="002869FE"/>
    <w:rsid w:val="00287C92"/>
    <w:rsid w:val="00290EFE"/>
    <w:rsid w:val="00291EE0"/>
    <w:rsid w:val="00293213"/>
    <w:rsid w:val="00294509"/>
    <w:rsid w:val="00294C82"/>
    <w:rsid w:val="0029598B"/>
    <w:rsid w:val="00296D13"/>
    <w:rsid w:val="002977E5"/>
    <w:rsid w:val="002A1CFE"/>
    <w:rsid w:val="002A280B"/>
    <w:rsid w:val="002A29E8"/>
    <w:rsid w:val="002A2E4B"/>
    <w:rsid w:val="002A5D02"/>
    <w:rsid w:val="002A60C9"/>
    <w:rsid w:val="002A707F"/>
    <w:rsid w:val="002B0652"/>
    <w:rsid w:val="002B087B"/>
    <w:rsid w:val="002B1900"/>
    <w:rsid w:val="002B3702"/>
    <w:rsid w:val="002B5F94"/>
    <w:rsid w:val="002B6605"/>
    <w:rsid w:val="002B665C"/>
    <w:rsid w:val="002B668F"/>
    <w:rsid w:val="002B715B"/>
    <w:rsid w:val="002C1302"/>
    <w:rsid w:val="002C27BF"/>
    <w:rsid w:val="002C34AF"/>
    <w:rsid w:val="002C3D37"/>
    <w:rsid w:val="002C5AE6"/>
    <w:rsid w:val="002C6107"/>
    <w:rsid w:val="002C7CC8"/>
    <w:rsid w:val="002D0C24"/>
    <w:rsid w:val="002D2422"/>
    <w:rsid w:val="002D27C8"/>
    <w:rsid w:val="002D3577"/>
    <w:rsid w:val="002D7104"/>
    <w:rsid w:val="002D7650"/>
    <w:rsid w:val="002D76F6"/>
    <w:rsid w:val="002D7F0F"/>
    <w:rsid w:val="002E16E9"/>
    <w:rsid w:val="002E28D1"/>
    <w:rsid w:val="002E3BD1"/>
    <w:rsid w:val="002E5D2E"/>
    <w:rsid w:val="002E65A1"/>
    <w:rsid w:val="002E7606"/>
    <w:rsid w:val="002F14D6"/>
    <w:rsid w:val="002F1587"/>
    <w:rsid w:val="002F2293"/>
    <w:rsid w:val="002F232D"/>
    <w:rsid w:val="002F2535"/>
    <w:rsid w:val="002F325A"/>
    <w:rsid w:val="002F37DD"/>
    <w:rsid w:val="002F4B73"/>
    <w:rsid w:val="002F6C11"/>
    <w:rsid w:val="002F79A5"/>
    <w:rsid w:val="002F79CD"/>
    <w:rsid w:val="002F7C9A"/>
    <w:rsid w:val="00304EA4"/>
    <w:rsid w:val="00305B79"/>
    <w:rsid w:val="00305F5A"/>
    <w:rsid w:val="00306C2E"/>
    <w:rsid w:val="00307315"/>
    <w:rsid w:val="0030771C"/>
    <w:rsid w:val="003110ED"/>
    <w:rsid w:val="00311346"/>
    <w:rsid w:val="00312A60"/>
    <w:rsid w:val="00315372"/>
    <w:rsid w:val="00315446"/>
    <w:rsid w:val="003165D2"/>
    <w:rsid w:val="0031662E"/>
    <w:rsid w:val="003174C8"/>
    <w:rsid w:val="003174D5"/>
    <w:rsid w:val="00317500"/>
    <w:rsid w:val="0031785A"/>
    <w:rsid w:val="00317982"/>
    <w:rsid w:val="0032060E"/>
    <w:rsid w:val="00321445"/>
    <w:rsid w:val="00322F85"/>
    <w:rsid w:val="003248FF"/>
    <w:rsid w:val="0032493D"/>
    <w:rsid w:val="00324C9F"/>
    <w:rsid w:val="003254AE"/>
    <w:rsid w:val="00325A0A"/>
    <w:rsid w:val="00326B33"/>
    <w:rsid w:val="00326FEB"/>
    <w:rsid w:val="003273D3"/>
    <w:rsid w:val="00327BF0"/>
    <w:rsid w:val="00330C1F"/>
    <w:rsid w:val="00331022"/>
    <w:rsid w:val="00336147"/>
    <w:rsid w:val="003412FE"/>
    <w:rsid w:val="003427EC"/>
    <w:rsid w:val="00347DBE"/>
    <w:rsid w:val="0035096F"/>
    <w:rsid w:val="003520CA"/>
    <w:rsid w:val="003530F3"/>
    <w:rsid w:val="003563F8"/>
    <w:rsid w:val="0036092C"/>
    <w:rsid w:val="00360A85"/>
    <w:rsid w:val="003612BC"/>
    <w:rsid w:val="0036176A"/>
    <w:rsid w:val="00363AF8"/>
    <w:rsid w:val="003645BD"/>
    <w:rsid w:val="00364765"/>
    <w:rsid w:val="00364F24"/>
    <w:rsid w:val="003650AF"/>
    <w:rsid w:val="00365995"/>
    <w:rsid w:val="00366B4F"/>
    <w:rsid w:val="00367272"/>
    <w:rsid w:val="0036733B"/>
    <w:rsid w:val="0036771D"/>
    <w:rsid w:val="00371390"/>
    <w:rsid w:val="0037158E"/>
    <w:rsid w:val="003715E4"/>
    <w:rsid w:val="003720B1"/>
    <w:rsid w:val="00373659"/>
    <w:rsid w:val="00373A72"/>
    <w:rsid w:val="00374FB4"/>
    <w:rsid w:val="003765BF"/>
    <w:rsid w:val="003773EA"/>
    <w:rsid w:val="003801C5"/>
    <w:rsid w:val="00381155"/>
    <w:rsid w:val="003856C8"/>
    <w:rsid w:val="00386B74"/>
    <w:rsid w:val="00387232"/>
    <w:rsid w:val="003876F2"/>
    <w:rsid w:val="00387920"/>
    <w:rsid w:val="0039194F"/>
    <w:rsid w:val="00392205"/>
    <w:rsid w:val="003951AD"/>
    <w:rsid w:val="00395D24"/>
    <w:rsid w:val="0039616E"/>
    <w:rsid w:val="00396518"/>
    <w:rsid w:val="003A20AA"/>
    <w:rsid w:val="003A2442"/>
    <w:rsid w:val="003A3CFE"/>
    <w:rsid w:val="003A3E20"/>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630"/>
    <w:rsid w:val="003C4FEF"/>
    <w:rsid w:val="003C6831"/>
    <w:rsid w:val="003C686B"/>
    <w:rsid w:val="003C6EA7"/>
    <w:rsid w:val="003C70BF"/>
    <w:rsid w:val="003D0694"/>
    <w:rsid w:val="003D0EE3"/>
    <w:rsid w:val="003D1B6A"/>
    <w:rsid w:val="003D2FCA"/>
    <w:rsid w:val="003D653F"/>
    <w:rsid w:val="003D6700"/>
    <w:rsid w:val="003D7881"/>
    <w:rsid w:val="003E16A9"/>
    <w:rsid w:val="003E3672"/>
    <w:rsid w:val="003E4CB5"/>
    <w:rsid w:val="003E5D79"/>
    <w:rsid w:val="003E6071"/>
    <w:rsid w:val="003E649A"/>
    <w:rsid w:val="003E7368"/>
    <w:rsid w:val="003E7679"/>
    <w:rsid w:val="003E7A93"/>
    <w:rsid w:val="003F02DC"/>
    <w:rsid w:val="003F09BC"/>
    <w:rsid w:val="003F3956"/>
    <w:rsid w:val="00400CD3"/>
    <w:rsid w:val="0040657F"/>
    <w:rsid w:val="0040658F"/>
    <w:rsid w:val="00407DE2"/>
    <w:rsid w:val="00412E40"/>
    <w:rsid w:val="00413182"/>
    <w:rsid w:val="00413513"/>
    <w:rsid w:val="004138B7"/>
    <w:rsid w:val="00413A04"/>
    <w:rsid w:val="00413C47"/>
    <w:rsid w:val="0041443A"/>
    <w:rsid w:val="00414647"/>
    <w:rsid w:val="004151DC"/>
    <w:rsid w:val="0041536C"/>
    <w:rsid w:val="00420052"/>
    <w:rsid w:val="004219BF"/>
    <w:rsid w:val="0042225D"/>
    <w:rsid w:val="00423E6D"/>
    <w:rsid w:val="004253F3"/>
    <w:rsid w:val="00430A11"/>
    <w:rsid w:val="00430FE6"/>
    <w:rsid w:val="00434DF8"/>
    <w:rsid w:val="00435C64"/>
    <w:rsid w:val="00444416"/>
    <w:rsid w:val="004450CF"/>
    <w:rsid w:val="00445971"/>
    <w:rsid w:val="00453E2A"/>
    <w:rsid w:val="00454E80"/>
    <w:rsid w:val="004562EE"/>
    <w:rsid w:val="00456351"/>
    <w:rsid w:val="00456854"/>
    <w:rsid w:val="00462E7F"/>
    <w:rsid w:val="00463DF9"/>
    <w:rsid w:val="00465B0F"/>
    <w:rsid w:val="00466CAD"/>
    <w:rsid w:val="00467246"/>
    <w:rsid w:val="00467F39"/>
    <w:rsid w:val="00471294"/>
    <w:rsid w:val="0047168B"/>
    <w:rsid w:val="0047247F"/>
    <w:rsid w:val="00473299"/>
    <w:rsid w:val="0047639C"/>
    <w:rsid w:val="004778B4"/>
    <w:rsid w:val="00480BCE"/>
    <w:rsid w:val="004813D2"/>
    <w:rsid w:val="0048173D"/>
    <w:rsid w:val="0048245F"/>
    <w:rsid w:val="00482E9C"/>
    <w:rsid w:val="0048383B"/>
    <w:rsid w:val="004843DB"/>
    <w:rsid w:val="00490CD9"/>
    <w:rsid w:val="00492C50"/>
    <w:rsid w:val="00494DFA"/>
    <w:rsid w:val="0049563C"/>
    <w:rsid w:val="00495E66"/>
    <w:rsid w:val="004960E1"/>
    <w:rsid w:val="00496BE1"/>
    <w:rsid w:val="004976BA"/>
    <w:rsid w:val="004A0AF0"/>
    <w:rsid w:val="004A0C0C"/>
    <w:rsid w:val="004A0C72"/>
    <w:rsid w:val="004A275C"/>
    <w:rsid w:val="004A295D"/>
    <w:rsid w:val="004A3AE6"/>
    <w:rsid w:val="004A5E03"/>
    <w:rsid w:val="004A74CC"/>
    <w:rsid w:val="004B0C57"/>
    <w:rsid w:val="004B4676"/>
    <w:rsid w:val="004B5166"/>
    <w:rsid w:val="004B6140"/>
    <w:rsid w:val="004B6BEF"/>
    <w:rsid w:val="004B6D20"/>
    <w:rsid w:val="004B727F"/>
    <w:rsid w:val="004B7DB7"/>
    <w:rsid w:val="004C1097"/>
    <w:rsid w:val="004C13EB"/>
    <w:rsid w:val="004C14EA"/>
    <w:rsid w:val="004C1AA9"/>
    <w:rsid w:val="004C48CC"/>
    <w:rsid w:val="004C5028"/>
    <w:rsid w:val="004C5105"/>
    <w:rsid w:val="004C56D2"/>
    <w:rsid w:val="004C5822"/>
    <w:rsid w:val="004C6F2C"/>
    <w:rsid w:val="004C7D34"/>
    <w:rsid w:val="004D02DF"/>
    <w:rsid w:val="004D1250"/>
    <w:rsid w:val="004D1778"/>
    <w:rsid w:val="004D46CE"/>
    <w:rsid w:val="004D6E25"/>
    <w:rsid w:val="004E396A"/>
    <w:rsid w:val="004E4506"/>
    <w:rsid w:val="004E4B2A"/>
    <w:rsid w:val="004E6ECA"/>
    <w:rsid w:val="004E7059"/>
    <w:rsid w:val="004F029D"/>
    <w:rsid w:val="004F0AD1"/>
    <w:rsid w:val="004F10CF"/>
    <w:rsid w:val="004F1813"/>
    <w:rsid w:val="004F32D3"/>
    <w:rsid w:val="004F475C"/>
    <w:rsid w:val="004F5B4E"/>
    <w:rsid w:val="004F6CC0"/>
    <w:rsid w:val="004F78DE"/>
    <w:rsid w:val="00500621"/>
    <w:rsid w:val="005047F3"/>
    <w:rsid w:val="00504DD0"/>
    <w:rsid w:val="005064A5"/>
    <w:rsid w:val="00506B9C"/>
    <w:rsid w:val="0050762D"/>
    <w:rsid w:val="00507C0C"/>
    <w:rsid w:val="00510617"/>
    <w:rsid w:val="00510F9E"/>
    <w:rsid w:val="00511046"/>
    <w:rsid w:val="00511763"/>
    <w:rsid w:val="00511EF6"/>
    <w:rsid w:val="00511F00"/>
    <w:rsid w:val="00515070"/>
    <w:rsid w:val="0051569C"/>
    <w:rsid w:val="005157D8"/>
    <w:rsid w:val="0051640C"/>
    <w:rsid w:val="00516A2A"/>
    <w:rsid w:val="00516B12"/>
    <w:rsid w:val="005171E4"/>
    <w:rsid w:val="00517517"/>
    <w:rsid w:val="00517664"/>
    <w:rsid w:val="005222C7"/>
    <w:rsid w:val="00522DDB"/>
    <w:rsid w:val="005275E1"/>
    <w:rsid w:val="00531F13"/>
    <w:rsid w:val="0053227B"/>
    <w:rsid w:val="00532693"/>
    <w:rsid w:val="005326A1"/>
    <w:rsid w:val="00532ED2"/>
    <w:rsid w:val="00535ED0"/>
    <w:rsid w:val="005367FF"/>
    <w:rsid w:val="00536843"/>
    <w:rsid w:val="0053743C"/>
    <w:rsid w:val="00540C1D"/>
    <w:rsid w:val="00542A34"/>
    <w:rsid w:val="00542FE4"/>
    <w:rsid w:val="00543D81"/>
    <w:rsid w:val="00544F59"/>
    <w:rsid w:val="005461F2"/>
    <w:rsid w:val="005471CB"/>
    <w:rsid w:val="00551454"/>
    <w:rsid w:val="00551484"/>
    <w:rsid w:val="00552FAD"/>
    <w:rsid w:val="00553031"/>
    <w:rsid w:val="00554457"/>
    <w:rsid w:val="00554F85"/>
    <w:rsid w:val="00556181"/>
    <w:rsid w:val="00556B8A"/>
    <w:rsid w:val="00556EFB"/>
    <w:rsid w:val="005571E9"/>
    <w:rsid w:val="00560805"/>
    <w:rsid w:val="00560FF2"/>
    <w:rsid w:val="00562235"/>
    <w:rsid w:val="00562BE3"/>
    <w:rsid w:val="00563189"/>
    <w:rsid w:val="0056402E"/>
    <w:rsid w:val="00564538"/>
    <w:rsid w:val="00565685"/>
    <w:rsid w:val="00567B37"/>
    <w:rsid w:val="005720F6"/>
    <w:rsid w:val="00573349"/>
    <w:rsid w:val="00574524"/>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570E"/>
    <w:rsid w:val="005962AD"/>
    <w:rsid w:val="00596C90"/>
    <w:rsid w:val="00597B7E"/>
    <w:rsid w:val="005A0CCB"/>
    <w:rsid w:val="005A1F96"/>
    <w:rsid w:val="005A4ED4"/>
    <w:rsid w:val="005A71B1"/>
    <w:rsid w:val="005B2C4E"/>
    <w:rsid w:val="005B36B8"/>
    <w:rsid w:val="005B3EA3"/>
    <w:rsid w:val="005B41C4"/>
    <w:rsid w:val="005B5302"/>
    <w:rsid w:val="005B67C0"/>
    <w:rsid w:val="005C23C4"/>
    <w:rsid w:val="005C33AA"/>
    <w:rsid w:val="005C33D3"/>
    <w:rsid w:val="005C64A4"/>
    <w:rsid w:val="005C6B00"/>
    <w:rsid w:val="005D0CF3"/>
    <w:rsid w:val="005D1882"/>
    <w:rsid w:val="005D1C50"/>
    <w:rsid w:val="005D5659"/>
    <w:rsid w:val="005D7D47"/>
    <w:rsid w:val="005E09FF"/>
    <w:rsid w:val="005E0F7E"/>
    <w:rsid w:val="005E11D5"/>
    <w:rsid w:val="005E2116"/>
    <w:rsid w:val="005E344F"/>
    <w:rsid w:val="005E3C4D"/>
    <w:rsid w:val="005E3D84"/>
    <w:rsid w:val="005E5C28"/>
    <w:rsid w:val="005E5C7E"/>
    <w:rsid w:val="005E670C"/>
    <w:rsid w:val="005F1C21"/>
    <w:rsid w:val="005F3BFA"/>
    <w:rsid w:val="005F5870"/>
    <w:rsid w:val="00600EFC"/>
    <w:rsid w:val="00601030"/>
    <w:rsid w:val="0060118D"/>
    <w:rsid w:val="00603182"/>
    <w:rsid w:val="00603F47"/>
    <w:rsid w:val="006056E2"/>
    <w:rsid w:val="00610E08"/>
    <w:rsid w:val="006119E5"/>
    <w:rsid w:val="00612A19"/>
    <w:rsid w:val="00612D5E"/>
    <w:rsid w:val="00613188"/>
    <w:rsid w:val="00614269"/>
    <w:rsid w:val="006144C3"/>
    <w:rsid w:val="00614913"/>
    <w:rsid w:val="00614952"/>
    <w:rsid w:val="00614BCC"/>
    <w:rsid w:val="00615F80"/>
    <w:rsid w:val="00616D29"/>
    <w:rsid w:val="00617B98"/>
    <w:rsid w:val="00621564"/>
    <w:rsid w:val="00630F4F"/>
    <w:rsid w:val="0063665D"/>
    <w:rsid w:val="006366A3"/>
    <w:rsid w:val="00641674"/>
    <w:rsid w:val="006431B3"/>
    <w:rsid w:val="00645353"/>
    <w:rsid w:val="00645777"/>
    <w:rsid w:val="00645B06"/>
    <w:rsid w:val="00645E51"/>
    <w:rsid w:val="00647081"/>
    <w:rsid w:val="00652E0E"/>
    <w:rsid w:val="006539AE"/>
    <w:rsid w:val="00653E10"/>
    <w:rsid w:val="00654E79"/>
    <w:rsid w:val="00657878"/>
    <w:rsid w:val="00657EFD"/>
    <w:rsid w:val="00662BB8"/>
    <w:rsid w:val="00663EAB"/>
    <w:rsid w:val="006646E1"/>
    <w:rsid w:val="006666B3"/>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1705"/>
    <w:rsid w:val="006931DD"/>
    <w:rsid w:val="00695298"/>
    <w:rsid w:val="00696611"/>
    <w:rsid w:val="006A049C"/>
    <w:rsid w:val="006A623F"/>
    <w:rsid w:val="006A73F1"/>
    <w:rsid w:val="006A75C7"/>
    <w:rsid w:val="006B1718"/>
    <w:rsid w:val="006B6654"/>
    <w:rsid w:val="006B79E9"/>
    <w:rsid w:val="006C199D"/>
    <w:rsid w:val="006C28FA"/>
    <w:rsid w:val="006C2E29"/>
    <w:rsid w:val="006C4B9A"/>
    <w:rsid w:val="006C4F2A"/>
    <w:rsid w:val="006C50F7"/>
    <w:rsid w:val="006C5AB0"/>
    <w:rsid w:val="006C6F4B"/>
    <w:rsid w:val="006C71DC"/>
    <w:rsid w:val="006D0142"/>
    <w:rsid w:val="006D05DE"/>
    <w:rsid w:val="006D0D26"/>
    <w:rsid w:val="006D62A2"/>
    <w:rsid w:val="006D65D3"/>
    <w:rsid w:val="006D71B9"/>
    <w:rsid w:val="006E0608"/>
    <w:rsid w:val="006E1334"/>
    <w:rsid w:val="006E3465"/>
    <w:rsid w:val="006E5D28"/>
    <w:rsid w:val="006E6550"/>
    <w:rsid w:val="006E7957"/>
    <w:rsid w:val="006E7D50"/>
    <w:rsid w:val="006F0C22"/>
    <w:rsid w:val="006F10D7"/>
    <w:rsid w:val="006F1E18"/>
    <w:rsid w:val="006F2048"/>
    <w:rsid w:val="006F21BC"/>
    <w:rsid w:val="006F29F7"/>
    <w:rsid w:val="006F34EB"/>
    <w:rsid w:val="006F47C5"/>
    <w:rsid w:val="006F4ABA"/>
    <w:rsid w:val="006F506E"/>
    <w:rsid w:val="006F5C83"/>
    <w:rsid w:val="007009E0"/>
    <w:rsid w:val="00700B49"/>
    <w:rsid w:val="007010A1"/>
    <w:rsid w:val="00702511"/>
    <w:rsid w:val="00702ED2"/>
    <w:rsid w:val="007030F0"/>
    <w:rsid w:val="007045F6"/>
    <w:rsid w:val="007055D8"/>
    <w:rsid w:val="0070611E"/>
    <w:rsid w:val="00707696"/>
    <w:rsid w:val="007076FF"/>
    <w:rsid w:val="007077AC"/>
    <w:rsid w:val="007119AA"/>
    <w:rsid w:val="00711D59"/>
    <w:rsid w:val="00715E01"/>
    <w:rsid w:val="0072305F"/>
    <w:rsid w:val="0072324B"/>
    <w:rsid w:val="00725182"/>
    <w:rsid w:val="007259E5"/>
    <w:rsid w:val="00725A17"/>
    <w:rsid w:val="00726720"/>
    <w:rsid w:val="00726D5F"/>
    <w:rsid w:val="00726DC7"/>
    <w:rsid w:val="00730EBD"/>
    <w:rsid w:val="00733A21"/>
    <w:rsid w:val="00734D89"/>
    <w:rsid w:val="00735F1C"/>
    <w:rsid w:val="00740D80"/>
    <w:rsid w:val="0074121D"/>
    <w:rsid w:val="007416A4"/>
    <w:rsid w:val="007434A8"/>
    <w:rsid w:val="007441FF"/>
    <w:rsid w:val="00744DD7"/>
    <w:rsid w:val="0074504E"/>
    <w:rsid w:val="0074544F"/>
    <w:rsid w:val="00746828"/>
    <w:rsid w:val="007479AE"/>
    <w:rsid w:val="007507E6"/>
    <w:rsid w:val="00751DD0"/>
    <w:rsid w:val="00753AE4"/>
    <w:rsid w:val="00754237"/>
    <w:rsid w:val="00754A40"/>
    <w:rsid w:val="00754AD4"/>
    <w:rsid w:val="00755AF2"/>
    <w:rsid w:val="00756D9F"/>
    <w:rsid w:val="00760558"/>
    <w:rsid w:val="00760981"/>
    <w:rsid w:val="00761074"/>
    <w:rsid w:val="007618D8"/>
    <w:rsid w:val="007625DA"/>
    <w:rsid w:val="0076287C"/>
    <w:rsid w:val="00762A65"/>
    <w:rsid w:val="007639C4"/>
    <w:rsid w:val="00764C77"/>
    <w:rsid w:val="0076511C"/>
    <w:rsid w:val="00770C9F"/>
    <w:rsid w:val="007724A1"/>
    <w:rsid w:val="007733A3"/>
    <w:rsid w:val="00775D5D"/>
    <w:rsid w:val="00776E03"/>
    <w:rsid w:val="00777437"/>
    <w:rsid w:val="00780D26"/>
    <w:rsid w:val="00781E95"/>
    <w:rsid w:val="00782302"/>
    <w:rsid w:val="00786313"/>
    <w:rsid w:val="00786BAB"/>
    <w:rsid w:val="00787C13"/>
    <w:rsid w:val="00790973"/>
    <w:rsid w:val="00790BA2"/>
    <w:rsid w:val="0079229D"/>
    <w:rsid w:val="00792903"/>
    <w:rsid w:val="00792E65"/>
    <w:rsid w:val="007944E6"/>
    <w:rsid w:val="00796954"/>
    <w:rsid w:val="00796BBD"/>
    <w:rsid w:val="007A1DC9"/>
    <w:rsid w:val="007A297A"/>
    <w:rsid w:val="007A5437"/>
    <w:rsid w:val="007A63A8"/>
    <w:rsid w:val="007A6890"/>
    <w:rsid w:val="007A74C2"/>
    <w:rsid w:val="007A7B42"/>
    <w:rsid w:val="007B0741"/>
    <w:rsid w:val="007B0CE1"/>
    <w:rsid w:val="007B100E"/>
    <w:rsid w:val="007B183E"/>
    <w:rsid w:val="007B20FC"/>
    <w:rsid w:val="007B4AC0"/>
    <w:rsid w:val="007B4BD2"/>
    <w:rsid w:val="007B5613"/>
    <w:rsid w:val="007B791D"/>
    <w:rsid w:val="007C27A7"/>
    <w:rsid w:val="007C2DB1"/>
    <w:rsid w:val="007C3DB2"/>
    <w:rsid w:val="007C40DE"/>
    <w:rsid w:val="007C4109"/>
    <w:rsid w:val="007C60ED"/>
    <w:rsid w:val="007C637F"/>
    <w:rsid w:val="007C6E51"/>
    <w:rsid w:val="007C77F4"/>
    <w:rsid w:val="007C799B"/>
    <w:rsid w:val="007D1C9B"/>
    <w:rsid w:val="007D25E8"/>
    <w:rsid w:val="007D415A"/>
    <w:rsid w:val="007D53DC"/>
    <w:rsid w:val="007D71C0"/>
    <w:rsid w:val="007D71C7"/>
    <w:rsid w:val="007E0F0A"/>
    <w:rsid w:val="007E0FFE"/>
    <w:rsid w:val="007E1EB5"/>
    <w:rsid w:val="007E394E"/>
    <w:rsid w:val="007E63B9"/>
    <w:rsid w:val="007F2E40"/>
    <w:rsid w:val="007F4DE7"/>
    <w:rsid w:val="007F5E90"/>
    <w:rsid w:val="007F74D2"/>
    <w:rsid w:val="00800596"/>
    <w:rsid w:val="00801151"/>
    <w:rsid w:val="00803B1F"/>
    <w:rsid w:val="00804663"/>
    <w:rsid w:val="00806F1F"/>
    <w:rsid w:val="008104F4"/>
    <w:rsid w:val="00810681"/>
    <w:rsid w:val="008118B2"/>
    <w:rsid w:val="00814C53"/>
    <w:rsid w:val="008156EE"/>
    <w:rsid w:val="00815821"/>
    <w:rsid w:val="00821AA3"/>
    <w:rsid w:val="00821F23"/>
    <w:rsid w:val="00822BB4"/>
    <w:rsid w:val="00824A5B"/>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48D8"/>
    <w:rsid w:val="00855B6F"/>
    <w:rsid w:val="008570B5"/>
    <w:rsid w:val="00862973"/>
    <w:rsid w:val="0086311A"/>
    <w:rsid w:val="00863361"/>
    <w:rsid w:val="00863D78"/>
    <w:rsid w:val="00865724"/>
    <w:rsid w:val="00865808"/>
    <w:rsid w:val="008665D0"/>
    <w:rsid w:val="008665FD"/>
    <w:rsid w:val="00866A19"/>
    <w:rsid w:val="008702FB"/>
    <w:rsid w:val="0087034D"/>
    <w:rsid w:val="008707FD"/>
    <w:rsid w:val="00871636"/>
    <w:rsid w:val="00872960"/>
    <w:rsid w:val="00873092"/>
    <w:rsid w:val="0087309F"/>
    <w:rsid w:val="008737C9"/>
    <w:rsid w:val="00874FB2"/>
    <w:rsid w:val="008755E3"/>
    <w:rsid w:val="008758DB"/>
    <w:rsid w:val="00876019"/>
    <w:rsid w:val="00876F94"/>
    <w:rsid w:val="00877746"/>
    <w:rsid w:val="00877B56"/>
    <w:rsid w:val="00881A07"/>
    <w:rsid w:val="008823A6"/>
    <w:rsid w:val="008823EA"/>
    <w:rsid w:val="00883A97"/>
    <w:rsid w:val="00884F41"/>
    <w:rsid w:val="00885149"/>
    <w:rsid w:val="00885719"/>
    <w:rsid w:val="008879EB"/>
    <w:rsid w:val="00887FF9"/>
    <w:rsid w:val="0089191C"/>
    <w:rsid w:val="00891A31"/>
    <w:rsid w:val="0089282E"/>
    <w:rsid w:val="00892A4E"/>
    <w:rsid w:val="00892F21"/>
    <w:rsid w:val="00896324"/>
    <w:rsid w:val="00897894"/>
    <w:rsid w:val="008A2ACE"/>
    <w:rsid w:val="008A2F6F"/>
    <w:rsid w:val="008A3B73"/>
    <w:rsid w:val="008A423C"/>
    <w:rsid w:val="008A561B"/>
    <w:rsid w:val="008A58A0"/>
    <w:rsid w:val="008A6C45"/>
    <w:rsid w:val="008A753E"/>
    <w:rsid w:val="008A7A88"/>
    <w:rsid w:val="008A7FEC"/>
    <w:rsid w:val="008B2264"/>
    <w:rsid w:val="008B27A1"/>
    <w:rsid w:val="008B6DDA"/>
    <w:rsid w:val="008C21F9"/>
    <w:rsid w:val="008C33FC"/>
    <w:rsid w:val="008C710A"/>
    <w:rsid w:val="008C7DDD"/>
    <w:rsid w:val="008D078C"/>
    <w:rsid w:val="008D1AA4"/>
    <w:rsid w:val="008D1B5F"/>
    <w:rsid w:val="008D2464"/>
    <w:rsid w:val="008D2965"/>
    <w:rsid w:val="008D2CB9"/>
    <w:rsid w:val="008D2D76"/>
    <w:rsid w:val="008D5573"/>
    <w:rsid w:val="008E015B"/>
    <w:rsid w:val="008E1779"/>
    <w:rsid w:val="008E3928"/>
    <w:rsid w:val="008E4239"/>
    <w:rsid w:val="008E5572"/>
    <w:rsid w:val="008E56C6"/>
    <w:rsid w:val="008E6329"/>
    <w:rsid w:val="008E761A"/>
    <w:rsid w:val="008E7BFD"/>
    <w:rsid w:val="008F003D"/>
    <w:rsid w:val="008F0B18"/>
    <w:rsid w:val="008F1747"/>
    <w:rsid w:val="008F21C6"/>
    <w:rsid w:val="008F30F8"/>
    <w:rsid w:val="008F52D2"/>
    <w:rsid w:val="008F79EA"/>
    <w:rsid w:val="009005BA"/>
    <w:rsid w:val="00900D44"/>
    <w:rsid w:val="009025CD"/>
    <w:rsid w:val="009027A2"/>
    <w:rsid w:val="00903147"/>
    <w:rsid w:val="00906A25"/>
    <w:rsid w:val="00907727"/>
    <w:rsid w:val="00907809"/>
    <w:rsid w:val="00911ACC"/>
    <w:rsid w:val="00911BA9"/>
    <w:rsid w:val="00912108"/>
    <w:rsid w:val="0091329E"/>
    <w:rsid w:val="009145B6"/>
    <w:rsid w:val="00914B9F"/>
    <w:rsid w:val="00920DF1"/>
    <w:rsid w:val="00921D47"/>
    <w:rsid w:val="00921E0B"/>
    <w:rsid w:val="00923867"/>
    <w:rsid w:val="00926836"/>
    <w:rsid w:val="009272F9"/>
    <w:rsid w:val="00927565"/>
    <w:rsid w:val="00932A6F"/>
    <w:rsid w:val="00932D7D"/>
    <w:rsid w:val="009332A4"/>
    <w:rsid w:val="009333FE"/>
    <w:rsid w:val="00936D72"/>
    <w:rsid w:val="009419C3"/>
    <w:rsid w:val="00944142"/>
    <w:rsid w:val="009458A7"/>
    <w:rsid w:val="009458CE"/>
    <w:rsid w:val="00946056"/>
    <w:rsid w:val="0094618E"/>
    <w:rsid w:val="00947BF5"/>
    <w:rsid w:val="0095051F"/>
    <w:rsid w:val="009506A8"/>
    <w:rsid w:val="00952C62"/>
    <w:rsid w:val="00960675"/>
    <w:rsid w:val="00960D64"/>
    <w:rsid w:val="00961DAF"/>
    <w:rsid w:val="00961F2D"/>
    <w:rsid w:val="00963B4C"/>
    <w:rsid w:val="00964C47"/>
    <w:rsid w:val="00967D73"/>
    <w:rsid w:val="00970E33"/>
    <w:rsid w:val="009716AB"/>
    <w:rsid w:val="00972230"/>
    <w:rsid w:val="009738C6"/>
    <w:rsid w:val="00974D42"/>
    <w:rsid w:val="009751DA"/>
    <w:rsid w:val="0097592B"/>
    <w:rsid w:val="00977073"/>
    <w:rsid w:val="009770FE"/>
    <w:rsid w:val="00982148"/>
    <w:rsid w:val="009824E4"/>
    <w:rsid w:val="00983A2C"/>
    <w:rsid w:val="00984AA4"/>
    <w:rsid w:val="009861F5"/>
    <w:rsid w:val="009914E8"/>
    <w:rsid w:val="00992744"/>
    <w:rsid w:val="0099396B"/>
    <w:rsid w:val="00994495"/>
    <w:rsid w:val="009946F6"/>
    <w:rsid w:val="00995C66"/>
    <w:rsid w:val="00996647"/>
    <w:rsid w:val="009A2641"/>
    <w:rsid w:val="009A26E4"/>
    <w:rsid w:val="009A4BFC"/>
    <w:rsid w:val="009A5850"/>
    <w:rsid w:val="009A635D"/>
    <w:rsid w:val="009A6CE7"/>
    <w:rsid w:val="009A7E41"/>
    <w:rsid w:val="009B0882"/>
    <w:rsid w:val="009B1264"/>
    <w:rsid w:val="009B16AE"/>
    <w:rsid w:val="009B35FC"/>
    <w:rsid w:val="009B37AE"/>
    <w:rsid w:val="009B470A"/>
    <w:rsid w:val="009B5890"/>
    <w:rsid w:val="009B622D"/>
    <w:rsid w:val="009B6E06"/>
    <w:rsid w:val="009B76C4"/>
    <w:rsid w:val="009B7A92"/>
    <w:rsid w:val="009C0F0E"/>
    <w:rsid w:val="009C1E94"/>
    <w:rsid w:val="009C2924"/>
    <w:rsid w:val="009C29C9"/>
    <w:rsid w:val="009C7E3D"/>
    <w:rsid w:val="009D1AB8"/>
    <w:rsid w:val="009D2FF9"/>
    <w:rsid w:val="009D3490"/>
    <w:rsid w:val="009D403E"/>
    <w:rsid w:val="009D4305"/>
    <w:rsid w:val="009D5459"/>
    <w:rsid w:val="009D68BA"/>
    <w:rsid w:val="009D6A33"/>
    <w:rsid w:val="009D78DB"/>
    <w:rsid w:val="009E27FB"/>
    <w:rsid w:val="009E3490"/>
    <w:rsid w:val="009E3BA6"/>
    <w:rsid w:val="009E5A18"/>
    <w:rsid w:val="009E6786"/>
    <w:rsid w:val="009E79A5"/>
    <w:rsid w:val="009F119F"/>
    <w:rsid w:val="009F1390"/>
    <w:rsid w:val="009F3067"/>
    <w:rsid w:val="009F4EAA"/>
    <w:rsid w:val="009F748A"/>
    <w:rsid w:val="009F7582"/>
    <w:rsid w:val="009F78A1"/>
    <w:rsid w:val="00A01454"/>
    <w:rsid w:val="00A01DDB"/>
    <w:rsid w:val="00A01FA0"/>
    <w:rsid w:val="00A029B5"/>
    <w:rsid w:val="00A05AEF"/>
    <w:rsid w:val="00A05F0C"/>
    <w:rsid w:val="00A06013"/>
    <w:rsid w:val="00A115CD"/>
    <w:rsid w:val="00A11890"/>
    <w:rsid w:val="00A11E73"/>
    <w:rsid w:val="00A13038"/>
    <w:rsid w:val="00A1456A"/>
    <w:rsid w:val="00A14C14"/>
    <w:rsid w:val="00A1569A"/>
    <w:rsid w:val="00A15908"/>
    <w:rsid w:val="00A16568"/>
    <w:rsid w:val="00A168EC"/>
    <w:rsid w:val="00A209EA"/>
    <w:rsid w:val="00A22259"/>
    <w:rsid w:val="00A252CC"/>
    <w:rsid w:val="00A276CC"/>
    <w:rsid w:val="00A3115B"/>
    <w:rsid w:val="00A320A1"/>
    <w:rsid w:val="00A3266F"/>
    <w:rsid w:val="00A32FB3"/>
    <w:rsid w:val="00A33522"/>
    <w:rsid w:val="00A339E0"/>
    <w:rsid w:val="00A3647E"/>
    <w:rsid w:val="00A37310"/>
    <w:rsid w:val="00A41052"/>
    <w:rsid w:val="00A416F9"/>
    <w:rsid w:val="00A420C3"/>
    <w:rsid w:val="00A4299E"/>
    <w:rsid w:val="00A42B2B"/>
    <w:rsid w:val="00A4543C"/>
    <w:rsid w:val="00A4686B"/>
    <w:rsid w:val="00A50841"/>
    <w:rsid w:val="00A515F2"/>
    <w:rsid w:val="00A51BED"/>
    <w:rsid w:val="00A52AB9"/>
    <w:rsid w:val="00A53CD1"/>
    <w:rsid w:val="00A53FD2"/>
    <w:rsid w:val="00A63469"/>
    <w:rsid w:val="00A63AD0"/>
    <w:rsid w:val="00A6434E"/>
    <w:rsid w:val="00A64576"/>
    <w:rsid w:val="00A65AD1"/>
    <w:rsid w:val="00A65CAA"/>
    <w:rsid w:val="00A677D9"/>
    <w:rsid w:val="00A71B6D"/>
    <w:rsid w:val="00A74A91"/>
    <w:rsid w:val="00A753DB"/>
    <w:rsid w:val="00A80250"/>
    <w:rsid w:val="00A80B41"/>
    <w:rsid w:val="00A81916"/>
    <w:rsid w:val="00A81A84"/>
    <w:rsid w:val="00A8271C"/>
    <w:rsid w:val="00A850F9"/>
    <w:rsid w:val="00A85419"/>
    <w:rsid w:val="00A855BD"/>
    <w:rsid w:val="00A87F5C"/>
    <w:rsid w:val="00A91116"/>
    <w:rsid w:val="00A91CD3"/>
    <w:rsid w:val="00A97F88"/>
    <w:rsid w:val="00AA0C01"/>
    <w:rsid w:val="00AA198F"/>
    <w:rsid w:val="00AA2932"/>
    <w:rsid w:val="00AA4E7B"/>
    <w:rsid w:val="00AA5F95"/>
    <w:rsid w:val="00AA6341"/>
    <w:rsid w:val="00AA6D6C"/>
    <w:rsid w:val="00AA7586"/>
    <w:rsid w:val="00AB02D6"/>
    <w:rsid w:val="00AB05C5"/>
    <w:rsid w:val="00AB15F9"/>
    <w:rsid w:val="00AB2600"/>
    <w:rsid w:val="00AB3186"/>
    <w:rsid w:val="00AB44D2"/>
    <w:rsid w:val="00AB5F84"/>
    <w:rsid w:val="00AC0EF9"/>
    <w:rsid w:val="00AC27CE"/>
    <w:rsid w:val="00AC2A3B"/>
    <w:rsid w:val="00AC4478"/>
    <w:rsid w:val="00AC5D5B"/>
    <w:rsid w:val="00AD0495"/>
    <w:rsid w:val="00AD0E57"/>
    <w:rsid w:val="00AD1A7E"/>
    <w:rsid w:val="00AD2644"/>
    <w:rsid w:val="00AD2F7B"/>
    <w:rsid w:val="00AD32DC"/>
    <w:rsid w:val="00AD3E3C"/>
    <w:rsid w:val="00AD48B2"/>
    <w:rsid w:val="00AD63E9"/>
    <w:rsid w:val="00AD656E"/>
    <w:rsid w:val="00AD6A29"/>
    <w:rsid w:val="00AD7DB5"/>
    <w:rsid w:val="00AD7F1B"/>
    <w:rsid w:val="00AE0A30"/>
    <w:rsid w:val="00AE1123"/>
    <w:rsid w:val="00AE1AC4"/>
    <w:rsid w:val="00AE284F"/>
    <w:rsid w:val="00AE30C2"/>
    <w:rsid w:val="00AE5576"/>
    <w:rsid w:val="00AF0AC8"/>
    <w:rsid w:val="00AF3967"/>
    <w:rsid w:val="00AF3A45"/>
    <w:rsid w:val="00AF3FEC"/>
    <w:rsid w:val="00AF408C"/>
    <w:rsid w:val="00AF4878"/>
    <w:rsid w:val="00AF4C8D"/>
    <w:rsid w:val="00AF7FBC"/>
    <w:rsid w:val="00B00ACB"/>
    <w:rsid w:val="00B01532"/>
    <w:rsid w:val="00B016CD"/>
    <w:rsid w:val="00B018B3"/>
    <w:rsid w:val="00B036EE"/>
    <w:rsid w:val="00B03D80"/>
    <w:rsid w:val="00B04224"/>
    <w:rsid w:val="00B050D1"/>
    <w:rsid w:val="00B115E9"/>
    <w:rsid w:val="00B11A45"/>
    <w:rsid w:val="00B11ED2"/>
    <w:rsid w:val="00B12C1C"/>
    <w:rsid w:val="00B130F0"/>
    <w:rsid w:val="00B14537"/>
    <w:rsid w:val="00B16619"/>
    <w:rsid w:val="00B177CB"/>
    <w:rsid w:val="00B21F54"/>
    <w:rsid w:val="00B22405"/>
    <w:rsid w:val="00B224BE"/>
    <w:rsid w:val="00B23CD3"/>
    <w:rsid w:val="00B23EB1"/>
    <w:rsid w:val="00B24282"/>
    <w:rsid w:val="00B253E5"/>
    <w:rsid w:val="00B257B4"/>
    <w:rsid w:val="00B262CD"/>
    <w:rsid w:val="00B26D7B"/>
    <w:rsid w:val="00B26DB2"/>
    <w:rsid w:val="00B27E75"/>
    <w:rsid w:val="00B33147"/>
    <w:rsid w:val="00B339AC"/>
    <w:rsid w:val="00B33AC5"/>
    <w:rsid w:val="00B3531C"/>
    <w:rsid w:val="00B35B0F"/>
    <w:rsid w:val="00B363A5"/>
    <w:rsid w:val="00B40999"/>
    <w:rsid w:val="00B43AE3"/>
    <w:rsid w:val="00B44FCC"/>
    <w:rsid w:val="00B456F0"/>
    <w:rsid w:val="00B4601C"/>
    <w:rsid w:val="00B51787"/>
    <w:rsid w:val="00B52441"/>
    <w:rsid w:val="00B5291C"/>
    <w:rsid w:val="00B52923"/>
    <w:rsid w:val="00B55C75"/>
    <w:rsid w:val="00B55E3A"/>
    <w:rsid w:val="00B62973"/>
    <w:rsid w:val="00B6364C"/>
    <w:rsid w:val="00B65B71"/>
    <w:rsid w:val="00B6657F"/>
    <w:rsid w:val="00B67B62"/>
    <w:rsid w:val="00B70F94"/>
    <w:rsid w:val="00B7205D"/>
    <w:rsid w:val="00B7299C"/>
    <w:rsid w:val="00B72D6E"/>
    <w:rsid w:val="00B73E44"/>
    <w:rsid w:val="00B7761B"/>
    <w:rsid w:val="00B77A08"/>
    <w:rsid w:val="00B820FA"/>
    <w:rsid w:val="00B82CEB"/>
    <w:rsid w:val="00B82F39"/>
    <w:rsid w:val="00B8462C"/>
    <w:rsid w:val="00B84705"/>
    <w:rsid w:val="00B87E29"/>
    <w:rsid w:val="00B91535"/>
    <w:rsid w:val="00B932B6"/>
    <w:rsid w:val="00B93EA3"/>
    <w:rsid w:val="00B95355"/>
    <w:rsid w:val="00B956DE"/>
    <w:rsid w:val="00B9580E"/>
    <w:rsid w:val="00B95E3D"/>
    <w:rsid w:val="00B96020"/>
    <w:rsid w:val="00B969C8"/>
    <w:rsid w:val="00B9715D"/>
    <w:rsid w:val="00B977D3"/>
    <w:rsid w:val="00B97E1E"/>
    <w:rsid w:val="00BA0575"/>
    <w:rsid w:val="00BA0D93"/>
    <w:rsid w:val="00BA0E45"/>
    <w:rsid w:val="00BA2CCB"/>
    <w:rsid w:val="00BA2E27"/>
    <w:rsid w:val="00BA4A5C"/>
    <w:rsid w:val="00BA723E"/>
    <w:rsid w:val="00BA736A"/>
    <w:rsid w:val="00BB06F1"/>
    <w:rsid w:val="00BB0B61"/>
    <w:rsid w:val="00BB18E8"/>
    <w:rsid w:val="00BB2CB3"/>
    <w:rsid w:val="00BB3D20"/>
    <w:rsid w:val="00BB43FF"/>
    <w:rsid w:val="00BB44DD"/>
    <w:rsid w:val="00BB49A0"/>
    <w:rsid w:val="00BB6F00"/>
    <w:rsid w:val="00BB72E6"/>
    <w:rsid w:val="00BB788E"/>
    <w:rsid w:val="00BC16C8"/>
    <w:rsid w:val="00BC1C5E"/>
    <w:rsid w:val="00BC25F6"/>
    <w:rsid w:val="00BC29FC"/>
    <w:rsid w:val="00BC3C04"/>
    <w:rsid w:val="00BC3C0A"/>
    <w:rsid w:val="00BC419A"/>
    <w:rsid w:val="00BC4A34"/>
    <w:rsid w:val="00BC4F3B"/>
    <w:rsid w:val="00BC531B"/>
    <w:rsid w:val="00BC542A"/>
    <w:rsid w:val="00BC6700"/>
    <w:rsid w:val="00BC7D0B"/>
    <w:rsid w:val="00BD0816"/>
    <w:rsid w:val="00BD08AF"/>
    <w:rsid w:val="00BD0D42"/>
    <w:rsid w:val="00BD17B8"/>
    <w:rsid w:val="00BD2326"/>
    <w:rsid w:val="00BD5370"/>
    <w:rsid w:val="00BE2693"/>
    <w:rsid w:val="00BE2AFA"/>
    <w:rsid w:val="00BE2DA2"/>
    <w:rsid w:val="00BF31DB"/>
    <w:rsid w:val="00BF4421"/>
    <w:rsid w:val="00BF4445"/>
    <w:rsid w:val="00BF445F"/>
    <w:rsid w:val="00BF559D"/>
    <w:rsid w:val="00BF58D0"/>
    <w:rsid w:val="00BF5950"/>
    <w:rsid w:val="00BF788D"/>
    <w:rsid w:val="00C0011C"/>
    <w:rsid w:val="00C00E59"/>
    <w:rsid w:val="00C01FE2"/>
    <w:rsid w:val="00C0407C"/>
    <w:rsid w:val="00C04847"/>
    <w:rsid w:val="00C048DA"/>
    <w:rsid w:val="00C063FE"/>
    <w:rsid w:val="00C06655"/>
    <w:rsid w:val="00C114BD"/>
    <w:rsid w:val="00C11BA9"/>
    <w:rsid w:val="00C14A1F"/>
    <w:rsid w:val="00C14D64"/>
    <w:rsid w:val="00C17875"/>
    <w:rsid w:val="00C2155B"/>
    <w:rsid w:val="00C23B08"/>
    <w:rsid w:val="00C24290"/>
    <w:rsid w:val="00C24F82"/>
    <w:rsid w:val="00C27735"/>
    <w:rsid w:val="00C27AEB"/>
    <w:rsid w:val="00C27C15"/>
    <w:rsid w:val="00C31DD9"/>
    <w:rsid w:val="00C32F28"/>
    <w:rsid w:val="00C33131"/>
    <w:rsid w:val="00C336CD"/>
    <w:rsid w:val="00C34700"/>
    <w:rsid w:val="00C351E3"/>
    <w:rsid w:val="00C40482"/>
    <w:rsid w:val="00C407BC"/>
    <w:rsid w:val="00C420F0"/>
    <w:rsid w:val="00C438C5"/>
    <w:rsid w:val="00C46113"/>
    <w:rsid w:val="00C46301"/>
    <w:rsid w:val="00C50A9E"/>
    <w:rsid w:val="00C50E25"/>
    <w:rsid w:val="00C51A2D"/>
    <w:rsid w:val="00C51BFB"/>
    <w:rsid w:val="00C52F23"/>
    <w:rsid w:val="00C52F8A"/>
    <w:rsid w:val="00C5324A"/>
    <w:rsid w:val="00C53758"/>
    <w:rsid w:val="00C53812"/>
    <w:rsid w:val="00C55084"/>
    <w:rsid w:val="00C60FD4"/>
    <w:rsid w:val="00C62223"/>
    <w:rsid w:val="00C629E2"/>
    <w:rsid w:val="00C63603"/>
    <w:rsid w:val="00C63DDE"/>
    <w:rsid w:val="00C642C0"/>
    <w:rsid w:val="00C6582B"/>
    <w:rsid w:val="00C70895"/>
    <w:rsid w:val="00C720B7"/>
    <w:rsid w:val="00C72A60"/>
    <w:rsid w:val="00C7312D"/>
    <w:rsid w:val="00C734D5"/>
    <w:rsid w:val="00C73A6E"/>
    <w:rsid w:val="00C762B8"/>
    <w:rsid w:val="00C766F3"/>
    <w:rsid w:val="00C77277"/>
    <w:rsid w:val="00C80D42"/>
    <w:rsid w:val="00C8207A"/>
    <w:rsid w:val="00C82B59"/>
    <w:rsid w:val="00C8395A"/>
    <w:rsid w:val="00C842A9"/>
    <w:rsid w:val="00C8724D"/>
    <w:rsid w:val="00C90933"/>
    <w:rsid w:val="00C9120D"/>
    <w:rsid w:val="00C912F9"/>
    <w:rsid w:val="00C9255C"/>
    <w:rsid w:val="00C93D23"/>
    <w:rsid w:val="00C94167"/>
    <w:rsid w:val="00C94FA1"/>
    <w:rsid w:val="00C9553E"/>
    <w:rsid w:val="00C95FE4"/>
    <w:rsid w:val="00C97459"/>
    <w:rsid w:val="00C979EA"/>
    <w:rsid w:val="00C979FE"/>
    <w:rsid w:val="00CA0C7C"/>
    <w:rsid w:val="00CA1401"/>
    <w:rsid w:val="00CA1D8B"/>
    <w:rsid w:val="00CA3DF5"/>
    <w:rsid w:val="00CA3EC8"/>
    <w:rsid w:val="00CA5829"/>
    <w:rsid w:val="00CA5F10"/>
    <w:rsid w:val="00CA6E5B"/>
    <w:rsid w:val="00CA7AF2"/>
    <w:rsid w:val="00CB1495"/>
    <w:rsid w:val="00CB1ECB"/>
    <w:rsid w:val="00CB479F"/>
    <w:rsid w:val="00CB5618"/>
    <w:rsid w:val="00CB5C75"/>
    <w:rsid w:val="00CB65B6"/>
    <w:rsid w:val="00CB6D81"/>
    <w:rsid w:val="00CC388A"/>
    <w:rsid w:val="00CC4433"/>
    <w:rsid w:val="00CC51A2"/>
    <w:rsid w:val="00CC5315"/>
    <w:rsid w:val="00CC6E3B"/>
    <w:rsid w:val="00CC78A4"/>
    <w:rsid w:val="00CC7989"/>
    <w:rsid w:val="00CD1822"/>
    <w:rsid w:val="00CD1DFB"/>
    <w:rsid w:val="00CD2312"/>
    <w:rsid w:val="00CD3AFE"/>
    <w:rsid w:val="00CD4B9F"/>
    <w:rsid w:val="00CD4BE4"/>
    <w:rsid w:val="00CD5226"/>
    <w:rsid w:val="00CD5B2C"/>
    <w:rsid w:val="00CD5D4F"/>
    <w:rsid w:val="00CD74E7"/>
    <w:rsid w:val="00CD7A7E"/>
    <w:rsid w:val="00CE25F7"/>
    <w:rsid w:val="00CE35A4"/>
    <w:rsid w:val="00CE44EE"/>
    <w:rsid w:val="00CE4CBD"/>
    <w:rsid w:val="00CF1658"/>
    <w:rsid w:val="00CF5024"/>
    <w:rsid w:val="00CF565D"/>
    <w:rsid w:val="00CF7906"/>
    <w:rsid w:val="00D0016C"/>
    <w:rsid w:val="00D00328"/>
    <w:rsid w:val="00D02989"/>
    <w:rsid w:val="00D032C1"/>
    <w:rsid w:val="00D03866"/>
    <w:rsid w:val="00D050A2"/>
    <w:rsid w:val="00D07230"/>
    <w:rsid w:val="00D07BFD"/>
    <w:rsid w:val="00D118C0"/>
    <w:rsid w:val="00D11ACB"/>
    <w:rsid w:val="00D122B6"/>
    <w:rsid w:val="00D13394"/>
    <w:rsid w:val="00D14C77"/>
    <w:rsid w:val="00D15364"/>
    <w:rsid w:val="00D17466"/>
    <w:rsid w:val="00D17C6B"/>
    <w:rsid w:val="00D20C2D"/>
    <w:rsid w:val="00D20DC6"/>
    <w:rsid w:val="00D21110"/>
    <w:rsid w:val="00D2198B"/>
    <w:rsid w:val="00D22BD0"/>
    <w:rsid w:val="00D23926"/>
    <w:rsid w:val="00D23E40"/>
    <w:rsid w:val="00D23F8D"/>
    <w:rsid w:val="00D24785"/>
    <w:rsid w:val="00D24FA4"/>
    <w:rsid w:val="00D25954"/>
    <w:rsid w:val="00D26498"/>
    <w:rsid w:val="00D264A9"/>
    <w:rsid w:val="00D26788"/>
    <w:rsid w:val="00D2736D"/>
    <w:rsid w:val="00D274A5"/>
    <w:rsid w:val="00D301B4"/>
    <w:rsid w:val="00D322B6"/>
    <w:rsid w:val="00D32549"/>
    <w:rsid w:val="00D33CFE"/>
    <w:rsid w:val="00D34911"/>
    <w:rsid w:val="00D35AD1"/>
    <w:rsid w:val="00D35B2F"/>
    <w:rsid w:val="00D37796"/>
    <w:rsid w:val="00D37E42"/>
    <w:rsid w:val="00D40ADE"/>
    <w:rsid w:val="00D40B65"/>
    <w:rsid w:val="00D40C4F"/>
    <w:rsid w:val="00D40FCB"/>
    <w:rsid w:val="00D416AB"/>
    <w:rsid w:val="00D4178B"/>
    <w:rsid w:val="00D430B6"/>
    <w:rsid w:val="00D432E5"/>
    <w:rsid w:val="00D434B4"/>
    <w:rsid w:val="00D44089"/>
    <w:rsid w:val="00D4410F"/>
    <w:rsid w:val="00D46AA0"/>
    <w:rsid w:val="00D47527"/>
    <w:rsid w:val="00D504D7"/>
    <w:rsid w:val="00D50A3A"/>
    <w:rsid w:val="00D51D14"/>
    <w:rsid w:val="00D532AC"/>
    <w:rsid w:val="00D53719"/>
    <w:rsid w:val="00D54289"/>
    <w:rsid w:val="00D550D4"/>
    <w:rsid w:val="00D57E17"/>
    <w:rsid w:val="00D615FC"/>
    <w:rsid w:val="00D616A7"/>
    <w:rsid w:val="00D61A22"/>
    <w:rsid w:val="00D62059"/>
    <w:rsid w:val="00D63C48"/>
    <w:rsid w:val="00D63FE1"/>
    <w:rsid w:val="00D64CFC"/>
    <w:rsid w:val="00D651B5"/>
    <w:rsid w:val="00D66255"/>
    <w:rsid w:val="00D6789F"/>
    <w:rsid w:val="00D71448"/>
    <w:rsid w:val="00D71CED"/>
    <w:rsid w:val="00D7267D"/>
    <w:rsid w:val="00D740A3"/>
    <w:rsid w:val="00D747AB"/>
    <w:rsid w:val="00D76C2C"/>
    <w:rsid w:val="00D7789E"/>
    <w:rsid w:val="00D77DEB"/>
    <w:rsid w:val="00D77F85"/>
    <w:rsid w:val="00D77FD5"/>
    <w:rsid w:val="00D8003B"/>
    <w:rsid w:val="00D80179"/>
    <w:rsid w:val="00D83F19"/>
    <w:rsid w:val="00D87563"/>
    <w:rsid w:val="00D879D0"/>
    <w:rsid w:val="00D90163"/>
    <w:rsid w:val="00D92AB6"/>
    <w:rsid w:val="00D94989"/>
    <w:rsid w:val="00D94A10"/>
    <w:rsid w:val="00D96BE6"/>
    <w:rsid w:val="00D96F2F"/>
    <w:rsid w:val="00D97E8D"/>
    <w:rsid w:val="00D97F2A"/>
    <w:rsid w:val="00DA0961"/>
    <w:rsid w:val="00DA1198"/>
    <w:rsid w:val="00DA2078"/>
    <w:rsid w:val="00DA44EA"/>
    <w:rsid w:val="00DA4804"/>
    <w:rsid w:val="00DA511E"/>
    <w:rsid w:val="00DA540C"/>
    <w:rsid w:val="00DA5C6D"/>
    <w:rsid w:val="00DB0C06"/>
    <w:rsid w:val="00DB0EE4"/>
    <w:rsid w:val="00DB2121"/>
    <w:rsid w:val="00DB2BD1"/>
    <w:rsid w:val="00DB3F4C"/>
    <w:rsid w:val="00DB4E4A"/>
    <w:rsid w:val="00DB6653"/>
    <w:rsid w:val="00DB66FB"/>
    <w:rsid w:val="00DC138D"/>
    <w:rsid w:val="00DC16A7"/>
    <w:rsid w:val="00DC464E"/>
    <w:rsid w:val="00DC514F"/>
    <w:rsid w:val="00DC53A4"/>
    <w:rsid w:val="00DC6480"/>
    <w:rsid w:val="00DC6DE0"/>
    <w:rsid w:val="00DC6F14"/>
    <w:rsid w:val="00DD4D13"/>
    <w:rsid w:val="00DD59E1"/>
    <w:rsid w:val="00DD7130"/>
    <w:rsid w:val="00DE08B9"/>
    <w:rsid w:val="00DE0EE6"/>
    <w:rsid w:val="00DE1F1D"/>
    <w:rsid w:val="00DE2A3D"/>
    <w:rsid w:val="00DE4873"/>
    <w:rsid w:val="00DE6A90"/>
    <w:rsid w:val="00DE7DC5"/>
    <w:rsid w:val="00DF0111"/>
    <w:rsid w:val="00DF0112"/>
    <w:rsid w:val="00DF011B"/>
    <w:rsid w:val="00DF23B3"/>
    <w:rsid w:val="00DF2DA8"/>
    <w:rsid w:val="00DF39AB"/>
    <w:rsid w:val="00DF4B50"/>
    <w:rsid w:val="00DF6D21"/>
    <w:rsid w:val="00E0065C"/>
    <w:rsid w:val="00E00A73"/>
    <w:rsid w:val="00E037A1"/>
    <w:rsid w:val="00E03A45"/>
    <w:rsid w:val="00E04F05"/>
    <w:rsid w:val="00E05669"/>
    <w:rsid w:val="00E056DC"/>
    <w:rsid w:val="00E07313"/>
    <w:rsid w:val="00E07D9F"/>
    <w:rsid w:val="00E101CB"/>
    <w:rsid w:val="00E10677"/>
    <w:rsid w:val="00E11A48"/>
    <w:rsid w:val="00E124CD"/>
    <w:rsid w:val="00E126CA"/>
    <w:rsid w:val="00E13C40"/>
    <w:rsid w:val="00E15039"/>
    <w:rsid w:val="00E15FB6"/>
    <w:rsid w:val="00E17F21"/>
    <w:rsid w:val="00E2102D"/>
    <w:rsid w:val="00E21733"/>
    <w:rsid w:val="00E21B62"/>
    <w:rsid w:val="00E21BBA"/>
    <w:rsid w:val="00E242D0"/>
    <w:rsid w:val="00E314DC"/>
    <w:rsid w:val="00E326F3"/>
    <w:rsid w:val="00E32CFE"/>
    <w:rsid w:val="00E33A1C"/>
    <w:rsid w:val="00E34578"/>
    <w:rsid w:val="00E36A35"/>
    <w:rsid w:val="00E37C06"/>
    <w:rsid w:val="00E40627"/>
    <w:rsid w:val="00E40883"/>
    <w:rsid w:val="00E41ED2"/>
    <w:rsid w:val="00E43949"/>
    <w:rsid w:val="00E445B8"/>
    <w:rsid w:val="00E46000"/>
    <w:rsid w:val="00E503B5"/>
    <w:rsid w:val="00E50C78"/>
    <w:rsid w:val="00E51353"/>
    <w:rsid w:val="00E532C1"/>
    <w:rsid w:val="00E54BA9"/>
    <w:rsid w:val="00E5681B"/>
    <w:rsid w:val="00E56AB0"/>
    <w:rsid w:val="00E608A3"/>
    <w:rsid w:val="00E610B7"/>
    <w:rsid w:val="00E62BDB"/>
    <w:rsid w:val="00E6524A"/>
    <w:rsid w:val="00E665D8"/>
    <w:rsid w:val="00E66B9A"/>
    <w:rsid w:val="00E66BA3"/>
    <w:rsid w:val="00E6783B"/>
    <w:rsid w:val="00E67B97"/>
    <w:rsid w:val="00E74FE9"/>
    <w:rsid w:val="00E774FF"/>
    <w:rsid w:val="00E80D38"/>
    <w:rsid w:val="00E8101E"/>
    <w:rsid w:val="00E8137D"/>
    <w:rsid w:val="00E825B8"/>
    <w:rsid w:val="00E85312"/>
    <w:rsid w:val="00E8688F"/>
    <w:rsid w:val="00E86BD4"/>
    <w:rsid w:val="00E870F5"/>
    <w:rsid w:val="00E87183"/>
    <w:rsid w:val="00E91844"/>
    <w:rsid w:val="00E92251"/>
    <w:rsid w:val="00E937FB"/>
    <w:rsid w:val="00E93E64"/>
    <w:rsid w:val="00E95A07"/>
    <w:rsid w:val="00E96BCD"/>
    <w:rsid w:val="00E96D3D"/>
    <w:rsid w:val="00E97E8E"/>
    <w:rsid w:val="00EA0D70"/>
    <w:rsid w:val="00EA2540"/>
    <w:rsid w:val="00EA4EDD"/>
    <w:rsid w:val="00EA58B3"/>
    <w:rsid w:val="00EA7383"/>
    <w:rsid w:val="00EB0D24"/>
    <w:rsid w:val="00EB1168"/>
    <w:rsid w:val="00EB20FE"/>
    <w:rsid w:val="00EB3AA0"/>
    <w:rsid w:val="00EB43F7"/>
    <w:rsid w:val="00EB4560"/>
    <w:rsid w:val="00EB7F0D"/>
    <w:rsid w:val="00EB7FC6"/>
    <w:rsid w:val="00EC2054"/>
    <w:rsid w:val="00EC561F"/>
    <w:rsid w:val="00EC57DC"/>
    <w:rsid w:val="00EC628A"/>
    <w:rsid w:val="00EC7C2F"/>
    <w:rsid w:val="00ED01C3"/>
    <w:rsid w:val="00ED3320"/>
    <w:rsid w:val="00ED3873"/>
    <w:rsid w:val="00ED72B4"/>
    <w:rsid w:val="00EE06D1"/>
    <w:rsid w:val="00EE28BA"/>
    <w:rsid w:val="00EE2A3B"/>
    <w:rsid w:val="00EE3500"/>
    <w:rsid w:val="00EE38B7"/>
    <w:rsid w:val="00EE662C"/>
    <w:rsid w:val="00EE7518"/>
    <w:rsid w:val="00EF1001"/>
    <w:rsid w:val="00EF6013"/>
    <w:rsid w:val="00EF6826"/>
    <w:rsid w:val="00EF740A"/>
    <w:rsid w:val="00EF7F40"/>
    <w:rsid w:val="00F02011"/>
    <w:rsid w:val="00F04298"/>
    <w:rsid w:val="00F04C55"/>
    <w:rsid w:val="00F04D3E"/>
    <w:rsid w:val="00F055CD"/>
    <w:rsid w:val="00F10B2C"/>
    <w:rsid w:val="00F10D5B"/>
    <w:rsid w:val="00F11EDB"/>
    <w:rsid w:val="00F12A22"/>
    <w:rsid w:val="00F133A3"/>
    <w:rsid w:val="00F14194"/>
    <w:rsid w:val="00F1475C"/>
    <w:rsid w:val="00F14F50"/>
    <w:rsid w:val="00F23422"/>
    <w:rsid w:val="00F24A43"/>
    <w:rsid w:val="00F24E03"/>
    <w:rsid w:val="00F25432"/>
    <w:rsid w:val="00F256A3"/>
    <w:rsid w:val="00F25A6E"/>
    <w:rsid w:val="00F27BB0"/>
    <w:rsid w:val="00F30AD4"/>
    <w:rsid w:val="00F3141F"/>
    <w:rsid w:val="00F3173C"/>
    <w:rsid w:val="00F32761"/>
    <w:rsid w:val="00F344C7"/>
    <w:rsid w:val="00F355D1"/>
    <w:rsid w:val="00F36D02"/>
    <w:rsid w:val="00F40C89"/>
    <w:rsid w:val="00F42389"/>
    <w:rsid w:val="00F42979"/>
    <w:rsid w:val="00F432C0"/>
    <w:rsid w:val="00F43D62"/>
    <w:rsid w:val="00F457DD"/>
    <w:rsid w:val="00F47FC9"/>
    <w:rsid w:val="00F50EA4"/>
    <w:rsid w:val="00F5129A"/>
    <w:rsid w:val="00F5203C"/>
    <w:rsid w:val="00F52404"/>
    <w:rsid w:val="00F5356A"/>
    <w:rsid w:val="00F5450F"/>
    <w:rsid w:val="00F61D79"/>
    <w:rsid w:val="00F632D3"/>
    <w:rsid w:val="00F63BEE"/>
    <w:rsid w:val="00F6516C"/>
    <w:rsid w:val="00F66C39"/>
    <w:rsid w:val="00F67341"/>
    <w:rsid w:val="00F676C8"/>
    <w:rsid w:val="00F702BF"/>
    <w:rsid w:val="00F717ED"/>
    <w:rsid w:val="00F736DF"/>
    <w:rsid w:val="00F744EB"/>
    <w:rsid w:val="00F753F1"/>
    <w:rsid w:val="00F75765"/>
    <w:rsid w:val="00F761A0"/>
    <w:rsid w:val="00F76F35"/>
    <w:rsid w:val="00F774D1"/>
    <w:rsid w:val="00F811EF"/>
    <w:rsid w:val="00F819BF"/>
    <w:rsid w:val="00F8333E"/>
    <w:rsid w:val="00F850EC"/>
    <w:rsid w:val="00F865C4"/>
    <w:rsid w:val="00F86688"/>
    <w:rsid w:val="00F86849"/>
    <w:rsid w:val="00F8736D"/>
    <w:rsid w:val="00F90CF5"/>
    <w:rsid w:val="00F91AD3"/>
    <w:rsid w:val="00F92702"/>
    <w:rsid w:val="00F93BD9"/>
    <w:rsid w:val="00F94F94"/>
    <w:rsid w:val="00F96D34"/>
    <w:rsid w:val="00FA429E"/>
    <w:rsid w:val="00FA6B50"/>
    <w:rsid w:val="00FB2C1E"/>
    <w:rsid w:val="00FB592B"/>
    <w:rsid w:val="00FB748C"/>
    <w:rsid w:val="00FC04DD"/>
    <w:rsid w:val="00FC1FBB"/>
    <w:rsid w:val="00FC4673"/>
    <w:rsid w:val="00FC6616"/>
    <w:rsid w:val="00FC75C5"/>
    <w:rsid w:val="00FD16FC"/>
    <w:rsid w:val="00FD1E91"/>
    <w:rsid w:val="00FD2074"/>
    <w:rsid w:val="00FD3183"/>
    <w:rsid w:val="00FD35D5"/>
    <w:rsid w:val="00FD4152"/>
    <w:rsid w:val="00FD52AB"/>
    <w:rsid w:val="00FD5926"/>
    <w:rsid w:val="00FD6A78"/>
    <w:rsid w:val="00FD6D31"/>
    <w:rsid w:val="00FD753F"/>
    <w:rsid w:val="00FE24E8"/>
    <w:rsid w:val="00FE28D3"/>
    <w:rsid w:val="00FE32B4"/>
    <w:rsid w:val="00FE331E"/>
    <w:rsid w:val="00FE6161"/>
    <w:rsid w:val="00FF1941"/>
    <w:rsid w:val="00FF2E6C"/>
    <w:rsid w:val="00FF3EDC"/>
    <w:rsid w:val="00FF4728"/>
    <w:rsid w:val="00FF6C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BD8C313-5C81-445A-B3E9-212FE965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40DE"/>
    <w:pPr>
      <w:bidi/>
    </w:pPr>
    <w:rPr>
      <w:rFonts w:cs="Calibri"/>
    </w:rPr>
  </w:style>
  <w:style w:type="paragraph" w:styleId="1">
    <w:name w:val="heading 1"/>
    <w:basedOn w:val="a0"/>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680703"/>
    <w:pPr>
      <w:spacing w:after="0" w:line="240" w:lineRule="auto"/>
    </w:pPr>
    <w:rPr>
      <w:rFonts w:ascii="Tahoma" w:hAnsi="Tahoma" w:cs="Tahoma"/>
      <w:sz w:val="16"/>
      <w:szCs w:val="16"/>
    </w:rPr>
  </w:style>
  <w:style w:type="character" w:customStyle="1" w:styleId="a5">
    <w:name w:val="טקסט בלונים תו"/>
    <w:basedOn w:val="a1"/>
    <w:link w:val="a4"/>
    <w:uiPriority w:val="99"/>
    <w:semiHidden/>
    <w:rsid w:val="00680703"/>
    <w:rPr>
      <w:rFonts w:ascii="Tahoma" w:hAnsi="Tahoma" w:cs="Tahoma"/>
      <w:sz w:val="16"/>
      <w:szCs w:val="16"/>
    </w:rPr>
  </w:style>
  <w:style w:type="paragraph" w:styleId="a6">
    <w:name w:val="List Paragraph"/>
    <w:basedOn w:val="a0"/>
    <w:link w:val="a7"/>
    <w:uiPriority w:val="34"/>
    <w:qFormat/>
    <w:rsid w:val="00167449"/>
    <w:pPr>
      <w:ind w:left="720"/>
      <w:contextualSpacing/>
    </w:pPr>
  </w:style>
  <w:style w:type="character" w:styleId="a8">
    <w:name w:val="annotation reference"/>
    <w:basedOn w:val="a1"/>
    <w:unhideWhenUsed/>
    <w:rsid w:val="00EB43F7"/>
    <w:rPr>
      <w:sz w:val="16"/>
      <w:szCs w:val="16"/>
    </w:rPr>
  </w:style>
  <w:style w:type="paragraph" w:styleId="a9">
    <w:name w:val="annotation text"/>
    <w:basedOn w:val="a0"/>
    <w:link w:val="aa"/>
    <w:unhideWhenUsed/>
    <w:rsid w:val="00EB43F7"/>
    <w:pPr>
      <w:spacing w:line="240" w:lineRule="auto"/>
    </w:pPr>
    <w:rPr>
      <w:sz w:val="20"/>
      <w:szCs w:val="20"/>
    </w:rPr>
  </w:style>
  <w:style w:type="character" w:customStyle="1" w:styleId="aa">
    <w:name w:val="טקסט הערה תו"/>
    <w:basedOn w:val="a1"/>
    <w:link w:val="a9"/>
    <w:rsid w:val="00EB43F7"/>
    <w:rPr>
      <w:sz w:val="20"/>
      <w:szCs w:val="20"/>
    </w:rPr>
  </w:style>
  <w:style w:type="paragraph" w:styleId="ab">
    <w:name w:val="annotation subject"/>
    <w:basedOn w:val="a9"/>
    <w:next w:val="a9"/>
    <w:link w:val="ac"/>
    <w:uiPriority w:val="99"/>
    <w:semiHidden/>
    <w:unhideWhenUsed/>
    <w:rsid w:val="00EB43F7"/>
    <w:rPr>
      <w:b/>
      <w:bCs/>
    </w:rPr>
  </w:style>
  <w:style w:type="character" w:customStyle="1" w:styleId="ac">
    <w:name w:val="נושא הערה תו"/>
    <w:basedOn w:val="aa"/>
    <w:link w:val="ab"/>
    <w:uiPriority w:val="99"/>
    <w:semiHidden/>
    <w:rsid w:val="00EB43F7"/>
    <w:rPr>
      <w:b/>
      <w:bCs/>
      <w:sz w:val="20"/>
      <w:szCs w:val="20"/>
    </w:rPr>
  </w:style>
  <w:style w:type="character" w:styleId="Hyperlink">
    <w:name w:val="Hyperlink"/>
    <w:basedOn w:val="a1"/>
    <w:uiPriority w:val="99"/>
    <w:unhideWhenUsed/>
    <w:rsid w:val="00242CED"/>
    <w:rPr>
      <w:color w:val="0000FF" w:themeColor="hyperlink"/>
      <w:u w:val="single"/>
    </w:rPr>
  </w:style>
  <w:style w:type="paragraph" w:styleId="ad">
    <w:name w:val="header"/>
    <w:basedOn w:val="a0"/>
    <w:link w:val="ae"/>
    <w:uiPriority w:val="99"/>
    <w:unhideWhenUsed/>
    <w:rsid w:val="008755E3"/>
    <w:pPr>
      <w:tabs>
        <w:tab w:val="center" w:pos="4153"/>
        <w:tab w:val="right" w:pos="8306"/>
      </w:tabs>
      <w:spacing w:after="0" w:line="240" w:lineRule="auto"/>
    </w:pPr>
  </w:style>
  <w:style w:type="character" w:customStyle="1" w:styleId="ae">
    <w:name w:val="כותרת עליונה תו"/>
    <w:basedOn w:val="a1"/>
    <w:link w:val="ad"/>
    <w:uiPriority w:val="99"/>
    <w:rsid w:val="008755E3"/>
  </w:style>
  <w:style w:type="paragraph" w:styleId="af">
    <w:name w:val="footer"/>
    <w:basedOn w:val="a0"/>
    <w:link w:val="af0"/>
    <w:uiPriority w:val="99"/>
    <w:unhideWhenUsed/>
    <w:rsid w:val="008755E3"/>
    <w:pPr>
      <w:tabs>
        <w:tab w:val="center" w:pos="4153"/>
        <w:tab w:val="right" w:pos="8306"/>
      </w:tabs>
      <w:spacing w:after="0" w:line="240" w:lineRule="auto"/>
    </w:pPr>
  </w:style>
  <w:style w:type="character" w:customStyle="1" w:styleId="af0">
    <w:name w:val="כותרת תחתונה תו"/>
    <w:basedOn w:val="a1"/>
    <w:link w:val="af"/>
    <w:uiPriority w:val="99"/>
    <w:rsid w:val="008755E3"/>
  </w:style>
  <w:style w:type="character" w:styleId="FollowedHyperlink">
    <w:name w:val="FollowedHyperlink"/>
    <w:basedOn w:val="a1"/>
    <w:uiPriority w:val="99"/>
    <w:semiHidden/>
    <w:unhideWhenUsed/>
    <w:rsid w:val="00AC5D5B"/>
    <w:rPr>
      <w:color w:val="800080" w:themeColor="followedHyperlink"/>
      <w:u w:val="single"/>
    </w:rPr>
  </w:style>
  <w:style w:type="paragraph" w:styleId="af1">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0"/>
    <w:link w:val="af2"/>
    <w:uiPriority w:val="99"/>
    <w:unhideWhenUsed/>
    <w:qFormat/>
    <w:rsid w:val="006E5D28"/>
    <w:pPr>
      <w:spacing w:after="0" w:line="240" w:lineRule="auto"/>
    </w:pPr>
    <w:rPr>
      <w:sz w:val="20"/>
      <w:szCs w:val="20"/>
    </w:rPr>
  </w:style>
  <w:style w:type="character" w:customStyle="1" w:styleId="af2">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1"/>
    <w:link w:val="af1"/>
    <w:uiPriority w:val="99"/>
    <w:rsid w:val="006E5D28"/>
    <w:rPr>
      <w:sz w:val="20"/>
      <w:szCs w:val="20"/>
    </w:rPr>
  </w:style>
  <w:style w:type="character" w:styleId="af3">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iPriority w:val="99"/>
    <w:unhideWhenUsed/>
    <w:rsid w:val="006E5D28"/>
    <w:rPr>
      <w:vertAlign w:val="superscript"/>
    </w:rPr>
  </w:style>
  <w:style w:type="table" w:styleId="af4">
    <w:name w:val="Table Grid"/>
    <w:basedOn w:val="a2"/>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semiHidden/>
    <w:unhideWhenUsed/>
    <w:rsid w:val="00A71B6D"/>
    <w:rPr>
      <w:color w:val="605E5C"/>
      <w:shd w:val="clear" w:color="auto" w:fill="E1DFDD"/>
    </w:rPr>
  </w:style>
  <w:style w:type="paragraph" w:styleId="af5">
    <w:name w:val="Revision"/>
    <w:hidden/>
    <w:uiPriority w:val="99"/>
    <w:semiHidden/>
    <w:rsid w:val="0074544F"/>
    <w:pPr>
      <w:spacing w:after="0" w:line="240" w:lineRule="auto"/>
    </w:pPr>
  </w:style>
  <w:style w:type="paragraph" w:styleId="NormalWeb">
    <w:name w:val="Normal (Web)"/>
    <w:basedOn w:val="a0"/>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פיסקת רשימה תו"/>
    <w:basedOn w:val="a1"/>
    <w:link w:val="a6"/>
    <w:uiPriority w:val="34"/>
    <w:locked/>
    <w:rsid w:val="00C95FE4"/>
  </w:style>
  <w:style w:type="character" w:styleId="af6">
    <w:name w:val="Strong"/>
    <w:basedOn w:val="a1"/>
    <w:uiPriority w:val="22"/>
    <w:qFormat/>
    <w:rsid w:val="00DC16A7"/>
    <w:rPr>
      <w:b/>
      <w:bCs/>
    </w:rPr>
  </w:style>
  <w:style w:type="character" w:customStyle="1" w:styleId="ui-provider">
    <w:name w:val="ui-provider"/>
    <w:basedOn w:val="a1"/>
    <w:rsid w:val="00CA1D8B"/>
  </w:style>
  <w:style w:type="character" w:customStyle="1" w:styleId="10">
    <w:name w:val="כותרת 1 תו"/>
    <w:basedOn w:val="a1"/>
    <w:link w:val="1"/>
    <w:uiPriority w:val="9"/>
    <w:rsid w:val="00482E9C"/>
    <w:rPr>
      <w:rFonts w:ascii="Times New Roman" w:eastAsia="Times New Roman" w:hAnsi="Times New Roman" w:cs="Times New Roman"/>
      <w:b/>
      <w:bCs/>
      <w:kern w:val="36"/>
      <w:sz w:val="48"/>
      <w:szCs w:val="48"/>
    </w:rPr>
  </w:style>
  <w:style w:type="paragraph" w:styleId="af7">
    <w:name w:val="Title"/>
    <w:aliases w:val="איור כותרת ראשית"/>
    <w:basedOn w:val="1"/>
    <w:next w:val="a0"/>
    <w:link w:val="af8"/>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8">
    <w:name w:val="כותרת טקסט תו"/>
    <w:aliases w:val="איור כותרת ראשית תו"/>
    <w:basedOn w:val="a1"/>
    <w:link w:val="af7"/>
    <w:rsid w:val="000F40AF"/>
    <w:rPr>
      <w:rFonts w:ascii="Calibri" w:eastAsia="Times New Roman" w:hAnsi="Calibri" w:cs="Calibri"/>
      <w:b/>
      <w:bCs/>
      <w:sz w:val="24"/>
      <w:szCs w:val="24"/>
    </w:rPr>
  </w:style>
  <w:style w:type="paragraph" w:styleId="af9">
    <w:name w:val="Subtitle"/>
    <w:aliases w:val="איור כותרת משנה"/>
    <w:basedOn w:val="1"/>
    <w:next w:val="a0"/>
    <w:link w:val="afa"/>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a">
    <w:name w:val="כותרת משנה תו"/>
    <w:aliases w:val="איור כותרת משנה תו"/>
    <w:basedOn w:val="a1"/>
    <w:link w:val="af9"/>
    <w:rsid w:val="000F40AF"/>
    <w:rPr>
      <w:rFonts w:ascii="Calibri" w:eastAsia="Times New Roman" w:hAnsi="Calibri" w:cs="Calibri"/>
      <w:sz w:val="24"/>
      <w:szCs w:val="24"/>
    </w:rPr>
  </w:style>
  <w:style w:type="character" w:customStyle="1" w:styleId="20">
    <w:name w:val="כותרת 2 תו"/>
    <w:basedOn w:val="a1"/>
    <w:link w:val="2"/>
    <w:uiPriority w:val="9"/>
    <w:semiHidden/>
    <w:rsid w:val="001E6F06"/>
    <w:rPr>
      <w:rFonts w:asciiTheme="majorHAnsi" w:eastAsiaTheme="majorEastAsia" w:hAnsiTheme="majorHAnsi" w:cstheme="majorBidi"/>
      <w:color w:val="365F91" w:themeColor="accent1" w:themeShade="BF"/>
      <w:sz w:val="26"/>
      <w:szCs w:val="26"/>
    </w:rPr>
  </w:style>
  <w:style w:type="table" w:customStyle="1" w:styleId="21">
    <w:name w:val="טבלת רשת21"/>
    <w:basedOn w:val="a2"/>
    <w:next w:val="af4"/>
    <w:rsid w:val="0020253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כותרת ראשית"/>
    <w:basedOn w:val="a0"/>
    <w:next w:val="a0"/>
    <w:link w:val="afc"/>
    <w:qFormat/>
    <w:rsid w:val="00202530"/>
    <w:pPr>
      <w:spacing w:before="120" w:after="240" w:line="360" w:lineRule="auto"/>
      <w:ind w:left="23"/>
      <w:contextualSpacing/>
      <w:jc w:val="center"/>
      <w:outlineLvl w:val="0"/>
    </w:pPr>
    <w:rPr>
      <w:rFonts w:ascii="David" w:hAnsi="David" w:cs="David"/>
      <w:b/>
      <w:bCs/>
      <w:spacing w:val="5"/>
      <w:kern w:val="28"/>
      <w:sz w:val="28"/>
      <w:szCs w:val="28"/>
    </w:rPr>
  </w:style>
  <w:style w:type="paragraph" w:customStyle="1" w:styleId="a">
    <w:name w:val="כותרת משנה ממוספרת"/>
    <w:basedOn w:val="a0"/>
    <w:next w:val="a0"/>
    <w:link w:val="afd"/>
    <w:qFormat/>
    <w:rsid w:val="007C40DE"/>
    <w:pPr>
      <w:keepNext/>
      <w:numPr>
        <w:numId w:val="22"/>
      </w:numPr>
      <w:spacing w:before="240" w:after="120" w:line="360" w:lineRule="auto"/>
      <w:contextualSpacing/>
      <w:jc w:val="both"/>
    </w:pPr>
    <w:rPr>
      <w:rFonts w:asciiTheme="minorHAnsi" w:eastAsiaTheme="minorEastAsia" w:hAnsiTheme="minorHAnsi" w:cstheme="minorHAnsi"/>
      <w:bCs/>
      <w:sz w:val="28"/>
      <w:szCs w:val="24"/>
    </w:rPr>
  </w:style>
  <w:style w:type="character" w:customStyle="1" w:styleId="afc">
    <w:name w:val="כותרת ראשית תו"/>
    <w:basedOn w:val="a1"/>
    <w:link w:val="afb"/>
    <w:rsid w:val="00202530"/>
    <w:rPr>
      <w:rFonts w:ascii="David" w:hAnsi="David" w:cs="David"/>
      <w:b/>
      <w:bCs/>
      <w:spacing w:val="5"/>
      <w:kern w:val="28"/>
      <w:sz w:val="28"/>
      <w:szCs w:val="28"/>
    </w:rPr>
  </w:style>
  <w:style w:type="paragraph" w:customStyle="1" w:styleId="11">
    <w:name w:val="כותרת משנה רמה 1"/>
    <w:basedOn w:val="a0"/>
    <w:next w:val="a0"/>
    <w:link w:val="12"/>
    <w:qFormat/>
    <w:rsid w:val="00202530"/>
    <w:pPr>
      <w:keepNext/>
      <w:spacing w:before="240" w:after="120" w:line="360" w:lineRule="auto"/>
      <w:ind w:left="23"/>
      <w:contextualSpacing/>
      <w:jc w:val="both"/>
      <w:outlineLvl w:val="0"/>
    </w:pPr>
    <w:rPr>
      <w:rFonts w:ascii="David" w:eastAsia="Calibri" w:hAnsi="David" w:cs="David"/>
      <w:b/>
      <w:bCs/>
      <w:sz w:val="24"/>
      <w:szCs w:val="24"/>
    </w:rPr>
  </w:style>
  <w:style w:type="character" w:customStyle="1" w:styleId="afd">
    <w:name w:val="כותרת משנה ממוספרת תו"/>
    <w:basedOn w:val="a1"/>
    <w:link w:val="a"/>
    <w:rsid w:val="007C40DE"/>
    <w:rPr>
      <w:rFonts w:asciiTheme="minorHAnsi" w:eastAsiaTheme="minorEastAsia" w:hAnsiTheme="minorHAnsi" w:cstheme="minorHAnsi"/>
      <w:bCs/>
      <w:sz w:val="28"/>
      <w:szCs w:val="24"/>
    </w:rPr>
  </w:style>
  <w:style w:type="character" w:customStyle="1" w:styleId="12">
    <w:name w:val="כותרת משנה רמה 1 תו"/>
    <w:basedOn w:val="a1"/>
    <w:link w:val="11"/>
    <w:rsid w:val="00202530"/>
    <w:rPr>
      <w:rFonts w:ascii="David" w:eastAsia="Calibri" w:hAnsi="David"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873250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559286877">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15609522">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8834-F1F6-43B7-9B35-AB75B6BB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7773</Characters>
  <Application>Microsoft Office Word</Application>
  <DocSecurity>4</DocSecurity>
  <Lines>64</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עדי ברנדר</dc:creator>
  <cp:lastModifiedBy>מיטל רולניצקי</cp:lastModifiedBy>
  <cp:revision>2</cp:revision>
  <dcterms:created xsi:type="dcterms:W3CDTF">2025-07-07T12:34:00Z</dcterms:created>
  <dcterms:modified xsi:type="dcterms:W3CDTF">2025-07-07T12:34:00Z</dcterms:modified>
</cp:coreProperties>
</file>