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F47" w:rsidRPr="00E8008F" w:rsidRDefault="00B67716" w:rsidP="00B67716">
      <w:pPr>
        <w:jc w:val="center"/>
        <w:rPr>
          <w:rtl/>
        </w:rPr>
      </w:pPr>
      <w:r>
        <w:rPr>
          <w:noProof/>
        </w:rPr>
        <w:drawing>
          <wp:inline distT="0" distB="0" distL="0" distR="0" wp14:anchorId="47B2B4C0" wp14:editId="2DCCF966">
            <wp:extent cx="1060704" cy="1060704"/>
            <wp:effectExtent l="0" t="0" r="6350" b="6350"/>
            <wp:docPr id="4" name="Picture 4" descr="\\portals\DavWWWRoot\sites\boi\about\Mitug\DocList\Logo Bank of Israel 2 color\Logo Bank of Israel 2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ortals\DavWWWRoot\sites\boi\about\Mitug\DocList\Logo Bank of Israel 2 color\Logo Bank of Israel 2 c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362" cy="1063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523" w:rsidRPr="008E4D8E" w:rsidRDefault="00867523" w:rsidP="00867523">
      <w:pPr>
        <w:pStyle w:val="LetterheadBOI"/>
      </w:pPr>
      <w:r w:rsidRPr="008E4D8E">
        <w:t>BANK OF ISRAEL</w:t>
      </w:r>
    </w:p>
    <w:p w:rsidR="00867523" w:rsidRPr="008E4D8E" w:rsidRDefault="00867523" w:rsidP="00867523">
      <w:pPr>
        <w:pStyle w:val="Letterhead2"/>
        <w:rPr>
          <w:b/>
        </w:rPr>
      </w:pPr>
      <w:r w:rsidRPr="008E4D8E">
        <w:t>Office of the Spokesperson and Economic Information</w:t>
      </w:r>
    </w:p>
    <w:p w:rsidR="00867523" w:rsidRDefault="00867523" w:rsidP="00894F8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BD6B80" w:rsidRDefault="00177492" w:rsidP="009C5835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  <w:r w:rsidRPr="00CD6A95">
        <w:rPr>
          <w:rFonts w:asciiTheme="majorBidi" w:hAnsiTheme="majorBidi" w:cstheme="majorBidi"/>
          <w:sz w:val="24"/>
          <w:szCs w:val="24"/>
        </w:rPr>
        <w:t xml:space="preserve">September </w:t>
      </w:r>
      <w:r w:rsidR="00BB63CD" w:rsidRPr="00CD6A95">
        <w:rPr>
          <w:rFonts w:asciiTheme="majorBidi" w:hAnsiTheme="majorBidi" w:cstheme="majorBidi" w:hint="cs"/>
          <w:sz w:val="24"/>
          <w:szCs w:val="24"/>
          <w:rtl/>
        </w:rPr>
        <w:t>22</w:t>
      </w:r>
      <w:r w:rsidR="00BD6B80" w:rsidRPr="00CD6A95">
        <w:rPr>
          <w:rFonts w:asciiTheme="majorBidi" w:hAnsiTheme="majorBidi" w:cstheme="majorBidi"/>
          <w:sz w:val="24"/>
          <w:szCs w:val="24"/>
        </w:rPr>
        <w:t>, 2019</w:t>
      </w:r>
    </w:p>
    <w:p w:rsidR="00BD6B80" w:rsidRDefault="00BD6B80" w:rsidP="00BD6B80">
      <w:pPr>
        <w:spacing w:after="0" w:line="240" w:lineRule="auto"/>
        <w:jc w:val="right"/>
      </w:pPr>
    </w:p>
    <w:p w:rsidR="00BD6B80" w:rsidRPr="009C5835" w:rsidRDefault="00BD6B80" w:rsidP="009C5835">
      <w:pPr>
        <w:pStyle w:val="PressReleaseTitle"/>
        <w:rPr>
          <w:b w:val="0"/>
          <w:bCs w:val="0"/>
          <w:sz w:val="24"/>
          <w:szCs w:val="24"/>
        </w:rPr>
      </w:pPr>
      <w:r w:rsidRPr="009C5835">
        <w:rPr>
          <w:b w:val="0"/>
          <w:bCs w:val="0"/>
          <w:sz w:val="24"/>
          <w:szCs w:val="24"/>
        </w:rPr>
        <w:t>Press Release</w:t>
      </w:r>
      <w:r w:rsidR="009C5835">
        <w:rPr>
          <w:b w:val="0"/>
          <w:bCs w:val="0"/>
          <w:sz w:val="24"/>
          <w:szCs w:val="24"/>
        </w:rPr>
        <w:t>:</w:t>
      </w:r>
    </w:p>
    <w:p w:rsidR="00BD6B80" w:rsidRPr="0094738B" w:rsidRDefault="00BD6B80" w:rsidP="00BD6B80">
      <w:pPr>
        <w:pStyle w:val="PressReleaseTitle"/>
      </w:pPr>
    </w:p>
    <w:p w:rsidR="00BD6B80" w:rsidRPr="009C5835" w:rsidRDefault="00BD6B80" w:rsidP="00091824">
      <w:pPr>
        <w:pStyle w:val="PressReleaseTitle"/>
        <w:rPr>
          <w:sz w:val="28"/>
          <w:szCs w:val="28"/>
        </w:rPr>
      </w:pPr>
      <w:r w:rsidRPr="009C5835">
        <w:rPr>
          <w:sz w:val="28"/>
          <w:szCs w:val="28"/>
        </w:rPr>
        <w:t xml:space="preserve">Debt Developments in the Nonfinancial Private Sector, </w:t>
      </w:r>
    </w:p>
    <w:p w:rsidR="00BD6B80" w:rsidRPr="009C5835" w:rsidRDefault="00091824" w:rsidP="00091824">
      <w:pPr>
        <w:pStyle w:val="PressReleaseTitle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9C5835">
        <w:rPr>
          <w:sz w:val="28"/>
          <w:szCs w:val="28"/>
        </w:rPr>
        <w:t xml:space="preserve">Second </w:t>
      </w:r>
      <w:r w:rsidR="00BD6B80" w:rsidRPr="009C5835">
        <w:rPr>
          <w:sz w:val="28"/>
          <w:szCs w:val="28"/>
        </w:rPr>
        <w:t>Quarter of 201</w:t>
      </w:r>
      <w:r w:rsidR="00BD6B80" w:rsidRPr="009C5835">
        <w:rPr>
          <w:rFonts w:asciiTheme="majorBidi" w:hAnsiTheme="majorBidi" w:cstheme="majorBidi"/>
          <w:sz w:val="28"/>
          <w:szCs w:val="28"/>
        </w:rPr>
        <w:t>9</w:t>
      </w:r>
    </w:p>
    <w:p w:rsidR="00BD6B80" w:rsidRDefault="00BD6B80" w:rsidP="00BD6B8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BD6B80" w:rsidRDefault="00BD6B80" w:rsidP="00BD6B8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BD6B80" w:rsidRDefault="00BD6B80" w:rsidP="009765C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D63D0">
        <w:rPr>
          <w:rFonts w:asciiTheme="majorBidi" w:hAnsiTheme="majorBidi" w:cstheme="majorBidi"/>
          <w:sz w:val="24"/>
          <w:szCs w:val="24"/>
        </w:rPr>
        <w:t xml:space="preserve">In the </w:t>
      </w:r>
      <w:r w:rsidR="00091824">
        <w:rPr>
          <w:rFonts w:asciiTheme="majorBidi" w:hAnsiTheme="majorBidi" w:cstheme="majorBidi"/>
          <w:sz w:val="24"/>
          <w:szCs w:val="24"/>
        </w:rPr>
        <w:t>second quarter</w:t>
      </w:r>
      <w:r w:rsidRPr="00FD63D0">
        <w:rPr>
          <w:rFonts w:asciiTheme="majorBidi" w:hAnsiTheme="majorBidi" w:cstheme="majorBidi"/>
          <w:sz w:val="24"/>
          <w:szCs w:val="24"/>
        </w:rPr>
        <w:t xml:space="preserve"> of </w:t>
      </w:r>
      <w:r>
        <w:rPr>
          <w:rFonts w:asciiTheme="majorBidi" w:hAnsiTheme="majorBidi" w:cstheme="majorBidi"/>
          <w:sz w:val="24"/>
          <w:szCs w:val="24"/>
        </w:rPr>
        <w:t>2019</w:t>
      </w:r>
      <w:r w:rsidRPr="00FD63D0">
        <w:rPr>
          <w:rFonts w:asciiTheme="majorBidi" w:hAnsiTheme="majorBidi" w:cstheme="majorBidi"/>
          <w:sz w:val="24"/>
          <w:szCs w:val="24"/>
        </w:rPr>
        <w:t>, the balance 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nonfinancial private sector debt</w:t>
      </w:r>
      <w:r>
        <w:rPr>
          <w:rFonts w:asciiTheme="majorBidi" w:hAnsiTheme="majorBidi" w:cstheme="majorBidi"/>
          <w:sz w:val="24"/>
          <w:szCs w:val="24"/>
        </w:rPr>
        <w:t xml:space="preserve"> increased by approximately NIS </w:t>
      </w:r>
      <w:r w:rsidR="00091824">
        <w:rPr>
          <w:rFonts w:asciiTheme="majorBidi" w:hAnsiTheme="majorBidi" w:cstheme="majorBidi"/>
          <w:sz w:val="24"/>
          <w:szCs w:val="24"/>
        </w:rPr>
        <w:t>14</w:t>
      </w:r>
      <w:r>
        <w:rPr>
          <w:rFonts w:asciiTheme="majorBidi" w:hAnsiTheme="majorBidi" w:cstheme="majorBidi"/>
          <w:sz w:val="24"/>
          <w:szCs w:val="24"/>
        </w:rPr>
        <w:t xml:space="preserve"> billion (1</w:t>
      </w:r>
      <w:r w:rsidR="0009182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percent) to about NIS 1.5 trillion. Most of the increase came from </w:t>
      </w:r>
      <w:r w:rsidR="009765C3">
        <w:rPr>
          <w:rFonts w:asciiTheme="majorBidi" w:hAnsiTheme="majorBidi" w:cstheme="majorBidi"/>
          <w:sz w:val="24"/>
          <w:szCs w:val="24"/>
        </w:rPr>
        <w:t xml:space="preserve">growth </w:t>
      </w:r>
      <w:r>
        <w:rPr>
          <w:rFonts w:asciiTheme="majorBidi" w:hAnsiTheme="majorBidi" w:cstheme="majorBidi"/>
          <w:sz w:val="24"/>
          <w:szCs w:val="24"/>
        </w:rPr>
        <w:t>in the balance of</w:t>
      </w:r>
      <w:r w:rsidRPr="00FD63D0">
        <w:rPr>
          <w:rFonts w:asciiTheme="majorBidi" w:hAnsiTheme="majorBidi" w:cstheme="majorBidi"/>
          <w:sz w:val="24"/>
          <w:szCs w:val="24"/>
        </w:rPr>
        <w:t xml:space="preserve"> </w:t>
      </w:r>
      <w:r w:rsidR="00091824" w:rsidRPr="00091824">
        <w:rPr>
          <w:rFonts w:asciiTheme="majorBidi" w:hAnsiTheme="majorBidi" w:cstheme="majorBidi"/>
          <w:b/>
          <w:bCs/>
          <w:sz w:val="24"/>
          <w:szCs w:val="24"/>
        </w:rPr>
        <w:t>household</w:t>
      </w:r>
      <w:r w:rsidR="00091824">
        <w:rPr>
          <w:rFonts w:asciiTheme="majorBidi" w:hAnsiTheme="majorBidi" w:cstheme="majorBidi"/>
          <w:sz w:val="24"/>
          <w:szCs w:val="24"/>
        </w:rPr>
        <w:t xml:space="preserve"> </w:t>
      </w:r>
      <w:r w:rsidRPr="002C15A3">
        <w:rPr>
          <w:rFonts w:asciiTheme="majorBidi" w:hAnsiTheme="majorBidi" w:cstheme="majorBidi"/>
          <w:b/>
          <w:bCs/>
          <w:sz w:val="24"/>
          <w:szCs w:val="24"/>
        </w:rPr>
        <w:t>debt</w:t>
      </w:r>
      <w:r w:rsidRPr="00FD63D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(</w:t>
      </w:r>
      <w:r w:rsidR="00091824">
        <w:rPr>
          <w:rFonts w:asciiTheme="majorBidi" w:hAnsiTheme="majorBidi" w:cstheme="majorBidi"/>
          <w:sz w:val="24"/>
          <w:szCs w:val="24"/>
        </w:rPr>
        <w:t xml:space="preserve">approximately </w:t>
      </w:r>
      <w:r w:rsidRPr="00FD63D0">
        <w:rPr>
          <w:rFonts w:asciiTheme="majorBidi" w:hAnsiTheme="majorBidi" w:cstheme="majorBidi"/>
          <w:sz w:val="24"/>
          <w:szCs w:val="24"/>
        </w:rPr>
        <w:t xml:space="preserve">NIS </w:t>
      </w:r>
      <w:r>
        <w:rPr>
          <w:rFonts w:asciiTheme="majorBidi" w:hAnsiTheme="majorBidi" w:cstheme="majorBidi"/>
          <w:sz w:val="24"/>
          <w:szCs w:val="24"/>
        </w:rPr>
        <w:t xml:space="preserve">9 </w:t>
      </w:r>
      <w:r w:rsidRPr="00FD63D0">
        <w:rPr>
          <w:rFonts w:asciiTheme="majorBidi" w:hAnsiTheme="majorBidi" w:cstheme="majorBidi"/>
          <w:sz w:val="24"/>
          <w:szCs w:val="24"/>
        </w:rPr>
        <w:t>billion</w:t>
      </w:r>
      <w:r>
        <w:rPr>
          <w:rFonts w:asciiTheme="majorBidi" w:hAnsiTheme="majorBidi" w:cstheme="majorBidi"/>
          <w:sz w:val="24"/>
          <w:szCs w:val="24"/>
        </w:rPr>
        <w:t>;</w:t>
      </w:r>
      <w:r w:rsidRPr="00FD63D0">
        <w:rPr>
          <w:rFonts w:asciiTheme="majorBidi" w:hAnsiTheme="majorBidi" w:cstheme="majorBidi"/>
          <w:sz w:val="24"/>
          <w:szCs w:val="24"/>
        </w:rPr>
        <w:t xml:space="preserve"> </w:t>
      </w:r>
      <w:r w:rsidR="00091824">
        <w:rPr>
          <w:rFonts w:asciiTheme="majorBidi" w:hAnsiTheme="majorBidi" w:cstheme="majorBidi"/>
          <w:sz w:val="24"/>
          <w:szCs w:val="24"/>
        </w:rPr>
        <w:t>1.7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D63D0">
        <w:rPr>
          <w:rFonts w:asciiTheme="majorBidi" w:hAnsiTheme="majorBidi" w:cstheme="majorBidi"/>
          <w:sz w:val="24"/>
          <w:szCs w:val="24"/>
        </w:rPr>
        <w:t>percent)</w:t>
      </w:r>
      <w:r w:rsidR="00091824">
        <w:rPr>
          <w:rFonts w:asciiTheme="majorBidi" w:hAnsiTheme="majorBidi" w:cstheme="majorBidi"/>
          <w:sz w:val="24"/>
          <w:szCs w:val="24"/>
        </w:rPr>
        <w:t xml:space="preserve">, most of which </w:t>
      </w:r>
      <w:r>
        <w:rPr>
          <w:rFonts w:asciiTheme="majorBidi" w:hAnsiTheme="majorBidi" w:cstheme="majorBidi"/>
          <w:sz w:val="24"/>
          <w:szCs w:val="24"/>
        </w:rPr>
        <w:t xml:space="preserve">was in housing debt. </w:t>
      </w:r>
    </w:p>
    <w:p w:rsidR="00BD6B80" w:rsidRDefault="00BD6B80" w:rsidP="00BD6B8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BD6B80" w:rsidRPr="00645AA6" w:rsidRDefault="00BD6B80" w:rsidP="00BD6B80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45AA6"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nonfinancial </w:t>
      </w:r>
      <w:r w:rsidRPr="00645AA6">
        <w:rPr>
          <w:rFonts w:asciiTheme="majorBidi" w:hAnsiTheme="majorBidi" w:cstheme="majorBidi"/>
          <w:b/>
          <w:bCs/>
          <w:sz w:val="24"/>
          <w:szCs w:val="24"/>
        </w:rPr>
        <w:t>business sector’s outstanding debt</w:t>
      </w:r>
      <w:r>
        <w:rPr>
          <w:rStyle w:val="ad"/>
          <w:rFonts w:asciiTheme="majorBidi" w:hAnsiTheme="majorBidi" w:cstheme="majorBidi"/>
          <w:b/>
          <w:bCs/>
          <w:sz w:val="24"/>
          <w:szCs w:val="24"/>
        </w:rPr>
        <w:footnoteReference w:id="1"/>
      </w:r>
    </w:p>
    <w:p w:rsidR="00BD6B80" w:rsidRDefault="00BD6B80" w:rsidP="00321F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F1D39">
        <w:rPr>
          <w:rFonts w:asciiTheme="majorBidi" w:hAnsiTheme="majorBidi" w:cstheme="majorBidi"/>
          <w:sz w:val="24"/>
          <w:szCs w:val="24"/>
        </w:rPr>
        <w:t xml:space="preserve">In the </w:t>
      </w:r>
      <w:r w:rsidR="00091824">
        <w:rPr>
          <w:rFonts w:asciiTheme="majorBidi" w:hAnsiTheme="majorBidi" w:cstheme="majorBidi"/>
          <w:sz w:val="24"/>
          <w:szCs w:val="24"/>
        </w:rPr>
        <w:t>second quarter</w:t>
      </w:r>
      <w:r w:rsidRPr="00BF1D39">
        <w:rPr>
          <w:rFonts w:asciiTheme="majorBidi" w:hAnsiTheme="majorBidi" w:cstheme="majorBidi"/>
          <w:sz w:val="24"/>
          <w:szCs w:val="24"/>
        </w:rPr>
        <w:t xml:space="preserve"> of </w:t>
      </w:r>
      <w:r>
        <w:rPr>
          <w:rFonts w:asciiTheme="majorBidi" w:hAnsiTheme="majorBidi" w:cstheme="majorBidi"/>
          <w:sz w:val="24"/>
          <w:szCs w:val="24"/>
        </w:rPr>
        <w:t>2019</w:t>
      </w:r>
      <w:r w:rsidRPr="00BF1D39">
        <w:rPr>
          <w:rFonts w:asciiTheme="majorBidi" w:hAnsiTheme="majorBidi" w:cstheme="majorBidi"/>
          <w:sz w:val="24"/>
          <w:szCs w:val="24"/>
        </w:rPr>
        <w:t xml:space="preserve">, the balance of business sector debt </w:t>
      </w:r>
      <w:r>
        <w:rPr>
          <w:rFonts w:asciiTheme="majorBidi" w:hAnsiTheme="majorBidi" w:cstheme="majorBidi"/>
          <w:sz w:val="24"/>
          <w:szCs w:val="24"/>
        </w:rPr>
        <w:t>in</w:t>
      </w:r>
      <w:r w:rsidRPr="00BF1D39">
        <w:rPr>
          <w:rFonts w:asciiTheme="majorBidi" w:hAnsiTheme="majorBidi" w:cstheme="majorBidi"/>
          <w:sz w:val="24"/>
          <w:szCs w:val="24"/>
        </w:rPr>
        <w:t>creased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F1D39">
        <w:rPr>
          <w:rFonts w:asciiTheme="majorBidi" w:hAnsiTheme="majorBidi" w:cstheme="majorBidi"/>
          <w:sz w:val="24"/>
          <w:szCs w:val="24"/>
        </w:rPr>
        <w:t>by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F1D39">
        <w:rPr>
          <w:rFonts w:asciiTheme="majorBidi" w:hAnsiTheme="majorBidi" w:cstheme="majorBidi"/>
          <w:sz w:val="24"/>
          <w:szCs w:val="24"/>
        </w:rPr>
        <w:t>approximately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F1D39">
        <w:rPr>
          <w:rFonts w:asciiTheme="majorBidi" w:hAnsiTheme="majorBidi" w:cstheme="majorBidi"/>
          <w:sz w:val="24"/>
          <w:szCs w:val="24"/>
        </w:rPr>
        <w:t xml:space="preserve">NIS </w:t>
      </w:r>
      <w:r w:rsidR="005C58AB">
        <w:rPr>
          <w:rFonts w:asciiTheme="majorBidi" w:hAnsiTheme="majorBidi" w:cstheme="majorBidi"/>
          <w:sz w:val="24"/>
          <w:szCs w:val="24"/>
        </w:rPr>
        <w:t xml:space="preserve">5 </w:t>
      </w:r>
      <w:r w:rsidRPr="00BF1D39">
        <w:rPr>
          <w:rFonts w:asciiTheme="majorBidi" w:hAnsiTheme="majorBidi" w:cstheme="majorBidi"/>
          <w:sz w:val="24"/>
          <w:szCs w:val="24"/>
        </w:rPr>
        <w:t>billion (</w:t>
      </w:r>
      <w:r w:rsidR="005C58AB">
        <w:rPr>
          <w:rFonts w:asciiTheme="majorBidi" w:hAnsiTheme="majorBidi" w:cstheme="majorBidi"/>
          <w:sz w:val="24"/>
          <w:szCs w:val="24"/>
        </w:rPr>
        <w:t xml:space="preserve">0.5 </w:t>
      </w:r>
      <w:r w:rsidRPr="00BF1D39">
        <w:rPr>
          <w:rFonts w:asciiTheme="majorBidi" w:hAnsiTheme="majorBidi" w:cstheme="majorBidi"/>
          <w:sz w:val="24"/>
          <w:szCs w:val="24"/>
        </w:rPr>
        <w:t xml:space="preserve">percent), to NIS </w:t>
      </w:r>
      <w:r>
        <w:rPr>
          <w:rFonts w:asciiTheme="majorBidi" w:hAnsiTheme="majorBidi" w:cstheme="majorBidi"/>
          <w:sz w:val="24"/>
          <w:szCs w:val="24"/>
        </w:rPr>
        <w:t>94</w:t>
      </w:r>
      <w:r w:rsidR="005C58AB">
        <w:rPr>
          <w:rFonts w:asciiTheme="majorBidi" w:hAnsiTheme="majorBidi" w:cstheme="majorBidi"/>
          <w:sz w:val="24"/>
          <w:szCs w:val="24"/>
        </w:rPr>
        <w:t>8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F1D39">
        <w:rPr>
          <w:rFonts w:asciiTheme="majorBidi" w:hAnsiTheme="majorBidi" w:cstheme="majorBidi"/>
          <w:sz w:val="24"/>
          <w:szCs w:val="24"/>
        </w:rPr>
        <w:t>billion</w:t>
      </w:r>
      <w:r>
        <w:rPr>
          <w:rFonts w:asciiTheme="majorBidi" w:hAnsiTheme="majorBidi" w:cstheme="majorBidi"/>
          <w:sz w:val="24"/>
          <w:szCs w:val="24"/>
        </w:rPr>
        <w:t xml:space="preserve">. The increase </w:t>
      </w:r>
      <w:r w:rsidR="005C58AB">
        <w:rPr>
          <w:rFonts w:asciiTheme="majorBidi" w:hAnsiTheme="majorBidi" w:cstheme="majorBidi"/>
          <w:sz w:val="24"/>
          <w:szCs w:val="24"/>
        </w:rPr>
        <w:t xml:space="preserve">derived from </w:t>
      </w:r>
      <w:r>
        <w:rPr>
          <w:rFonts w:asciiTheme="majorBidi" w:hAnsiTheme="majorBidi" w:cstheme="majorBidi"/>
          <w:sz w:val="24"/>
          <w:szCs w:val="24"/>
        </w:rPr>
        <w:t xml:space="preserve">quantitative </w:t>
      </w:r>
      <w:r w:rsidR="005C58AB">
        <w:rPr>
          <w:rFonts w:asciiTheme="majorBidi" w:hAnsiTheme="majorBidi" w:cstheme="majorBidi"/>
          <w:sz w:val="24"/>
          <w:szCs w:val="24"/>
        </w:rPr>
        <w:t xml:space="preserve">growth </w:t>
      </w:r>
      <w:r w:rsidR="005C58AB" w:rsidRPr="0011285C">
        <w:rPr>
          <w:rFonts w:asciiTheme="majorBidi" w:hAnsiTheme="majorBidi" w:cstheme="majorBidi"/>
          <w:sz w:val="24"/>
          <w:szCs w:val="24"/>
        </w:rPr>
        <w:t>in all financing channels</w:t>
      </w:r>
      <w:r w:rsidR="005C58AB">
        <w:rPr>
          <w:rFonts w:asciiTheme="majorBidi" w:hAnsiTheme="majorBidi" w:cstheme="majorBidi"/>
          <w:sz w:val="24"/>
          <w:szCs w:val="24"/>
        </w:rPr>
        <w:t xml:space="preserve">, which totaled </w:t>
      </w:r>
      <w:r w:rsidR="00321F7D" w:rsidRPr="00BF1D39">
        <w:rPr>
          <w:rFonts w:asciiTheme="majorBidi" w:hAnsiTheme="majorBidi" w:cstheme="majorBidi"/>
          <w:sz w:val="24"/>
          <w:szCs w:val="24"/>
        </w:rPr>
        <w:t>approximately</w:t>
      </w:r>
      <w:r w:rsidR="00321F7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NIS </w:t>
      </w:r>
      <w:r w:rsidR="005C58AB">
        <w:rPr>
          <w:rFonts w:asciiTheme="majorBidi" w:hAnsiTheme="majorBidi" w:cstheme="majorBidi"/>
          <w:sz w:val="24"/>
          <w:szCs w:val="24"/>
        </w:rPr>
        <w:t>9</w:t>
      </w:r>
      <w:r>
        <w:rPr>
          <w:rFonts w:asciiTheme="majorBidi" w:hAnsiTheme="majorBidi" w:cstheme="majorBidi"/>
          <w:sz w:val="24"/>
          <w:szCs w:val="24"/>
        </w:rPr>
        <w:t xml:space="preserve"> billion, and </w:t>
      </w:r>
      <w:r w:rsidR="005C58AB">
        <w:rPr>
          <w:rFonts w:asciiTheme="majorBidi" w:hAnsiTheme="majorBidi" w:cstheme="majorBidi"/>
          <w:sz w:val="24"/>
          <w:szCs w:val="24"/>
        </w:rPr>
        <w:t xml:space="preserve">that </w:t>
      </w:r>
      <w:r>
        <w:rPr>
          <w:rFonts w:asciiTheme="majorBidi" w:hAnsiTheme="majorBidi" w:cstheme="majorBidi"/>
          <w:sz w:val="24"/>
          <w:szCs w:val="24"/>
        </w:rPr>
        <w:t xml:space="preserve">was </w:t>
      </w:r>
      <w:r w:rsidR="005C58AB">
        <w:rPr>
          <w:rFonts w:asciiTheme="majorBidi" w:hAnsiTheme="majorBidi" w:cstheme="majorBidi"/>
          <w:sz w:val="24"/>
          <w:szCs w:val="24"/>
        </w:rPr>
        <w:t xml:space="preserve">made up </w:t>
      </w:r>
      <w:r w:rsidR="0071131A">
        <w:rPr>
          <w:rFonts w:asciiTheme="majorBidi" w:hAnsiTheme="majorBidi" w:cstheme="majorBidi"/>
          <w:sz w:val="24"/>
          <w:szCs w:val="24"/>
        </w:rPr>
        <w:t xml:space="preserve">primarily </w:t>
      </w:r>
      <w:r>
        <w:rPr>
          <w:rFonts w:asciiTheme="majorBidi" w:hAnsiTheme="majorBidi" w:cstheme="majorBidi"/>
          <w:sz w:val="24"/>
          <w:szCs w:val="24"/>
        </w:rPr>
        <w:t xml:space="preserve">of bank loans and </w:t>
      </w:r>
      <w:r w:rsidR="0071131A">
        <w:rPr>
          <w:rFonts w:asciiTheme="majorBidi" w:hAnsiTheme="majorBidi" w:cstheme="majorBidi"/>
          <w:sz w:val="24"/>
          <w:szCs w:val="24"/>
        </w:rPr>
        <w:t xml:space="preserve">nonbank </w:t>
      </w:r>
      <w:r>
        <w:rPr>
          <w:rFonts w:asciiTheme="majorBidi" w:hAnsiTheme="majorBidi" w:cstheme="majorBidi"/>
          <w:sz w:val="24"/>
          <w:szCs w:val="24"/>
        </w:rPr>
        <w:t xml:space="preserve">loans. This increase was partly offset by a </w:t>
      </w:r>
      <w:r w:rsidR="0071131A">
        <w:rPr>
          <w:rFonts w:asciiTheme="majorBidi" w:hAnsiTheme="majorBidi" w:cstheme="majorBidi"/>
          <w:sz w:val="24"/>
          <w:szCs w:val="24"/>
        </w:rPr>
        <w:t xml:space="preserve">1.8 </w:t>
      </w:r>
      <w:r>
        <w:rPr>
          <w:rFonts w:asciiTheme="majorBidi" w:hAnsiTheme="majorBidi" w:cstheme="majorBidi"/>
          <w:sz w:val="24"/>
          <w:szCs w:val="24"/>
        </w:rPr>
        <w:t xml:space="preserve">percent appreciation of the shekel against the dollar, which </w:t>
      </w:r>
      <w:r w:rsidR="0071131A">
        <w:rPr>
          <w:rFonts w:asciiTheme="majorBidi" w:hAnsiTheme="majorBidi" w:cstheme="majorBidi"/>
          <w:sz w:val="24"/>
          <w:szCs w:val="24"/>
        </w:rPr>
        <w:t xml:space="preserve">reduced </w:t>
      </w:r>
      <w:r>
        <w:rPr>
          <w:rFonts w:asciiTheme="majorBidi" w:hAnsiTheme="majorBidi" w:cstheme="majorBidi"/>
          <w:sz w:val="24"/>
          <w:szCs w:val="24"/>
        </w:rPr>
        <w:t>the value of the debt denominated in and index</w:t>
      </w:r>
      <w:r w:rsidR="00AE7CEE">
        <w:rPr>
          <w:rFonts w:asciiTheme="majorBidi" w:hAnsiTheme="majorBidi" w:cstheme="majorBidi"/>
          <w:sz w:val="24"/>
          <w:szCs w:val="24"/>
        </w:rPr>
        <w:t xml:space="preserve">ed to foreign </w:t>
      </w:r>
      <w:r w:rsidR="0071131A">
        <w:rPr>
          <w:rFonts w:asciiTheme="majorBidi" w:hAnsiTheme="majorBidi" w:cstheme="majorBidi"/>
          <w:sz w:val="24"/>
          <w:szCs w:val="24"/>
        </w:rPr>
        <w:t>currency</w:t>
      </w:r>
      <w:r w:rsidR="00AE7CEE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(Figure 1).</w:t>
      </w:r>
    </w:p>
    <w:p w:rsidR="00BD6B80" w:rsidRPr="006A2E89" w:rsidRDefault="00BD6B80" w:rsidP="00321F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A2E89">
        <w:rPr>
          <w:rFonts w:asciiTheme="majorBidi" w:hAnsiTheme="majorBidi" w:cstheme="majorBidi"/>
          <w:sz w:val="24"/>
          <w:szCs w:val="24"/>
        </w:rPr>
        <w:t xml:space="preserve">In the </w:t>
      </w:r>
      <w:r w:rsidR="00091824" w:rsidRPr="006A2E89">
        <w:rPr>
          <w:rFonts w:asciiTheme="majorBidi" w:hAnsiTheme="majorBidi" w:cstheme="majorBidi"/>
          <w:sz w:val="24"/>
          <w:szCs w:val="24"/>
        </w:rPr>
        <w:t>second quarter</w:t>
      </w:r>
      <w:r w:rsidRPr="006A2E89">
        <w:rPr>
          <w:rFonts w:asciiTheme="majorBidi" w:hAnsiTheme="majorBidi" w:cstheme="majorBidi"/>
          <w:sz w:val="24"/>
          <w:szCs w:val="24"/>
        </w:rPr>
        <w:t xml:space="preserve">, the </w:t>
      </w:r>
      <w:r w:rsidRPr="006A2E89">
        <w:rPr>
          <w:rFonts w:asciiTheme="majorBidi" w:hAnsiTheme="majorBidi" w:cstheme="majorBidi"/>
          <w:b/>
          <w:bCs/>
          <w:sz w:val="24"/>
          <w:szCs w:val="24"/>
        </w:rPr>
        <w:t>business sector</w:t>
      </w:r>
      <w:r w:rsidRPr="006A2E89">
        <w:rPr>
          <w:rFonts w:asciiTheme="majorBidi" w:hAnsiTheme="majorBidi" w:cstheme="majorBidi"/>
          <w:sz w:val="24"/>
          <w:szCs w:val="24"/>
        </w:rPr>
        <w:t xml:space="preserve">  </w:t>
      </w:r>
      <w:r w:rsidRPr="006A2E89">
        <w:rPr>
          <w:rFonts w:asciiTheme="majorBidi" w:hAnsiTheme="majorBidi" w:cstheme="majorBidi"/>
          <w:b/>
          <w:bCs/>
          <w:sz w:val="24"/>
          <w:szCs w:val="24"/>
        </w:rPr>
        <w:t>issued</w:t>
      </w:r>
      <w:r w:rsidRPr="006A2E89">
        <w:rPr>
          <w:rFonts w:asciiTheme="majorBidi" w:hAnsiTheme="majorBidi" w:cstheme="majorBidi"/>
          <w:sz w:val="24"/>
          <w:szCs w:val="24"/>
        </w:rPr>
        <w:t xml:space="preserve"> about NIS </w:t>
      </w:r>
      <w:r w:rsidR="006A2E89" w:rsidRPr="006A2E89">
        <w:rPr>
          <w:rFonts w:asciiTheme="majorBidi" w:hAnsiTheme="majorBidi" w:cstheme="majorBidi"/>
          <w:sz w:val="24"/>
          <w:szCs w:val="24"/>
        </w:rPr>
        <w:t xml:space="preserve">9.4 </w:t>
      </w:r>
      <w:r w:rsidRPr="006A2E89">
        <w:rPr>
          <w:rFonts w:asciiTheme="majorBidi" w:hAnsiTheme="majorBidi" w:cstheme="majorBidi"/>
          <w:sz w:val="24"/>
          <w:szCs w:val="24"/>
        </w:rPr>
        <w:t xml:space="preserve">billion in bonds, </w:t>
      </w:r>
      <w:r w:rsidR="006A2E89" w:rsidRPr="006A2E89">
        <w:rPr>
          <w:rFonts w:asciiTheme="majorBidi" w:hAnsiTheme="majorBidi" w:cstheme="majorBidi"/>
          <w:sz w:val="24"/>
          <w:szCs w:val="24"/>
        </w:rPr>
        <w:t xml:space="preserve">higher </w:t>
      </w:r>
      <w:r w:rsidRPr="006A2E89">
        <w:rPr>
          <w:rFonts w:asciiTheme="majorBidi" w:hAnsiTheme="majorBidi" w:cstheme="majorBidi"/>
          <w:sz w:val="24"/>
          <w:szCs w:val="24"/>
        </w:rPr>
        <w:t xml:space="preserve">than the </w:t>
      </w:r>
      <w:r w:rsidR="006A2E89" w:rsidRPr="006A2E89">
        <w:rPr>
          <w:rFonts w:asciiTheme="majorBidi" w:hAnsiTheme="majorBidi" w:cstheme="majorBidi"/>
          <w:sz w:val="24"/>
          <w:szCs w:val="24"/>
        </w:rPr>
        <w:t xml:space="preserve">quarterly </w:t>
      </w:r>
      <w:r w:rsidRPr="006A2E89">
        <w:rPr>
          <w:rFonts w:asciiTheme="majorBidi" w:hAnsiTheme="majorBidi" w:cstheme="majorBidi"/>
          <w:sz w:val="24"/>
          <w:szCs w:val="24"/>
        </w:rPr>
        <w:t xml:space="preserve">average amount raised in </w:t>
      </w:r>
      <w:r w:rsidR="006A2E89" w:rsidRPr="006A2E89">
        <w:rPr>
          <w:rFonts w:asciiTheme="majorBidi" w:hAnsiTheme="majorBidi" w:cstheme="majorBidi"/>
          <w:sz w:val="24"/>
          <w:szCs w:val="24"/>
        </w:rPr>
        <w:t xml:space="preserve">the preceding 4 quarters </w:t>
      </w:r>
      <w:r w:rsidRPr="006A2E89">
        <w:rPr>
          <w:rFonts w:asciiTheme="majorBidi" w:hAnsiTheme="majorBidi" w:cstheme="majorBidi"/>
          <w:sz w:val="24"/>
          <w:szCs w:val="24"/>
        </w:rPr>
        <w:t xml:space="preserve">(an average of about NIS </w:t>
      </w:r>
      <w:r w:rsidR="006A2E89" w:rsidRPr="006A2E89">
        <w:rPr>
          <w:rFonts w:asciiTheme="majorBidi" w:hAnsiTheme="majorBidi" w:cstheme="majorBidi"/>
          <w:sz w:val="24"/>
          <w:szCs w:val="24"/>
        </w:rPr>
        <w:t xml:space="preserve">8.2 </w:t>
      </w:r>
      <w:r w:rsidRPr="006A2E89">
        <w:rPr>
          <w:rFonts w:asciiTheme="majorBidi" w:hAnsiTheme="majorBidi" w:cstheme="majorBidi"/>
          <w:sz w:val="24"/>
          <w:szCs w:val="24"/>
        </w:rPr>
        <w:t xml:space="preserve">billion per quarter). </w:t>
      </w:r>
      <w:r w:rsidR="006A2E89" w:rsidRPr="006A2E89">
        <w:rPr>
          <w:rFonts w:asciiTheme="majorBidi" w:hAnsiTheme="majorBidi" w:cstheme="majorBidi"/>
          <w:sz w:val="24"/>
          <w:szCs w:val="24"/>
        </w:rPr>
        <w:t xml:space="preserve">About half the </w:t>
      </w:r>
      <w:r w:rsidRPr="006A2E89">
        <w:rPr>
          <w:rFonts w:asciiTheme="majorBidi" w:hAnsiTheme="majorBidi" w:cstheme="majorBidi"/>
          <w:sz w:val="24"/>
          <w:szCs w:val="24"/>
        </w:rPr>
        <w:t xml:space="preserve">issuances </w:t>
      </w:r>
      <w:r w:rsidR="006A2E89" w:rsidRPr="006A2E89">
        <w:rPr>
          <w:rFonts w:asciiTheme="majorBidi" w:hAnsiTheme="majorBidi" w:cstheme="majorBidi"/>
          <w:sz w:val="24"/>
          <w:szCs w:val="24"/>
        </w:rPr>
        <w:t xml:space="preserve">in the quarter were </w:t>
      </w:r>
      <w:r w:rsidRPr="006A2E89">
        <w:rPr>
          <w:rFonts w:asciiTheme="majorBidi" w:hAnsiTheme="majorBidi" w:cstheme="majorBidi"/>
          <w:sz w:val="24"/>
          <w:szCs w:val="24"/>
        </w:rPr>
        <w:t xml:space="preserve">by companies in the </w:t>
      </w:r>
      <w:r w:rsidR="00321F7D" w:rsidRPr="006A2E89">
        <w:rPr>
          <w:rFonts w:asciiTheme="majorBidi" w:hAnsiTheme="majorBidi" w:cstheme="majorBidi"/>
          <w:sz w:val="24"/>
          <w:szCs w:val="24"/>
        </w:rPr>
        <w:t xml:space="preserve">real estate </w:t>
      </w:r>
      <w:r w:rsidR="00321F7D">
        <w:rPr>
          <w:rFonts w:asciiTheme="majorBidi" w:hAnsiTheme="majorBidi" w:cstheme="majorBidi"/>
          <w:sz w:val="24"/>
          <w:szCs w:val="24"/>
        </w:rPr>
        <w:t xml:space="preserve">and </w:t>
      </w:r>
      <w:r w:rsidRPr="006A2E89">
        <w:rPr>
          <w:rFonts w:asciiTheme="majorBidi" w:hAnsiTheme="majorBidi" w:cstheme="majorBidi"/>
          <w:sz w:val="24"/>
          <w:szCs w:val="24"/>
        </w:rPr>
        <w:t>construction industry</w:t>
      </w:r>
      <w:r w:rsidR="006A2E89" w:rsidRPr="006A2E89">
        <w:rPr>
          <w:rFonts w:asciiTheme="majorBidi" w:hAnsiTheme="majorBidi" w:cstheme="majorBidi"/>
          <w:sz w:val="24"/>
          <w:szCs w:val="24"/>
        </w:rPr>
        <w:t>.</w:t>
      </w:r>
      <w:r w:rsidRPr="006A2E89">
        <w:rPr>
          <w:rFonts w:asciiTheme="majorBidi" w:hAnsiTheme="majorBidi" w:cstheme="majorBidi"/>
          <w:sz w:val="24"/>
          <w:szCs w:val="24"/>
        </w:rPr>
        <w:t xml:space="preserve"> In </w:t>
      </w:r>
      <w:r w:rsidR="006A2E89" w:rsidRPr="006A2E89">
        <w:rPr>
          <w:rFonts w:asciiTheme="majorBidi" w:hAnsiTheme="majorBidi" w:cstheme="majorBidi"/>
          <w:sz w:val="24"/>
          <w:szCs w:val="24"/>
        </w:rPr>
        <w:t xml:space="preserve">July </w:t>
      </w:r>
      <w:r w:rsidRPr="0011285C">
        <w:rPr>
          <w:rFonts w:asciiTheme="majorBidi" w:hAnsiTheme="majorBidi" w:cstheme="majorBidi"/>
          <w:sz w:val="24"/>
          <w:szCs w:val="24"/>
        </w:rPr>
        <w:t>2019, the business sector issued bonds worth about NIS 3.3 billion, mostly in tradable bonds.</w:t>
      </w:r>
      <w:r w:rsidR="006A2E89" w:rsidRPr="0011285C">
        <w:rPr>
          <w:rFonts w:asciiTheme="majorBidi" w:hAnsiTheme="majorBidi" w:cstheme="majorBidi"/>
          <w:sz w:val="24"/>
          <w:szCs w:val="24"/>
        </w:rPr>
        <w:t xml:space="preserve"> </w:t>
      </w:r>
      <w:r w:rsidRPr="0011285C">
        <w:rPr>
          <w:rFonts w:asciiTheme="majorBidi" w:hAnsiTheme="majorBidi" w:cstheme="majorBidi"/>
          <w:sz w:val="24"/>
          <w:szCs w:val="24"/>
        </w:rPr>
        <w:t>(Figure 3).</w:t>
      </w:r>
    </w:p>
    <w:p w:rsidR="00BD6B80" w:rsidRDefault="00BD6B80" w:rsidP="00F502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In the </w:t>
      </w:r>
      <w:r w:rsidR="00091824">
        <w:rPr>
          <w:rFonts w:asciiTheme="majorBidi" w:hAnsiTheme="majorBidi" w:cstheme="majorBidi"/>
          <w:sz w:val="24"/>
          <w:szCs w:val="24"/>
        </w:rPr>
        <w:t>second quarter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C264F0">
        <w:rPr>
          <w:rFonts w:asciiTheme="majorBidi" w:hAnsiTheme="majorBidi" w:cstheme="majorBidi"/>
          <w:b/>
          <w:bCs/>
          <w:sz w:val="24"/>
          <w:szCs w:val="24"/>
        </w:rPr>
        <w:t>the spread between yields on corporate bonds</w:t>
      </w:r>
      <w:r w:rsidR="00AE7CEE">
        <w:rPr>
          <w:rFonts w:asciiTheme="majorBidi" w:hAnsiTheme="majorBidi" w:cstheme="majorBidi"/>
          <w:b/>
          <w:bCs/>
          <w:sz w:val="24"/>
          <w:szCs w:val="24"/>
        </w:rPr>
        <w:t xml:space="preserve"> that are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included in</w:t>
      </w:r>
      <w:r w:rsidRPr="00C264F0">
        <w:rPr>
          <w:rFonts w:asciiTheme="majorBidi" w:hAnsiTheme="majorBidi" w:cstheme="majorBidi"/>
          <w:b/>
          <w:bCs/>
          <w:sz w:val="24"/>
          <w:szCs w:val="24"/>
        </w:rPr>
        <w:t xml:space="preserve"> the Tel Bond 60 index, and the yield on CPI-indexed government bonds</w:t>
      </w:r>
      <w:r w:rsidRPr="002525D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narrowed </w:t>
      </w:r>
      <w:r w:rsidRPr="002525DD">
        <w:rPr>
          <w:rFonts w:asciiTheme="majorBidi" w:hAnsiTheme="majorBidi" w:cstheme="majorBidi"/>
          <w:sz w:val="24"/>
          <w:szCs w:val="24"/>
        </w:rPr>
        <w:t>by about 0.</w:t>
      </w:r>
      <w:r w:rsidR="0008264F">
        <w:rPr>
          <w:rFonts w:asciiTheme="majorBidi" w:hAnsiTheme="majorBidi" w:cstheme="majorBidi"/>
          <w:sz w:val="24"/>
          <w:szCs w:val="24"/>
        </w:rPr>
        <w:t>1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525DD">
        <w:rPr>
          <w:rFonts w:asciiTheme="majorBidi" w:hAnsiTheme="majorBidi" w:cstheme="majorBidi"/>
          <w:sz w:val="24"/>
          <w:szCs w:val="24"/>
        </w:rPr>
        <w:t xml:space="preserve">percentage points </w:t>
      </w:r>
      <w:r>
        <w:rPr>
          <w:rFonts w:asciiTheme="majorBidi" w:hAnsiTheme="majorBidi" w:cstheme="majorBidi"/>
          <w:sz w:val="24"/>
          <w:szCs w:val="24"/>
        </w:rPr>
        <w:t>to about 1.</w:t>
      </w:r>
      <w:r w:rsidR="0008264F">
        <w:rPr>
          <w:rFonts w:asciiTheme="majorBidi" w:hAnsiTheme="majorBidi" w:cstheme="majorBidi"/>
          <w:sz w:val="24"/>
          <w:szCs w:val="24"/>
        </w:rPr>
        <w:t>14</w:t>
      </w:r>
      <w:r>
        <w:rPr>
          <w:rFonts w:asciiTheme="majorBidi" w:hAnsiTheme="majorBidi" w:cstheme="majorBidi"/>
          <w:sz w:val="24"/>
          <w:szCs w:val="24"/>
        </w:rPr>
        <w:t xml:space="preserve"> percentage points, </w:t>
      </w:r>
      <w:r w:rsidR="0008264F">
        <w:rPr>
          <w:rFonts w:asciiTheme="majorBidi" w:hAnsiTheme="majorBidi" w:cstheme="majorBidi"/>
          <w:sz w:val="24"/>
          <w:szCs w:val="24"/>
        </w:rPr>
        <w:t xml:space="preserve">further </w:t>
      </w:r>
      <w:bookmarkStart w:id="0" w:name="_GoBack"/>
      <w:r w:rsidR="0008264F">
        <w:rPr>
          <w:rFonts w:asciiTheme="majorBidi" w:hAnsiTheme="majorBidi" w:cstheme="majorBidi"/>
          <w:sz w:val="24"/>
          <w:szCs w:val="24"/>
        </w:rPr>
        <w:t xml:space="preserve">to a narrowing in the previous quarter. </w:t>
      </w:r>
      <w:r>
        <w:rPr>
          <w:rFonts w:asciiTheme="majorBidi" w:hAnsiTheme="majorBidi" w:cstheme="majorBidi"/>
          <w:sz w:val="24"/>
          <w:szCs w:val="24"/>
        </w:rPr>
        <w:t xml:space="preserve">In </w:t>
      </w:r>
      <w:r w:rsidR="0008264F">
        <w:rPr>
          <w:rFonts w:asciiTheme="majorBidi" w:hAnsiTheme="majorBidi" w:cstheme="majorBidi"/>
          <w:sz w:val="24"/>
          <w:szCs w:val="24"/>
        </w:rPr>
        <w:t xml:space="preserve">July </w:t>
      </w:r>
      <w:r>
        <w:rPr>
          <w:rFonts w:asciiTheme="majorBidi" w:hAnsiTheme="majorBidi" w:cstheme="majorBidi"/>
          <w:sz w:val="24"/>
          <w:szCs w:val="24"/>
        </w:rPr>
        <w:t xml:space="preserve">2019, the spread continued to narrow, to </w:t>
      </w:r>
      <w:bookmarkEnd w:id="0"/>
      <w:r>
        <w:rPr>
          <w:rFonts w:asciiTheme="majorBidi" w:hAnsiTheme="majorBidi" w:cstheme="majorBidi"/>
          <w:sz w:val="24"/>
          <w:szCs w:val="24"/>
        </w:rPr>
        <w:t>about 1.1</w:t>
      </w:r>
      <w:r w:rsidR="00F50284">
        <w:rPr>
          <w:rFonts w:asciiTheme="majorBidi" w:hAnsiTheme="majorBidi" w:cstheme="majorBidi"/>
          <w:sz w:val="24"/>
          <w:szCs w:val="24"/>
        </w:rPr>
        <w:t>1</w:t>
      </w:r>
      <w:r>
        <w:rPr>
          <w:rFonts w:asciiTheme="majorBidi" w:hAnsiTheme="majorBidi" w:cstheme="majorBidi"/>
          <w:sz w:val="24"/>
          <w:szCs w:val="24"/>
        </w:rPr>
        <w:t xml:space="preserve"> percentage points (Figure 4).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</w:p>
    <w:p w:rsidR="00CD02A8" w:rsidRDefault="00CD02A8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br w:type="page"/>
      </w:r>
    </w:p>
    <w:p w:rsidR="00A5598D" w:rsidRDefault="00A5598D" w:rsidP="006E185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BD6B80" w:rsidRDefault="00BD6B80" w:rsidP="006E185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016D01" w:rsidRPr="00A06BF2" w:rsidRDefault="00A06BF2" w:rsidP="006E185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06BF2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Table 1: The </w:t>
      </w:r>
      <w:r w:rsidR="006E1851">
        <w:rPr>
          <w:rFonts w:asciiTheme="majorBidi" w:hAnsiTheme="majorBidi" w:cstheme="majorBidi"/>
          <w:b/>
          <w:bCs/>
          <w:sz w:val="24"/>
          <w:szCs w:val="24"/>
          <w:u w:val="single"/>
        </w:rPr>
        <w:t>C</w:t>
      </w:r>
      <w:r w:rsidRPr="00A06BF2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omposition of </w:t>
      </w:r>
      <w:r w:rsidR="006E1851">
        <w:rPr>
          <w:rFonts w:asciiTheme="majorBidi" w:hAnsiTheme="majorBidi" w:cstheme="majorBidi"/>
          <w:b/>
          <w:bCs/>
          <w:sz w:val="24"/>
          <w:szCs w:val="24"/>
          <w:u w:val="single"/>
        </w:rPr>
        <w:t>B</w:t>
      </w:r>
      <w:r w:rsidRPr="00A06BF2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usiness </w:t>
      </w:r>
      <w:r w:rsidR="006E1851">
        <w:rPr>
          <w:rFonts w:asciiTheme="majorBidi" w:hAnsiTheme="majorBidi" w:cstheme="majorBidi"/>
          <w:b/>
          <w:bCs/>
          <w:sz w:val="24"/>
          <w:szCs w:val="24"/>
          <w:u w:val="single"/>
        </w:rPr>
        <w:t>S</w:t>
      </w:r>
      <w:r w:rsidRPr="00A06BF2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ector </w:t>
      </w:r>
      <w:r w:rsidR="006E1851">
        <w:rPr>
          <w:rFonts w:asciiTheme="majorBidi" w:hAnsiTheme="majorBidi" w:cstheme="majorBidi"/>
          <w:b/>
          <w:bCs/>
          <w:sz w:val="24"/>
          <w:szCs w:val="24"/>
          <w:u w:val="single"/>
        </w:rPr>
        <w:t>D</w:t>
      </w:r>
      <w:r w:rsidRPr="00A06BF2">
        <w:rPr>
          <w:rFonts w:asciiTheme="majorBidi" w:hAnsiTheme="majorBidi" w:cstheme="majorBidi"/>
          <w:b/>
          <w:bCs/>
          <w:sz w:val="24"/>
          <w:szCs w:val="24"/>
          <w:u w:val="single"/>
        </w:rPr>
        <w:t>ebt</w:t>
      </w:r>
    </w:p>
    <w:p w:rsidR="00A06BF2" w:rsidRDefault="00CD02A8" w:rsidP="005A41A8">
      <w:pPr>
        <w:spacing w:before="240"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CD02A8">
        <w:rPr>
          <w:noProof/>
        </w:rPr>
        <w:drawing>
          <wp:inline distT="0" distB="0" distL="0" distR="0">
            <wp:extent cx="5486400" cy="2525403"/>
            <wp:effectExtent l="0" t="0" r="0" b="8255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525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494" w:rsidRDefault="00866494" w:rsidP="005A41A8">
      <w:pPr>
        <w:spacing w:before="240"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1B335C" w:rsidRPr="005A41A8" w:rsidRDefault="001B335C" w:rsidP="004C4A1E">
      <w:pPr>
        <w:spacing w:before="48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A41A8">
        <w:rPr>
          <w:rFonts w:asciiTheme="majorBidi" w:hAnsiTheme="majorBidi" w:cstheme="majorBidi"/>
          <w:b/>
          <w:bCs/>
          <w:sz w:val="24"/>
          <w:szCs w:val="24"/>
          <w:u w:val="single"/>
        </w:rPr>
        <w:t>Figure 1: Estimated Net Quarterly Quantitative Change in Business Sector Debt</w:t>
      </w:r>
    </w:p>
    <w:p w:rsidR="005A41A8" w:rsidRDefault="00CD02A8" w:rsidP="004C4A1E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3FC809D3">
            <wp:extent cx="4596765" cy="2755900"/>
            <wp:effectExtent l="0" t="0" r="0" b="6350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765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6494" w:rsidRDefault="00866494" w:rsidP="004C4A1E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866494" w:rsidRDefault="00866494" w:rsidP="004C4A1E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866494" w:rsidRDefault="00866494" w:rsidP="004C4A1E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866494" w:rsidRDefault="0086649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6C4650" w:rsidRPr="00206102" w:rsidRDefault="006C4650" w:rsidP="00353BAF">
      <w:pPr>
        <w:spacing w:before="480"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 xml:space="preserve">Figure 2: </w:t>
      </w:r>
      <w:r w:rsidR="00353BAF" w:rsidRPr="00353BAF">
        <w:rPr>
          <w:rFonts w:asciiTheme="majorBidi" w:hAnsiTheme="majorBidi" w:cstheme="majorBidi"/>
          <w:b/>
          <w:bCs/>
          <w:sz w:val="24"/>
          <w:szCs w:val="24"/>
          <w:u w:val="single"/>
        </w:rPr>
        <w:t>Rate of Change (Year on Year) in the Business Sector's Bank and Nonbank Debt</w:t>
      </w:r>
    </w:p>
    <w:p w:rsidR="006C4650" w:rsidRPr="00514DE4" w:rsidRDefault="0026714A" w:rsidP="00206102">
      <w:pPr>
        <w:spacing w:before="480"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inline distT="0" distB="0" distL="0" distR="0" wp14:anchorId="1B655C3B">
            <wp:extent cx="5273675" cy="2578735"/>
            <wp:effectExtent l="0" t="0" r="3175" b="0"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2578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6D01" w:rsidRDefault="00C672E3" w:rsidP="00353BAF">
      <w:pPr>
        <w:spacing w:before="480"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Figure </w:t>
      </w:r>
      <w:r w:rsidR="006C4650">
        <w:rPr>
          <w:rFonts w:asciiTheme="majorBidi" w:hAnsiTheme="majorBidi" w:cstheme="majorBidi"/>
          <w:b/>
          <w:bCs/>
          <w:sz w:val="24"/>
          <w:szCs w:val="24"/>
          <w:u w:val="single"/>
        </w:rPr>
        <w:t>3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: </w:t>
      </w:r>
      <w:r w:rsidR="00353BAF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Nonfinancial </w:t>
      </w:r>
      <w:r w:rsidR="00353BAF" w:rsidRPr="00C672E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Business </w:t>
      </w:r>
      <w:r w:rsidR="00353BAF">
        <w:rPr>
          <w:rFonts w:asciiTheme="majorBidi" w:hAnsiTheme="majorBidi" w:cstheme="majorBidi"/>
          <w:b/>
          <w:bCs/>
          <w:sz w:val="24"/>
          <w:szCs w:val="24"/>
          <w:u w:val="single"/>
        </w:rPr>
        <w:t>S</w:t>
      </w:r>
      <w:r w:rsidR="00353BAF" w:rsidRPr="00C672E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ector </w:t>
      </w:r>
      <w:r w:rsidR="00353BAF">
        <w:rPr>
          <w:rFonts w:asciiTheme="majorBidi" w:hAnsiTheme="majorBidi" w:cstheme="majorBidi"/>
          <w:b/>
          <w:bCs/>
          <w:sz w:val="24"/>
          <w:szCs w:val="24"/>
          <w:u w:val="single"/>
        </w:rPr>
        <w:t>B</w:t>
      </w:r>
      <w:r w:rsidR="00353BAF" w:rsidRPr="00C672E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ond </w:t>
      </w:r>
      <w:r w:rsidR="00353BAF">
        <w:rPr>
          <w:rFonts w:asciiTheme="majorBidi" w:hAnsiTheme="majorBidi" w:cstheme="majorBidi"/>
          <w:b/>
          <w:bCs/>
          <w:sz w:val="24"/>
          <w:szCs w:val="24"/>
          <w:u w:val="single"/>
        </w:rPr>
        <w:t>I</w:t>
      </w:r>
      <w:r w:rsidR="00353BAF" w:rsidRPr="00C672E3">
        <w:rPr>
          <w:rFonts w:asciiTheme="majorBidi" w:hAnsiTheme="majorBidi" w:cstheme="majorBidi"/>
          <w:b/>
          <w:bCs/>
          <w:sz w:val="24"/>
          <w:szCs w:val="24"/>
          <w:u w:val="single"/>
        </w:rPr>
        <w:t>ssuance</w:t>
      </w:r>
      <w:r w:rsidR="00353BAF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during the </w:t>
      </w:r>
      <w:r w:rsidR="00353BAF" w:rsidRPr="00DD7ED3">
        <w:rPr>
          <w:rFonts w:asciiTheme="majorBidi" w:hAnsiTheme="majorBidi" w:cstheme="majorBidi"/>
          <w:b/>
          <w:bCs/>
          <w:sz w:val="24"/>
          <w:szCs w:val="24"/>
          <w:u w:val="single"/>
        </w:rPr>
        <w:t>quarter</w:t>
      </w:r>
      <w:r w:rsidR="00353BAF">
        <w:rPr>
          <w:rFonts w:asciiTheme="majorBidi" w:hAnsiTheme="majorBidi" w:cstheme="majorBidi"/>
          <w:b/>
          <w:bCs/>
          <w:sz w:val="24"/>
          <w:szCs w:val="24"/>
          <w:u w:val="single"/>
        </w:rPr>
        <w:t>, by</w:t>
      </w:r>
      <w:r w:rsidR="00353BAF" w:rsidRPr="00DD7ED3">
        <w:rPr>
          <w:rFonts w:eastAsiaTheme="minorEastAsia"/>
          <w:b/>
          <w:bCs/>
        </w:rPr>
        <w:t xml:space="preserve"> </w:t>
      </w:r>
      <w:r w:rsidR="00353BAF" w:rsidRPr="00DD7ED3">
        <w:rPr>
          <w:rFonts w:asciiTheme="majorBidi" w:hAnsiTheme="majorBidi" w:cstheme="majorBidi"/>
          <w:b/>
          <w:bCs/>
          <w:sz w:val="24"/>
          <w:szCs w:val="24"/>
          <w:u w:val="single"/>
        </w:rPr>
        <w:t>Industry</w:t>
      </w:r>
      <w:r w:rsidR="00353BAF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353BAF" w:rsidRPr="00206102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 </w:t>
      </w:r>
    </w:p>
    <w:p w:rsidR="00C672E3" w:rsidRPr="00206102" w:rsidRDefault="0026714A" w:rsidP="00206102">
      <w:pPr>
        <w:spacing w:before="240" w:after="0" w:line="240" w:lineRule="auto"/>
        <w:jc w:val="center"/>
      </w:pPr>
      <w:r>
        <w:rPr>
          <w:noProof/>
        </w:rPr>
        <w:drawing>
          <wp:inline distT="0" distB="0" distL="0" distR="0" wp14:anchorId="113BB1E0">
            <wp:extent cx="5212715" cy="2962910"/>
            <wp:effectExtent l="0" t="0" r="6985" b="8890"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715" cy="2962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6494" w:rsidRDefault="00866494" w:rsidP="004C4A1E">
      <w:pPr>
        <w:spacing w:before="480"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514DE4" w:rsidRDefault="00514DE4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br w:type="page"/>
      </w:r>
    </w:p>
    <w:p w:rsidR="008A34E1" w:rsidRDefault="008A34E1" w:rsidP="004C4A1E">
      <w:pPr>
        <w:spacing w:before="480"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 xml:space="preserve">Figure </w:t>
      </w:r>
      <w:r w:rsidR="006C4650">
        <w:rPr>
          <w:rFonts w:asciiTheme="majorBidi" w:hAnsiTheme="majorBidi" w:cstheme="majorBidi"/>
          <w:b/>
          <w:bCs/>
          <w:sz w:val="24"/>
          <w:szCs w:val="24"/>
          <w:u w:val="single"/>
        </w:rPr>
        <w:t>4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:</w:t>
      </w:r>
      <w:r w:rsidRPr="009E625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Spread between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I</w:t>
      </w:r>
      <w:r w:rsidRPr="009E625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ndexed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C</w:t>
      </w:r>
      <w:r w:rsidRPr="009E625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orporate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B</w:t>
      </w:r>
      <w:r w:rsidRPr="009E625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onds (Tel-Bond 60) and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I</w:t>
      </w:r>
      <w:r w:rsidRPr="009E625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ndexed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G</w:t>
      </w:r>
      <w:r w:rsidRPr="009E625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overnment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B</w:t>
      </w:r>
      <w:r w:rsidRPr="009E625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onds (monthly average) </w:t>
      </w:r>
    </w:p>
    <w:p w:rsidR="008A34E1" w:rsidRPr="00846F1D" w:rsidRDefault="0026714A" w:rsidP="00846F1D">
      <w:pPr>
        <w:spacing w:before="240"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6B0244A5">
            <wp:extent cx="5316220" cy="2749550"/>
            <wp:effectExtent l="0" t="0" r="0" b="0"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220" cy="274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34E1" w:rsidRDefault="008A34E1" w:rsidP="00C672E3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A5598D" w:rsidRDefault="00A5598D" w:rsidP="0067402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A5598D" w:rsidRDefault="00A5598D" w:rsidP="0067402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C4A1E" w:rsidRDefault="004C4A1E" w:rsidP="00674023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4C4A1E" w:rsidRDefault="004C4A1E" w:rsidP="00674023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866494" w:rsidRDefault="00866494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:rsidR="00BD6B80" w:rsidRPr="00645AA6" w:rsidRDefault="00BD6B80" w:rsidP="00BD6B80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45AA6">
        <w:rPr>
          <w:rFonts w:asciiTheme="majorBidi" w:hAnsiTheme="majorBidi" w:cstheme="majorBidi"/>
          <w:b/>
          <w:bCs/>
          <w:sz w:val="24"/>
          <w:szCs w:val="24"/>
        </w:rPr>
        <w:lastRenderedPageBreak/>
        <w:t>Household debt</w:t>
      </w:r>
    </w:p>
    <w:p w:rsidR="00BD6B80" w:rsidRDefault="00BD6B80" w:rsidP="0056544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1225F">
        <w:rPr>
          <w:rFonts w:asciiTheme="majorBidi" w:hAnsiTheme="majorBidi" w:cstheme="majorBidi"/>
          <w:b/>
          <w:bCs/>
          <w:sz w:val="24"/>
          <w:szCs w:val="24"/>
        </w:rPr>
        <w:t>Households’ outstanding debt</w:t>
      </w:r>
      <w:r w:rsidRPr="00A04122">
        <w:rPr>
          <w:rFonts w:asciiTheme="majorBidi" w:hAnsiTheme="majorBidi" w:cstheme="majorBidi"/>
          <w:sz w:val="24"/>
          <w:szCs w:val="24"/>
        </w:rPr>
        <w:t xml:space="preserve"> increased by </w:t>
      </w:r>
      <w:r w:rsidR="00BB5849">
        <w:rPr>
          <w:rFonts w:asciiTheme="majorBidi" w:hAnsiTheme="majorBidi" w:cstheme="majorBidi"/>
          <w:sz w:val="24"/>
          <w:szCs w:val="24"/>
        </w:rPr>
        <w:t xml:space="preserve">approximately </w:t>
      </w:r>
      <w:r>
        <w:rPr>
          <w:rFonts w:asciiTheme="majorBidi" w:hAnsiTheme="majorBidi" w:cstheme="majorBidi"/>
          <w:sz w:val="24"/>
          <w:szCs w:val="24"/>
        </w:rPr>
        <w:t xml:space="preserve">NIS </w:t>
      </w:r>
      <w:r w:rsidR="00CE17B8">
        <w:rPr>
          <w:rFonts w:asciiTheme="majorBidi" w:hAnsiTheme="majorBidi" w:cstheme="majorBidi"/>
          <w:sz w:val="24"/>
          <w:szCs w:val="24"/>
        </w:rPr>
        <w:t>9</w:t>
      </w:r>
      <w:r>
        <w:rPr>
          <w:rFonts w:asciiTheme="majorBidi" w:hAnsiTheme="majorBidi" w:cstheme="majorBidi"/>
          <w:sz w:val="24"/>
          <w:szCs w:val="24"/>
        </w:rPr>
        <w:t xml:space="preserve"> billion (</w:t>
      </w:r>
      <w:r w:rsidR="00CE17B8">
        <w:rPr>
          <w:rFonts w:asciiTheme="majorBidi" w:hAnsiTheme="majorBidi" w:cstheme="majorBidi"/>
          <w:sz w:val="24"/>
          <w:szCs w:val="24"/>
        </w:rPr>
        <w:t xml:space="preserve">1.7 </w:t>
      </w:r>
      <w:r w:rsidRPr="00A04122">
        <w:rPr>
          <w:rFonts w:asciiTheme="majorBidi" w:hAnsiTheme="majorBidi" w:cstheme="majorBidi"/>
          <w:sz w:val="24"/>
          <w:szCs w:val="24"/>
        </w:rPr>
        <w:t>percent</w:t>
      </w:r>
      <w:r>
        <w:rPr>
          <w:rFonts w:asciiTheme="majorBidi" w:hAnsiTheme="majorBidi" w:cstheme="majorBidi"/>
          <w:sz w:val="24"/>
          <w:szCs w:val="24"/>
        </w:rPr>
        <w:t>)</w:t>
      </w:r>
      <w:r w:rsidRPr="00A04122">
        <w:rPr>
          <w:rFonts w:asciiTheme="majorBidi" w:hAnsiTheme="majorBidi" w:cstheme="majorBidi"/>
          <w:sz w:val="24"/>
          <w:szCs w:val="24"/>
        </w:rPr>
        <w:t xml:space="preserve"> in the </w:t>
      </w:r>
      <w:r w:rsidR="00091824">
        <w:rPr>
          <w:rFonts w:asciiTheme="majorBidi" w:hAnsiTheme="majorBidi" w:cstheme="majorBidi"/>
          <w:sz w:val="24"/>
          <w:szCs w:val="24"/>
        </w:rPr>
        <w:t>second quarter</w:t>
      </w:r>
      <w:r w:rsidRPr="00A0412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of 2019, </w:t>
      </w:r>
      <w:r w:rsidRPr="00A04122">
        <w:rPr>
          <w:rFonts w:asciiTheme="majorBidi" w:hAnsiTheme="majorBidi" w:cstheme="majorBidi"/>
          <w:sz w:val="24"/>
          <w:szCs w:val="24"/>
        </w:rPr>
        <w:t xml:space="preserve">to about NIS </w:t>
      </w:r>
      <w:r>
        <w:rPr>
          <w:rFonts w:asciiTheme="majorBidi" w:hAnsiTheme="majorBidi" w:cstheme="majorBidi"/>
          <w:sz w:val="24"/>
          <w:szCs w:val="24"/>
        </w:rPr>
        <w:t>5</w:t>
      </w:r>
      <w:r w:rsidR="00D251BA">
        <w:rPr>
          <w:rFonts w:asciiTheme="majorBidi" w:hAnsiTheme="majorBidi" w:cstheme="majorBidi"/>
          <w:sz w:val="24"/>
          <w:szCs w:val="24"/>
        </w:rPr>
        <w:t>7</w:t>
      </w:r>
      <w:r>
        <w:rPr>
          <w:rFonts w:asciiTheme="majorBidi" w:hAnsiTheme="majorBidi" w:cstheme="majorBidi"/>
          <w:sz w:val="24"/>
          <w:szCs w:val="24"/>
        </w:rPr>
        <w:t xml:space="preserve">2 </w:t>
      </w:r>
      <w:r w:rsidRPr="00A04122">
        <w:rPr>
          <w:rFonts w:asciiTheme="majorBidi" w:hAnsiTheme="majorBidi" w:cstheme="majorBidi"/>
          <w:sz w:val="24"/>
          <w:szCs w:val="24"/>
        </w:rPr>
        <w:t>billion.</w:t>
      </w:r>
      <w:r w:rsidR="0090596C">
        <w:rPr>
          <w:rFonts w:asciiTheme="majorBidi" w:hAnsiTheme="majorBidi" w:cstheme="majorBidi"/>
          <w:sz w:val="24"/>
          <w:szCs w:val="24"/>
        </w:rPr>
        <w:t xml:space="preserve"> Most of the increase</w:t>
      </w:r>
      <w:r w:rsidR="00D251BA">
        <w:rPr>
          <w:rFonts w:asciiTheme="majorBidi" w:hAnsiTheme="majorBidi" w:cstheme="majorBidi"/>
          <w:sz w:val="24"/>
          <w:szCs w:val="24"/>
        </w:rPr>
        <w:t>—</w:t>
      </w:r>
      <w:r>
        <w:rPr>
          <w:rFonts w:asciiTheme="majorBidi" w:hAnsiTheme="majorBidi" w:cstheme="majorBidi"/>
          <w:sz w:val="24"/>
          <w:szCs w:val="24"/>
        </w:rPr>
        <w:t xml:space="preserve">about NIS </w:t>
      </w:r>
      <w:r w:rsidR="00D251BA">
        <w:rPr>
          <w:rFonts w:asciiTheme="majorBidi" w:hAnsiTheme="majorBidi" w:cstheme="majorBidi"/>
          <w:sz w:val="24"/>
          <w:szCs w:val="24"/>
        </w:rPr>
        <w:t>8</w:t>
      </w:r>
      <w:r>
        <w:rPr>
          <w:rFonts w:asciiTheme="majorBidi" w:hAnsiTheme="majorBidi" w:cstheme="majorBidi"/>
          <w:sz w:val="24"/>
          <w:szCs w:val="24"/>
        </w:rPr>
        <w:t xml:space="preserve"> billion</w:t>
      </w:r>
      <w:r w:rsidR="00D251BA">
        <w:rPr>
          <w:rFonts w:asciiTheme="majorBidi" w:hAnsiTheme="majorBidi" w:cstheme="majorBidi"/>
          <w:sz w:val="24"/>
          <w:szCs w:val="24"/>
        </w:rPr>
        <w:t>—</w:t>
      </w:r>
      <w:r>
        <w:rPr>
          <w:rFonts w:asciiTheme="majorBidi" w:hAnsiTheme="majorBidi" w:cstheme="majorBidi"/>
          <w:sz w:val="24"/>
          <w:szCs w:val="24"/>
        </w:rPr>
        <w:t xml:space="preserve">was in </w:t>
      </w:r>
      <w:r>
        <w:rPr>
          <w:rFonts w:asciiTheme="majorBidi" w:hAnsiTheme="majorBidi" w:cstheme="majorBidi"/>
          <w:b/>
          <w:bCs/>
          <w:sz w:val="24"/>
          <w:szCs w:val="24"/>
        </w:rPr>
        <w:t>housing debt</w:t>
      </w:r>
      <w:r>
        <w:rPr>
          <w:rFonts w:asciiTheme="majorBidi" w:hAnsiTheme="majorBidi" w:cstheme="majorBidi"/>
          <w:sz w:val="24"/>
          <w:szCs w:val="24"/>
        </w:rPr>
        <w:t xml:space="preserve"> (to about NIS </w:t>
      </w:r>
      <w:r w:rsidR="00D251BA">
        <w:rPr>
          <w:rFonts w:asciiTheme="majorBidi" w:hAnsiTheme="majorBidi" w:cstheme="majorBidi"/>
          <w:sz w:val="24"/>
          <w:szCs w:val="24"/>
        </w:rPr>
        <w:t>373</w:t>
      </w:r>
      <w:r>
        <w:rPr>
          <w:rFonts w:asciiTheme="majorBidi" w:hAnsiTheme="majorBidi" w:cstheme="majorBidi"/>
          <w:sz w:val="24"/>
          <w:szCs w:val="24"/>
        </w:rPr>
        <w:t xml:space="preserve"> billion), and the </w:t>
      </w:r>
      <w:r w:rsidR="00866494">
        <w:rPr>
          <w:rFonts w:asciiTheme="majorBidi" w:hAnsiTheme="majorBidi" w:cstheme="majorBidi"/>
          <w:sz w:val="24"/>
          <w:szCs w:val="24"/>
        </w:rPr>
        <w:t>rest</w:t>
      </w:r>
      <w:r w:rsidR="00D251BA">
        <w:rPr>
          <w:rFonts w:asciiTheme="majorBidi" w:hAnsiTheme="majorBidi" w:cstheme="majorBidi"/>
          <w:sz w:val="24"/>
          <w:szCs w:val="24"/>
        </w:rPr>
        <w:t>—</w:t>
      </w:r>
      <w:r>
        <w:rPr>
          <w:rFonts w:asciiTheme="majorBidi" w:hAnsiTheme="majorBidi" w:cstheme="majorBidi"/>
          <w:sz w:val="24"/>
          <w:szCs w:val="24"/>
        </w:rPr>
        <w:t>about NIS 1 billion</w:t>
      </w:r>
      <w:r w:rsidR="00D251BA">
        <w:rPr>
          <w:rFonts w:asciiTheme="majorBidi" w:hAnsiTheme="majorBidi" w:cstheme="majorBidi"/>
          <w:sz w:val="24"/>
          <w:szCs w:val="24"/>
        </w:rPr>
        <w:t>—</w:t>
      </w:r>
      <w:r>
        <w:rPr>
          <w:rFonts w:asciiTheme="majorBidi" w:hAnsiTheme="majorBidi" w:cstheme="majorBidi"/>
          <w:sz w:val="24"/>
          <w:szCs w:val="24"/>
        </w:rPr>
        <w:t xml:space="preserve">was in </w:t>
      </w:r>
      <w:r>
        <w:rPr>
          <w:rFonts w:asciiTheme="majorBidi" w:hAnsiTheme="majorBidi" w:cstheme="majorBidi"/>
          <w:b/>
          <w:bCs/>
          <w:sz w:val="24"/>
          <w:szCs w:val="24"/>
        </w:rPr>
        <w:t>nonhousing debt</w:t>
      </w:r>
      <w:r>
        <w:rPr>
          <w:rFonts w:asciiTheme="majorBidi" w:hAnsiTheme="majorBidi" w:cstheme="majorBidi"/>
          <w:sz w:val="24"/>
          <w:szCs w:val="24"/>
        </w:rPr>
        <w:t xml:space="preserve"> (to about NIS 19</w:t>
      </w:r>
      <w:r w:rsidR="00D251BA">
        <w:rPr>
          <w:rFonts w:asciiTheme="majorBidi" w:hAnsiTheme="majorBidi" w:cstheme="majorBidi"/>
          <w:sz w:val="24"/>
          <w:szCs w:val="24"/>
        </w:rPr>
        <w:t>9</w:t>
      </w:r>
      <w:r>
        <w:rPr>
          <w:rFonts w:asciiTheme="majorBidi" w:hAnsiTheme="majorBidi" w:cstheme="majorBidi"/>
          <w:sz w:val="24"/>
          <w:szCs w:val="24"/>
        </w:rPr>
        <w:t xml:space="preserve"> billion).</w:t>
      </w:r>
      <w:r w:rsidR="00D251BA">
        <w:rPr>
          <w:rFonts w:asciiTheme="majorBidi" w:hAnsiTheme="majorBidi" w:cstheme="majorBidi"/>
          <w:sz w:val="24"/>
          <w:szCs w:val="24"/>
        </w:rPr>
        <w:t xml:space="preserve"> </w:t>
      </w:r>
    </w:p>
    <w:p w:rsidR="00BD6B80" w:rsidRDefault="00BD6B80" w:rsidP="002863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B318B">
        <w:rPr>
          <w:rFonts w:asciiTheme="majorBidi" w:hAnsiTheme="majorBidi" w:cstheme="majorBidi"/>
          <w:sz w:val="24"/>
          <w:szCs w:val="24"/>
        </w:rPr>
        <w:t xml:space="preserve">In the </w:t>
      </w:r>
      <w:r w:rsidR="00091824">
        <w:rPr>
          <w:rFonts w:asciiTheme="majorBidi" w:hAnsiTheme="majorBidi" w:cstheme="majorBidi"/>
          <w:sz w:val="24"/>
          <w:szCs w:val="24"/>
        </w:rPr>
        <w:t>second quarter</w:t>
      </w:r>
      <w:r w:rsidRPr="007B318B">
        <w:rPr>
          <w:rFonts w:asciiTheme="majorBidi" w:hAnsiTheme="majorBidi" w:cstheme="majorBidi"/>
          <w:sz w:val="24"/>
          <w:szCs w:val="24"/>
        </w:rPr>
        <w:t xml:space="preserve"> of </w:t>
      </w:r>
      <w:r>
        <w:rPr>
          <w:rFonts w:asciiTheme="majorBidi" w:hAnsiTheme="majorBidi" w:cstheme="majorBidi"/>
          <w:sz w:val="24"/>
          <w:szCs w:val="24"/>
        </w:rPr>
        <w:t>2019</w:t>
      </w:r>
      <w:r w:rsidRPr="007B318B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new mortgages taken out totaled </w:t>
      </w:r>
      <w:r w:rsidRPr="007B318B">
        <w:rPr>
          <w:rFonts w:asciiTheme="majorBidi" w:hAnsiTheme="majorBidi" w:cstheme="majorBidi"/>
          <w:sz w:val="24"/>
          <w:szCs w:val="24"/>
        </w:rPr>
        <w:t xml:space="preserve">about NIS </w:t>
      </w:r>
      <w:r w:rsidR="002545D0">
        <w:rPr>
          <w:rFonts w:asciiTheme="majorBidi" w:hAnsiTheme="majorBidi" w:cstheme="majorBidi"/>
          <w:sz w:val="24"/>
          <w:szCs w:val="24"/>
        </w:rPr>
        <w:t xml:space="preserve">16.7 </w:t>
      </w:r>
      <w:r w:rsidRPr="007B318B">
        <w:rPr>
          <w:rFonts w:asciiTheme="majorBidi" w:hAnsiTheme="majorBidi" w:cstheme="majorBidi"/>
          <w:sz w:val="24"/>
          <w:szCs w:val="24"/>
        </w:rPr>
        <w:t xml:space="preserve">billion, </w:t>
      </w:r>
      <w:r>
        <w:rPr>
          <w:rFonts w:asciiTheme="majorBidi" w:hAnsiTheme="majorBidi" w:cstheme="majorBidi"/>
          <w:sz w:val="24"/>
          <w:szCs w:val="24"/>
        </w:rPr>
        <w:t xml:space="preserve">higher than the corresponding period </w:t>
      </w:r>
      <w:r w:rsidR="00D75669">
        <w:rPr>
          <w:rFonts w:asciiTheme="majorBidi" w:hAnsiTheme="majorBidi" w:cstheme="majorBidi"/>
          <w:sz w:val="24"/>
          <w:szCs w:val="24"/>
        </w:rPr>
        <w:t>in the previous year</w:t>
      </w:r>
      <w:r w:rsidR="002863D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(about </w:t>
      </w:r>
      <w:r w:rsidRPr="00E616E5">
        <w:rPr>
          <w:rFonts w:asciiTheme="majorBidi" w:hAnsiTheme="majorBidi" w:cstheme="majorBidi"/>
          <w:sz w:val="24"/>
          <w:szCs w:val="24"/>
        </w:rPr>
        <w:t>NIS 1</w:t>
      </w:r>
      <w:r>
        <w:rPr>
          <w:rFonts w:asciiTheme="majorBidi" w:hAnsiTheme="majorBidi" w:cstheme="majorBidi"/>
          <w:sz w:val="24"/>
          <w:szCs w:val="24"/>
        </w:rPr>
        <w:t>4.</w:t>
      </w:r>
      <w:r w:rsidR="000129B9">
        <w:rPr>
          <w:rFonts w:asciiTheme="majorBidi" w:hAnsiTheme="majorBidi" w:cstheme="majorBidi"/>
          <w:sz w:val="24"/>
          <w:szCs w:val="24"/>
        </w:rPr>
        <w:t>8</w:t>
      </w:r>
      <w:r w:rsidRPr="00E616E5">
        <w:rPr>
          <w:rFonts w:asciiTheme="majorBidi" w:hAnsiTheme="majorBidi" w:cstheme="majorBidi"/>
          <w:sz w:val="24"/>
          <w:szCs w:val="24"/>
        </w:rPr>
        <w:t xml:space="preserve"> billion</w:t>
      </w:r>
      <w:r>
        <w:rPr>
          <w:rFonts w:asciiTheme="majorBidi" w:hAnsiTheme="majorBidi" w:cstheme="majorBidi"/>
          <w:sz w:val="24"/>
          <w:szCs w:val="24"/>
        </w:rPr>
        <w:t xml:space="preserve">). In </w:t>
      </w:r>
      <w:r w:rsidR="000129B9">
        <w:rPr>
          <w:rFonts w:asciiTheme="majorBidi" w:hAnsiTheme="majorBidi" w:cstheme="majorBidi"/>
          <w:sz w:val="24"/>
          <w:szCs w:val="24"/>
        </w:rPr>
        <w:t xml:space="preserve">July </w:t>
      </w:r>
      <w:r>
        <w:rPr>
          <w:rFonts w:asciiTheme="majorBidi" w:hAnsiTheme="majorBidi" w:cstheme="majorBidi"/>
          <w:sz w:val="24"/>
          <w:szCs w:val="24"/>
        </w:rPr>
        <w:t xml:space="preserve">2019, </w:t>
      </w:r>
      <w:r w:rsidR="000129B9">
        <w:rPr>
          <w:rFonts w:asciiTheme="majorBidi" w:hAnsiTheme="majorBidi" w:cstheme="majorBidi"/>
          <w:sz w:val="24"/>
          <w:szCs w:val="24"/>
        </w:rPr>
        <w:t xml:space="preserve">there was an additional increase, mostly seasonal, in </w:t>
      </w:r>
      <w:r>
        <w:rPr>
          <w:rFonts w:asciiTheme="majorBidi" w:hAnsiTheme="majorBidi" w:cstheme="majorBidi"/>
          <w:sz w:val="24"/>
          <w:szCs w:val="24"/>
        </w:rPr>
        <w:t>new mortgages taken out</w:t>
      </w:r>
      <w:r w:rsidR="000129B9">
        <w:rPr>
          <w:rFonts w:asciiTheme="majorBidi" w:hAnsiTheme="majorBidi" w:cstheme="majorBidi"/>
          <w:sz w:val="24"/>
          <w:szCs w:val="24"/>
        </w:rPr>
        <w:t xml:space="preserve">, and they </w:t>
      </w:r>
      <w:r>
        <w:rPr>
          <w:rFonts w:asciiTheme="majorBidi" w:hAnsiTheme="majorBidi" w:cstheme="majorBidi"/>
          <w:sz w:val="24"/>
          <w:szCs w:val="24"/>
        </w:rPr>
        <w:t xml:space="preserve">totaled about NIS </w:t>
      </w:r>
      <w:r w:rsidR="000129B9">
        <w:rPr>
          <w:rFonts w:asciiTheme="majorBidi" w:hAnsiTheme="majorBidi" w:cstheme="majorBidi"/>
          <w:sz w:val="24"/>
          <w:szCs w:val="24"/>
        </w:rPr>
        <w:t xml:space="preserve">6.7 </w:t>
      </w:r>
      <w:r>
        <w:rPr>
          <w:rFonts w:asciiTheme="majorBidi" w:hAnsiTheme="majorBidi" w:cstheme="majorBidi"/>
          <w:sz w:val="24"/>
          <w:szCs w:val="24"/>
        </w:rPr>
        <w:t xml:space="preserve">billion, (Figure 6). </w:t>
      </w:r>
    </w:p>
    <w:p w:rsidR="004C4A1E" w:rsidRDefault="004C4A1E" w:rsidP="004C4A1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C4A1E" w:rsidRPr="004C4A1E" w:rsidRDefault="004C4A1E" w:rsidP="004C4A1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12D2E" w:rsidRDefault="00E12D2E" w:rsidP="004C4A1E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EF7E00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Table </w:t>
      </w:r>
      <w:r w:rsidR="002808EA">
        <w:rPr>
          <w:rFonts w:asciiTheme="majorBidi" w:hAnsiTheme="majorBidi" w:cstheme="majorBidi"/>
          <w:b/>
          <w:bCs/>
          <w:sz w:val="24"/>
          <w:szCs w:val="24"/>
          <w:u w:val="single"/>
        </w:rPr>
        <w:t>2</w:t>
      </w:r>
      <w:r w:rsidRPr="00EF7E00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: Outstanding </w:t>
      </w:r>
      <w:r w:rsidR="006E1851" w:rsidRPr="00EF7E00">
        <w:rPr>
          <w:rFonts w:asciiTheme="majorBidi" w:hAnsiTheme="majorBidi" w:cstheme="majorBidi"/>
          <w:b/>
          <w:bCs/>
          <w:sz w:val="24"/>
          <w:szCs w:val="24"/>
          <w:u w:val="single"/>
        </w:rPr>
        <w:t>D</w:t>
      </w:r>
      <w:r w:rsidRPr="00EF7E00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ebt </w:t>
      </w:r>
      <w:r w:rsidR="006E1851" w:rsidRPr="00EF7E00">
        <w:rPr>
          <w:rFonts w:asciiTheme="majorBidi" w:hAnsiTheme="majorBidi" w:cstheme="majorBidi"/>
          <w:b/>
          <w:bCs/>
          <w:sz w:val="24"/>
          <w:szCs w:val="24"/>
          <w:u w:val="single"/>
        </w:rPr>
        <w:t>B</w:t>
      </w:r>
      <w:r w:rsidRPr="00EF7E00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alances of </w:t>
      </w:r>
      <w:r w:rsidR="006E1851" w:rsidRPr="00EF7E00">
        <w:rPr>
          <w:rFonts w:asciiTheme="majorBidi" w:hAnsiTheme="majorBidi" w:cstheme="majorBidi"/>
          <w:b/>
          <w:bCs/>
          <w:sz w:val="24"/>
          <w:szCs w:val="24"/>
          <w:u w:val="single"/>
        </w:rPr>
        <w:t>H</w:t>
      </w:r>
      <w:r w:rsidRPr="00EF7E00">
        <w:rPr>
          <w:rFonts w:asciiTheme="majorBidi" w:hAnsiTheme="majorBidi" w:cstheme="majorBidi"/>
          <w:b/>
          <w:bCs/>
          <w:sz w:val="24"/>
          <w:szCs w:val="24"/>
          <w:u w:val="single"/>
        </w:rPr>
        <w:t>ouseholds</w:t>
      </w:r>
      <w:r w:rsidR="00EF7E00" w:rsidRPr="00EF7E00">
        <w:rPr>
          <w:rFonts w:asciiTheme="majorBidi" w:hAnsiTheme="majorBidi" w:cstheme="majorBidi"/>
          <w:b/>
          <w:bCs/>
          <w:sz w:val="24"/>
          <w:szCs w:val="24"/>
          <w:u w:val="single"/>
          <w:vertAlign w:val="superscript"/>
        </w:rPr>
        <w:t>1</w:t>
      </w:r>
    </w:p>
    <w:p w:rsidR="00E12D2E" w:rsidRPr="00846F1D" w:rsidRDefault="0056544E" w:rsidP="00846F1D">
      <w:pPr>
        <w:spacing w:before="240" w:after="0" w:line="240" w:lineRule="auto"/>
        <w:jc w:val="center"/>
        <w:rPr>
          <w:noProof/>
        </w:rPr>
      </w:pPr>
      <w:r w:rsidRPr="0056544E">
        <w:rPr>
          <w:noProof/>
        </w:rPr>
        <w:drawing>
          <wp:inline distT="0" distB="0" distL="0" distR="0">
            <wp:extent cx="5486400" cy="3362213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362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67A" w:rsidRDefault="003C367A" w:rsidP="006E185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A5598D" w:rsidRDefault="00A5598D" w:rsidP="006E185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584BBA" w:rsidRDefault="00584BBA">
      <w:pPr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  <w:br w:type="page"/>
      </w:r>
    </w:p>
    <w:p w:rsidR="00A5598D" w:rsidRDefault="002A455A" w:rsidP="004C4A1E">
      <w:pPr>
        <w:spacing w:before="48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84BBA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 xml:space="preserve">Figure </w:t>
      </w:r>
      <w:r w:rsidR="00473011">
        <w:rPr>
          <w:rFonts w:asciiTheme="majorBidi" w:hAnsiTheme="majorBidi" w:cstheme="majorBidi"/>
          <w:b/>
          <w:bCs/>
          <w:sz w:val="24"/>
          <w:szCs w:val="24"/>
          <w:u w:val="single"/>
        </w:rPr>
        <w:t>5</w:t>
      </w:r>
      <w:r w:rsidRPr="00584BB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: </w:t>
      </w:r>
      <w:r w:rsidR="00800174" w:rsidRPr="00584BBA">
        <w:rPr>
          <w:rFonts w:asciiTheme="majorBidi" w:hAnsiTheme="majorBidi" w:cstheme="majorBidi"/>
          <w:b/>
          <w:bCs/>
          <w:sz w:val="24"/>
          <w:szCs w:val="24"/>
          <w:u w:val="single"/>
        </w:rPr>
        <w:t>R</w:t>
      </w:r>
      <w:r w:rsidRPr="00584BB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ates of </w:t>
      </w:r>
      <w:r w:rsidR="00800174" w:rsidRPr="00584BBA">
        <w:rPr>
          <w:rFonts w:asciiTheme="majorBidi" w:hAnsiTheme="majorBidi" w:cstheme="majorBidi"/>
          <w:b/>
          <w:bCs/>
          <w:sz w:val="24"/>
          <w:szCs w:val="24"/>
          <w:u w:val="single"/>
        </w:rPr>
        <w:t>C</w:t>
      </w:r>
      <w:r w:rsidRPr="00584BB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hange in </w:t>
      </w:r>
      <w:r w:rsidR="00800174" w:rsidRPr="00584BBA">
        <w:rPr>
          <w:rFonts w:asciiTheme="majorBidi" w:hAnsiTheme="majorBidi" w:cstheme="majorBidi"/>
          <w:b/>
          <w:bCs/>
          <w:sz w:val="24"/>
          <w:szCs w:val="24"/>
          <w:u w:val="single"/>
        </w:rPr>
        <w:t>H</w:t>
      </w:r>
      <w:r w:rsidRPr="00584BBA">
        <w:rPr>
          <w:rFonts w:asciiTheme="majorBidi" w:hAnsiTheme="majorBidi" w:cstheme="majorBidi"/>
          <w:b/>
          <w:bCs/>
          <w:sz w:val="24"/>
          <w:szCs w:val="24"/>
          <w:u w:val="single"/>
        </w:rPr>
        <w:t>ousehold</w:t>
      </w:r>
      <w:r w:rsidR="00DF5DF8" w:rsidRPr="00584BBA">
        <w:rPr>
          <w:rFonts w:asciiTheme="majorBidi" w:hAnsiTheme="majorBidi" w:cstheme="majorBidi"/>
          <w:b/>
          <w:bCs/>
          <w:sz w:val="24"/>
          <w:szCs w:val="24"/>
          <w:u w:val="single"/>
        </w:rPr>
        <w:t>s’</w:t>
      </w:r>
      <w:r w:rsidRPr="00584BB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800174" w:rsidRPr="00584BBA">
        <w:rPr>
          <w:rFonts w:asciiTheme="majorBidi" w:hAnsiTheme="majorBidi" w:cstheme="majorBidi"/>
          <w:b/>
          <w:bCs/>
          <w:sz w:val="24"/>
          <w:szCs w:val="24"/>
          <w:u w:val="single"/>
        </w:rPr>
        <w:t>H</w:t>
      </w:r>
      <w:r w:rsidRPr="00584BB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ousing and </w:t>
      </w:r>
      <w:r w:rsidR="00800174" w:rsidRPr="00584BBA">
        <w:rPr>
          <w:rFonts w:asciiTheme="majorBidi" w:hAnsiTheme="majorBidi" w:cstheme="majorBidi"/>
          <w:b/>
          <w:bCs/>
          <w:sz w:val="24"/>
          <w:szCs w:val="24"/>
          <w:u w:val="single"/>
        </w:rPr>
        <w:t>N</w:t>
      </w:r>
      <w:r w:rsidRPr="00584BB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onhousing </w:t>
      </w:r>
      <w:r w:rsidR="00800174" w:rsidRPr="00584BBA">
        <w:rPr>
          <w:rFonts w:asciiTheme="majorBidi" w:hAnsiTheme="majorBidi" w:cstheme="majorBidi"/>
          <w:b/>
          <w:bCs/>
          <w:sz w:val="24"/>
          <w:szCs w:val="24"/>
          <w:u w:val="single"/>
        </w:rPr>
        <w:t>D</w:t>
      </w:r>
      <w:r w:rsidRPr="00584BBA">
        <w:rPr>
          <w:rFonts w:asciiTheme="majorBidi" w:hAnsiTheme="majorBidi" w:cstheme="majorBidi"/>
          <w:b/>
          <w:bCs/>
          <w:sz w:val="24"/>
          <w:szCs w:val="24"/>
          <w:u w:val="single"/>
        </w:rPr>
        <w:t>ebt</w:t>
      </w:r>
      <w:r w:rsidR="00800174" w:rsidRPr="00584BBA">
        <w:rPr>
          <w:rFonts w:asciiTheme="majorBidi" w:hAnsiTheme="majorBidi" w:cstheme="majorBidi"/>
          <w:b/>
          <w:bCs/>
          <w:sz w:val="24"/>
          <w:szCs w:val="24"/>
          <w:u w:val="single"/>
        </w:rPr>
        <w:t>, Current Quarter vs. Corresponding Quarter of Previous Year</w:t>
      </w:r>
    </w:p>
    <w:p w:rsidR="004C4A1E" w:rsidRPr="00765B2B" w:rsidRDefault="008A1CB7" w:rsidP="004C4A1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inline distT="0" distB="0" distL="0" distR="0" wp14:anchorId="39EC9419">
            <wp:extent cx="5297805" cy="2810510"/>
            <wp:effectExtent l="0" t="0" r="0" b="8890"/>
            <wp:docPr id="13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805" cy="2810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2D2E" w:rsidRDefault="00E12D2E" w:rsidP="00473011">
      <w:pPr>
        <w:spacing w:before="480"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84BB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Figure </w:t>
      </w:r>
      <w:r w:rsidR="0001763A">
        <w:rPr>
          <w:rFonts w:asciiTheme="majorBidi" w:hAnsiTheme="majorBidi" w:cstheme="majorBidi"/>
          <w:b/>
          <w:bCs/>
          <w:sz w:val="24"/>
          <w:szCs w:val="24"/>
          <w:u w:val="single"/>
        </w:rPr>
        <w:t>6</w:t>
      </w:r>
      <w:r w:rsidR="0001763A" w:rsidRPr="00584BBA">
        <w:rPr>
          <w:rFonts w:asciiTheme="majorBidi" w:hAnsiTheme="majorBidi" w:cstheme="majorBidi"/>
          <w:b/>
          <w:bCs/>
          <w:sz w:val="24"/>
          <w:szCs w:val="24"/>
          <w:u w:val="single"/>
        </w:rPr>
        <w:t>: Amount</w:t>
      </w:r>
      <w:r w:rsidR="00010832" w:rsidRPr="00584BB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of New Home Purchase Loans Provided by Banks to the Public (Mortgages)</w:t>
      </w:r>
    </w:p>
    <w:p w:rsidR="00C1433E" w:rsidRPr="00584BBA" w:rsidRDefault="0001763A" w:rsidP="00584BBA">
      <w:pPr>
        <w:spacing w:before="240"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23E62B98">
            <wp:extent cx="5322570" cy="2822575"/>
            <wp:effectExtent l="19050" t="19050" r="11430" b="15875"/>
            <wp:docPr id="22" name="תמונה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570" cy="28225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D7E10" w:rsidRDefault="00584BBA" w:rsidP="006010D5">
      <w:pPr>
        <w:spacing w:before="480"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</w:t>
      </w:r>
      <w:r w:rsidR="002D7E10">
        <w:rPr>
          <w:rFonts w:asciiTheme="majorBidi" w:hAnsiTheme="majorBidi" w:cstheme="majorBidi"/>
          <w:sz w:val="24"/>
          <w:szCs w:val="24"/>
        </w:rPr>
        <w:t xml:space="preserve">inks to Data </w:t>
      </w:r>
      <w:r w:rsidR="008D3530">
        <w:rPr>
          <w:rFonts w:asciiTheme="majorBidi" w:hAnsiTheme="majorBidi" w:cstheme="majorBidi"/>
          <w:sz w:val="24"/>
          <w:szCs w:val="24"/>
        </w:rPr>
        <w:t xml:space="preserve">and Statistics </w:t>
      </w:r>
      <w:r w:rsidR="002D7E10">
        <w:rPr>
          <w:rFonts w:asciiTheme="majorBidi" w:hAnsiTheme="majorBidi" w:cstheme="majorBidi"/>
          <w:sz w:val="24"/>
          <w:szCs w:val="24"/>
        </w:rPr>
        <w:t>on the Bank of Israel website:</w:t>
      </w:r>
    </w:p>
    <w:p w:rsidR="008D3530" w:rsidRPr="00584BBA" w:rsidRDefault="009C5835" w:rsidP="00584BBA">
      <w:pPr>
        <w:spacing w:after="0"/>
        <w:rPr>
          <w:rFonts w:asciiTheme="majorBidi" w:hAnsiTheme="majorBidi" w:cstheme="majorBidi"/>
          <w:sz w:val="20"/>
          <w:szCs w:val="20"/>
        </w:rPr>
      </w:pPr>
      <w:hyperlink r:id="rId17" w:history="1">
        <w:r w:rsidR="008D3530" w:rsidRPr="00584BBA">
          <w:rPr>
            <w:rStyle w:val="Hyperlink"/>
            <w:rFonts w:asciiTheme="majorBidi" w:hAnsiTheme="majorBidi" w:cstheme="majorBidi"/>
            <w:sz w:val="20"/>
            <w:szCs w:val="20"/>
          </w:rPr>
          <w:t>http://www.boi.org.il/en/dataandstatistics/pages/default.aspx</w:t>
        </w:r>
      </w:hyperlink>
    </w:p>
    <w:p w:rsidR="002D7E10" w:rsidRPr="00584BBA" w:rsidRDefault="009C5835" w:rsidP="00584BBA">
      <w:pPr>
        <w:spacing w:after="0"/>
        <w:rPr>
          <w:rFonts w:asciiTheme="majorBidi" w:hAnsiTheme="majorBidi" w:cstheme="majorBidi"/>
          <w:sz w:val="20"/>
          <w:szCs w:val="20"/>
        </w:rPr>
      </w:pPr>
      <w:hyperlink r:id="rId18" w:history="1">
        <w:r w:rsidR="008D3530" w:rsidRPr="00584BBA">
          <w:rPr>
            <w:rStyle w:val="Hyperlink"/>
            <w:rFonts w:asciiTheme="majorBidi" w:hAnsiTheme="majorBidi" w:cstheme="majorBidi"/>
            <w:sz w:val="20"/>
            <w:szCs w:val="20"/>
          </w:rPr>
          <w:t>http://www.boi.org.il/en/bankingsupervision/data/pages/tables.aspx?chapterid=13</w:t>
        </w:r>
      </w:hyperlink>
    </w:p>
    <w:p w:rsidR="00706BE5" w:rsidRPr="00584BBA" w:rsidRDefault="009C5835" w:rsidP="00584BBA">
      <w:pPr>
        <w:pStyle w:val="af3"/>
        <w:bidi w:val="0"/>
        <w:spacing w:line="276" w:lineRule="auto"/>
        <w:ind w:right="567"/>
        <w:rPr>
          <w:rFonts w:asciiTheme="majorBidi" w:hAnsiTheme="majorBidi" w:cstheme="majorBidi"/>
          <w:sz w:val="20"/>
          <w:szCs w:val="20"/>
        </w:rPr>
      </w:pPr>
      <w:hyperlink r:id="rId19" w:history="1">
        <w:r w:rsidR="00706BE5" w:rsidRPr="00584BBA">
          <w:rPr>
            <w:rStyle w:val="Hyperlink"/>
            <w:rFonts w:asciiTheme="majorBidi" w:hAnsiTheme="majorBidi" w:cstheme="majorBidi"/>
            <w:sz w:val="20"/>
            <w:szCs w:val="20"/>
          </w:rPr>
          <w:t>http://www.boi.org.il/en/BankingSupervision/Data/Pages/Tables.aspx?ChapterId=19</w:t>
        </w:r>
      </w:hyperlink>
    </w:p>
    <w:p w:rsidR="00584BBA" w:rsidRDefault="009C5835" w:rsidP="00584BBA">
      <w:pPr>
        <w:spacing w:after="0"/>
        <w:jc w:val="both"/>
        <w:rPr>
          <w:rFonts w:asciiTheme="majorBidi" w:hAnsiTheme="majorBidi" w:cstheme="majorBidi"/>
          <w:sz w:val="20"/>
          <w:szCs w:val="20"/>
        </w:rPr>
      </w:pPr>
      <w:hyperlink r:id="rId20" w:history="1">
        <w:r w:rsidR="00E616E5" w:rsidRPr="00584BBA">
          <w:rPr>
            <w:rStyle w:val="Hyperlink"/>
            <w:rFonts w:asciiTheme="majorBidi" w:hAnsiTheme="majorBidi" w:cstheme="majorBidi"/>
            <w:sz w:val="20"/>
            <w:szCs w:val="20"/>
          </w:rPr>
          <w:t>http://www.boi.org.il/en/DataAndStatistics/Pages/MainPage.aspx?Level=3&amp;Sid=74&amp;SubjectType=2</w:t>
        </w:r>
      </w:hyperlink>
    </w:p>
    <w:sectPr w:rsidR="00584BBA">
      <w:footerReference w:type="default" r:id="rId2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AAF" w:rsidRDefault="007B1AAF" w:rsidP="00A06BF2">
      <w:pPr>
        <w:spacing w:after="0" w:line="240" w:lineRule="auto"/>
      </w:pPr>
      <w:r>
        <w:separator/>
      </w:r>
    </w:p>
  </w:endnote>
  <w:endnote w:type="continuationSeparator" w:id="0">
    <w:p w:rsidR="007B1AAF" w:rsidRDefault="007B1AAF" w:rsidP="00A06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75E" w:rsidRPr="009C5835" w:rsidRDefault="00D0275E" w:rsidP="009C5835">
    <w:pPr>
      <w:pStyle w:val="a8"/>
      <w:rPr>
        <w:sz w:val="18"/>
        <w:szCs w:val="18"/>
      </w:rPr>
    </w:pPr>
    <w:r w:rsidRPr="009C5835">
      <w:rPr>
        <w:rFonts w:asciiTheme="majorBidi" w:hAnsiTheme="majorBidi" w:cstheme="majorBidi"/>
        <w:sz w:val="20"/>
        <w:szCs w:val="20"/>
      </w:rPr>
      <w:t xml:space="preserve">Debt Developments in the </w:t>
    </w:r>
    <w:r w:rsidR="000E5F5D" w:rsidRPr="009C5835">
      <w:rPr>
        <w:rFonts w:asciiTheme="majorBidi" w:hAnsiTheme="majorBidi" w:cstheme="majorBidi"/>
        <w:sz w:val="20"/>
        <w:szCs w:val="20"/>
      </w:rPr>
      <w:t xml:space="preserve">Nonfinancial </w:t>
    </w:r>
    <w:r w:rsidR="000B3141" w:rsidRPr="009C5835">
      <w:rPr>
        <w:rFonts w:asciiTheme="majorBidi" w:hAnsiTheme="majorBidi" w:cstheme="majorBidi"/>
        <w:sz w:val="20"/>
        <w:szCs w:val="20"/>
      </w:rPr>
      <w:t>Private Sector</w:t>
    </w:r>
    <w:r w:rsidRPr="009C5835">
      <w:rPr>
        <w:rFonts w:asciiTheme="majorBidi" w:hAnsiTheme="majorBidi" w:cstheme="majorBidi"/>
        <w:sz w:val="20"/>
        <w:szCs w:val="20"/>
      </w:rPr>
      <w:t xml:space="preserve">, </w:t>
    </w:r>
    <w:r w:rsidR="00091824" w:rsidRPr="009C5835">
      <w:rPr>
        <w:rFonts w:asciiTheme="majorBidi" w:hAnsiTheme="majorBidi" w:cstheme="majorBidi"/>
        <w:sz w:val="20"/>
        <w:szCs w:val="20"/>
      </w:rPr>
      <w:t>second quarter</w:t>
    </w:r>
    <w:r w:rsidR="00481852" w:rsidRPr="009C5835">
      <w:rPr>
        <w:rFonts w:asciiTheme="majorBidi" w:hAnsiTheme="majorBidi" w:cstheme="majorBidi"/>
        <w:sz w:val="20"/>
        <w:szCs w:val="20"/>
      </w:rPr>
      <w:t xml:space="preserve"> of</w:t>
    </w:r>
    <w:r w:rsidRPr="009C5835">
      <w:rPr>
        <w:rFonts w:asciiTheme="majorBidi" w:hAnsiTheme="majorBidi" w:cstheme="majorBidi"/>
        <w:sz w:val="20"/>
        <w:szCs w:val="20"/>
      </w:rPr>
      <w:t xml:space="preserve"> </w:t>
    </w:r>
    <w:r w:rsidR="0093349D" w:rsidRPr="009C5835">
      <w:rPr>
        <w:rFonts w:asciiTheme="majorBidi" w:hAnsiTheme="majorBidi" w:cstheme="majorBidi"/>
        <w:sz w:val="20"/>
        <w:szCs w:val="20"/>
      </w:rPr>
      <w:t>20</w:t>
    </w:r>
    <w:r w:rsidR="00BD6B80" w:rsidRPr="009C5835">
      <w:rPr>
        <w:rFonts w:asciiTheme="majorBidi" w:hAnsiTheme="majorBidi" w:cstheme="majorBidi"/>
        <w:sz w:val="20"/>
        <w:szCs w:val="20"/>
      </w:rPr>
      <w:t>19</w:t>
    </w:r>
    <w:r w:rsidR="009C5835">
      <w:rPr>
        <w:sz w:val="18"/>
        <w:szCs w:val="18"/>
      </w:rPr>
      <w:tab/>
    </w:r>
    <w:r w:rsidRPr="009C5835">
      <w:rPr>
        <w:rFonts w:asciiTheme="majorBidi" w:hAnsiTheme="majorBidi" w:cstheme="majorBidi"/>
        <w:sz w:val="18"/>
        <w:szCs w:val="18"/>
      </w:rPr>
      <w:t>Page</w:t>
    </w:r>
    <w:r w:rsidRPr="009C5835">
      <w:rPr>
        <w:rFonts w:asciiTheme="majorBidi" w:hAnsiTheme="majorBidi" w:cstheme="majorBidi"/>
        <w:sz w:val="18"/>
        <w:szCs w:val="18"/>
        <w:rtl/>
        <w:cs/>
        <w:lang w:val="he-IL"/>
      </w:rPr>
      <w:t xml:space="preserve"> </w:t>
    </w:r>
    <w:r w:rsidRPr="009C5835">
      <w:rPr>
        <w:rFonts w:asciiTheme="majorBidi" w:hAnsiTheme="majorBidi" w:cstheme="majorBidi"/>
        <w:sz w:val="20"/>
        <w:szCs w:val="20"/>
      </w:rPr>
      <w:fldChar w:fldCharType="begin"/>
    </w:r>
    <w:r w:rsidRPr="009C5835">
      <w:rPr>
        <w:rFonts w:asciiTheme="majorBidi" w:hAnsiTheme="majorBidi" w:cstheme="majorBidi"/>
        <w:sz w:val="18"/>
        <w:szCs w:val="18"/>
        <w:rtl/>
        <w:cs/>
      </w:rPr>
      <w:instrText>PAGE</w:instrText>
    </w:r>
    <w:r w:rsidRPr="009C5835">
      <w:rPr>
        <w:rFonts w:asciiTheme="majorBidi" w:hAnsiTheme="majorBidi" w:cstheme="majorBidi"/>
        <w:sz w:val="20"/>
        <w:szCs w:val="20"/>
      </w:rPr>
      <w:fldChar w:fldCharType="separate"/>
    </w:r>
    <w:r w:rsidR="009C5835">
      <w:rPr>
        <w:rFonts w:asciiTheme="majorBidi" w:hAnsiTheme="majorBidi" w:cstheme="majorBidi"/>
        <w:noProof/>
        <w:sz w:val="20"/>
        <w:szCs w:val="20"/>
      </w:rPr>
      <w:t>2</w:t>
    </w:r>
    <w:r w:rsidRPr="009C5835">
      <w:rPr>
        <w:rFonts w:asciiTheme="majorBidi" w:hAnsiTheme="majorBidi" w:cstheme="majorBidi"/>
        <w:sz w:val="20"/>
        <w:szCs w:val="20"/>
      </w:rPr>
      <w:fldChar w:fldCharType="end"/>
    </w:r>
    <w:r w:rsidRPr="009C5835">
      <w:rPr>
        <w:rFonts w:asciiTheme="majorBidi" w:hAnsiTheme="majorBidi" w:cstheme="majorBidi"/>
        <w:sz w:val="18"/>
        <w:szCs w:val="18"/>
        <w:rtl/>
        <w:cs/>
        <w:lang w:val="he-IL"/>
      </w:rPr>
      <w:t xml:space="preserve"> </w:t>
    </w:r>
    <w:r w:rsidRPr="009C5835">
      <w:rPr>
        <w:rFonts w:asciiTheme="majorBidi" w:hAnsiTheme="majorBidi" w:cstheme="majorBidi"/>
        <w:sz w:val="18"/>
        <w:szCs w:val="18"/>
      </w:rPr>
      <w:t>of</w:t>
    </w:r>
    <w:r w:rsidRPr="009C5835">
      <w:rPr>
        <w:rFonts w:asciiTheme="majorBidi" w:hAnsiTheme="majorBidi" w:cstheme="majorBidi"/>
        <w:sz w:val="18"/>
        <w:szCs w:val="18"/>
        <w:rtl/>
        <w:cs/>
        <w:lang w:val="he-IL"/>
      </w:rPr>
      <w:t xml:space="preserve"> </w:t>
    </w:r>
    <w:r w:rsidRPr="009C5835">
      <w:rPr>
        <w:rFonts w:asciiTheme="majorBidi" w:hAnsiTheme="majorBidi" w:cstheme="majorBidi"/>
        <w:sz w:val="20"/>
        <w:szCs w:val="20"/>
      </w:rPr>
      <w:fldChar w:fldCharType="begin"/>
    </w:r>
    <w:r w:rsidRPr="009C5835">
      <w:rPr>
        <w:rFonts w:asciiTheme="majorBidi" w:hAnsiTheme="majorBidi" w:cstheme="majorBidi"/>
        <w:sz w:val="18"/>
        <w:szCs w:val="18"/>
        <w:rtl/>
        <w:cs/>
      </w:rPr>
      <w:instrText>NUMPAGES</w:instrText>
    </w:r>
    <w:r w:rsidRPr="009C5835">
      <w:rPr>
        <w:rFonts w:asciiTheme="majorBidi" w:hAnsiTheme="majorBidi" w:cstheme="majorBidi"/>
        <w:sz w:val="20"/>
        <w:szCs w:val="20"/>
      </w:rPr>
      <w:fldChar w:fldCharType="separate"/>
    </w:r>
    <w:r w:rsidR="009C5835">
      <w:rPr>
        <w:rFonts w:asciiTheme="majorBidi" w:hAnsiTheme="majorBidi" w:cstheme="majorBidi"/>
        <w:noProof/>
        <w:sz w:val="20"/>
        <w:szCs w:val="20"/>
      </w:rPr>
      <w:t>6</w:t>
    </w:r>
    <w:r w:rsidRPr="009C5835">
      <w:rPr>
        <w:rFonts w:asciiTheme="majorBidi" w:hAnsiTheme="majorBidi" w:cstheme="majorBid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AAF" w:rsidRDefault="007B1AAF" w:rsidP="00A06BF2">
      <w:pPr>
        <w:spacing w:after="0" w:line="240" w:lineRule="auto"/>
      </w:pPr>
      <w:r>
        <w:separator/>
      </w:r>
    </w:p>
  </w:footnote>
  <w:footnote w:type="continuationSeparator" w:id="0">
    <w:p w:rsidR="007B1AAF" w:rsidRDefault="007B1AAF" w:rsidP="00A06BF2">
      <w:pPr>
        <w:spacing w:after="0" w:line="240" w:lineRule="auto"/>
      </w:pPr>
      <w:r>
        <w:continuationSeparator/>
      </w:r>
    </w:p>
  </w:footnote>
  <w:footnote w:id="1">
    <w:p w:rsidR="00BD6B80" w:rsidRPr="00011436" w:rsidRDefault="00BD6B80" w:rsidP="00BD6B80">
      <w:pPr>
        <w:pStyle w:val="ab"/>
        <w:jc w:val="both"/>
        <w:rPr>
          <w:rFonts w:asciiTheme="majorBidi" w:hAnsiTheme="majorBidi" w:cstheme="majorBidi"/>
        </w:rPr>
      </w:pPr>
      <w:r w:rsidRPr="00011436">
        <w:rPr>
          <w:rStyle w:val="ad"/>
          <w:rFonts w:asciiTheme="majorBidi" w:hAnsiTheme="majorBidi" w:cstheme="majorBidi"/>
        </w:rPr>
        <w:footnoteRef/>
      </w:r>
      <w:r w:rsidRPr="0001143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Israeli firms, excluding banks, credit card companies, and insurance companies</w:t>
      </w:r>
      <w:r w:rsidRPr="00011436">
        <w:rPr>
          <w:rFonts w:asciiTheme="majorBidi" w:hAnsiTheme="majorBidi" w:cstheme="majorBid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0333"/>
    <w:multiLevelType w:val="hybridMultilevel"/>
    <w:tmpl w:val="C5025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63CBC"/>
    <w:multiLevelType w:val="hybridMultilevel"/>
    <w:tmpl w:val="374829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8718C0"/>
    <w:multiLevelType w:val="hybridMultilevel"/>
    <w:tmpl w:val="60D2E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8614BC"/>
    <w:multiLevelType w:val="hybridMultilevel"/>
    <w:tmpl w:val="56DCA4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F88"/>
    <w:rsid w:val="00010832"/>
    <w:rsid w:val="00011436"/>
    <w:rsid w:val="000129B9"/>
    <w:rsid w:val="00016D01"/>
    <w:rsid w:val="0001763A"/>
    <w:rsid w:val="000203E8"/>
    <w:rsid w:val="000242C5"/>
    <w:rsid w:val="00030B0E"/>
    <w:rsid w:val="00034D80"/>
    <w:rsid w:val="00046B1A"/>
    <w:rsid w:val="00057334"/>
    <w:rsid w:val="00061E78"/>
    <w:rsid w:val="000778C6"/>
    <w:rsid w:val="00080E4D"/>
    <w:rsid w:val="0008264F"/>
    <w:rsid w:val="00091824"/>
    <w:rsid w:val="000A0F4D"/>
    <w:rsid w:val="000A542B"/>
    <w:rsid w:val="000A5F95"/>
    <w:rsid w:val="000B0609"/>
    <w:rsid w:val="000B3141"/>
    <w:rsid w:val="000B79DC"/>
    <w:rsid w:val="000C5175"/>
    <w:rsid w:val="000C6F20"/>
    <w:rsid w:val="000C7744"/>
    <w:rsid w:val="000E5F5D"/>
    <w:rsid w:val="000F403C"/>
    <w:rsid w:val="000F5BCB"/>
    <w:rsid w:val="000F7403"/>
    <w:rsid w:val="000F77CA"/>
    <w:rsid w:val="001004B8"/>
    <w:rsid w:val="00101D53"/>
    <w:rsid w:val="00102F7B"/>
    <w:rsid w:val="0010432C"/>
    <w:rsid w:val="00105660"/>
    <w:rsid w:val="001079C2"/>
    <w:rsid w:val="00107B16"/>
    <w:rsid w:val="00110CE1"/>
    <w:rsid w:val="0011285C"/>
    <w:rsid w:val="0011626B"/>
    <w:rsid w:val="00116F55"/>
    <w:rsid w:val="00120934"/>
    <w:rsid w:val="00122419"/>
    <w:rsid w:val="00127D59"/>
    <w:rsid w:val="00134C09"/>
    <w:rsid w:val="001421F1"/>
    <w:rsid w:val="0014730C"/>
    <w:rsid w:val="00150A31"/>
    <w:rsid w:val="00160BD2"/>
    <w:rsid w:val="001624F1"/>
    <w:rsid w:val="00174244"/>
    <w:rsid w:val="00177492"/>
    <w:rsid w:val="00192B8C"/>
    <w:rsid w:val="001A53BA"/>
    <w:rsid w:val="001B2025"/>
    <w:rsid w:val="001B335C"/>
    <w:rsid w:val="001C74E5"/>
    <w:rsid w:val="001D3766"/>
    <w:rsid w:val="001D7C2C"/>
    <w:rsid w:val="001E2D7A"/>
    <w:rsid w:val="001E47E3"/>
    <w:rsid w:val="001F1F0E"/>
    <w:rsid w:val="002006A6"/>
    <w:rsid w:val="0020149C"/>
    <w:rsid w:val="00204DD9"/>
    <w:rsid w:val="00206102"/>
    <w:rsid w:val="002078C6"/>
    <w:rsid w:val="00210167"/>
    <w:rsid w:val="0021153B"/>
    <w:rsid w:val="00211B16"/>
    <w:rsid w:val="00224F83"/>
    <w:rsid w:val="00230EF5"/>
    <w:rsid w:val="00234C92"/>
    <w:rsid w:val="002525DD"/>
    <w:rsid w:val="002545D0"/>
    <w:rsid w:val="0025603D"/>
    <w:rsid w:val="00263F12"/>
    <w:rsid w:val="0026714A"/>
    <w:rsid w:val="002735F9"/>
    <w:rsid w:val="00273622"/>
    <w:rsid w:val="00277E99"/>
    <w:rsid w:val="002808EA"/>
    <w:rsid w:val="0028623F"/>
    <w:rsid w:val="002863DC"/>
    <w:rsid w:val="00296730"/>
    <w:rsid w:val="00297EBB"/>
    <w:rsid w:val="002A455A"/>
    <w:rsid w:val="002B25AC"/>
    <w:rsid w:val="002B3782"/>
    <w:rsid w:val="002C15A3"/>
    <w:rsid w:val="002C70E3"/>
    <w:rsid w:val="002C7C12"/>
    <w:rsid w:val="002D626A"/>
    <w:rsid w:val="002D7E10"/>
    <w:rsid w:val="002E7C60"/>
    <w:rsid w:val="002F257B"/>
    <w:rsid w:val="002F37FF"/>
    <w:rsid w:val="002F6792"/>
    <w:rsid w:val="00321F7D"/>
    <w:rsid w:val="00330322"/>
    <w:rsid w:val="00336B5C"/>
    <w:rsid w:val="00342B2E"/>
    <w:rsid w:val="00353BAF"/>
    <w:rsid w:val="0036087E"/>
    <w:rsid w:val="003647F0"/>
    <w:rsid w:val="003729EE"/>
    <w:rsid w:val="00374BD9"/>
    <w:rsid w:val="00385629"/>
    <w:rsid w:val="00385E29"/>
    <w:rsid w:val="00386A70"/>
    <w:rsid w:val="0039772D"/>
    <w:rsid w:val="003A14D9"/>
    <w:rsid w:val="003B1BFF"/>
    <w:rsid w:val="003B4454"/>
    <w:rsid w:val="003B6A28"/>
    <w:rsid w:val="003C2032"/>
    <w:rsid w:val="003C367A"/>
    <w:rsid w:val="003D6900"/>
    <w:rsid w:val="003F32A0"/>
    <w:rsid w:val="00400DCE"/>
    <w:rsid w:val="0040655C"/>
    <w:rsid w:val="004110CA"/>
    <w:rsid w:val="00430D9C"/>
    <w:rsid w:val="00432CBB"/>
    <w:rsid w:val="00433B32"/>
    <w:rsid w:val="00436DE4"/>
    <w:rsid w:val="0044382E"/>
    <w:rsid w:val="00461ECE"/>
    <w:rsid w:val="00473011"/>
    <w:rsid w:val="00481852"/>
    <w:rsid w:val="00483663"/>
    <w:rsid w:val="00487094"/>
    <w:rsid w:val="00495F4E"/>
    <w:rsid w:val="00496EB3"/>
    <w:rsid w:val="0049783F"/>
    <w:rsid w:val="004A1331"/>
    <w:rsid w:val="004B0290"/>
    <w:rsid w:val="004B2C2C"/>
    <w:rsid w:val="004C1794"/>
    <w:rsid w:val="004C2681"/>
    <w:rsid w:val="004C4A1E"/>
    <w:rsid w:val="004C506F"/>
    <w:rsid w:val="004C5E28"/>
    <w:rsid w:val="004C6D22"/>
    <w:rsid w:val="004C7C6D"/>
    <w:rsid w:val="004D24DA"/>
    <w:rsid w:val="004D350E"/>
    <w:rsid w:val="004D5CA9"/>
    <w:rsid w:val="004D5EDA"/>
    <w:rsid w:val="004D6E91"/>
    <w:rsid w:val="004D7AA9"/>
    <w:rsid w:val="004E1951"/>
    <w:rsid w:val="00514DE4"/>
    <w:rsid w:val="0052014E"/>
    <w:rsid w:val="0053381D"/>
    <w:rsid w:val="0054096B"/>
    <w:rsid w:val="00547126"/>
    <w:rsid w:val="005555EE"/>
    <w:rsid w:val="0056544E"/>
    <w:rsid w:val="00575571"/>
    <w:rsid w:val="00583901"/>
    <w:rsid w:val="00584BBA"/>
    <w:rsid w:val="00590F6B"/>
    <w:rsid w:val="005A41A8"/>
    <w:rsid w:val="005A780B"/>
    <w:rsid w:val="005B5131"/>
    <w:rsid w:val="005C195E"/>
    <w:rsid w:val="005C2293"/>
    <w:rsid w:val="005C58AB"/>
    <w:rsid w:val="005C747F"/>
    <w:rsid w:val="005D4402"/>
    <w:rsid w:val="006010D5"/>
    <w:rsid w:val="006037BD"/>
    <w:rsid w:val="00612BF9"/>
    <w:rsid w:val="00615B66"/>
    <w:rsid w:val="006171F7"/>
    <w:rsid w:val="00617B54"/>
    <w:rsid w:val="00631F08"/>
    <w:rsid w:val="0063426C"/>
    <w:rsid w:val="006451C4"/>
    <w:rsid w:val="00645AA6"/>
    <w:rsid w:val="00647F9C"/>
    <w:rsid w:val="00663FFE"/>
    <w:rsid w:val="00667F03"/>
    <w:rsid w:val="00674023"/>
    <w:rsid w:val="0067554A"/>
    <w:rsid w:val="00675D3E"/>
    <w:rsid w:val="00697A4C"/>
    <w:rsid w:val="006A0BE7"/>
    <w:rsid w:val="006A2E89"/>
    <w:rsid w:val="006A6B37"/>
    <w:rsid w:val="006B0321"/>
    <w:rsid w:val="006B3904"/>
    <w:rsid w:val="006B3B24"/>
    <w:rsid w:val="006B6C0E"/>
    <w:rsid w:val="006B7408"/>
    <w:rsid w:val="006C1F27"/>
    <w:rsid w:val="006C320C"/>
    <w:rsid w:val="006C4650"/>
    <w:rsid w:val="006E1851"/>
    <w:rsid w:val="006E3A28"/>
    <w:rsid w:val="00706BE5"/>
    <w:rsid w:val="0070799A"/>
    <w:rsid w:val="0071131A"/>
    <w:rsid w:val="00713CDD"/>
    <w:rsid w:val="00725F24"/>
    <w:rsid w:val="00730D5B"/>
    <w:rsid w:val="00733715"/>
    <w:rsid w:val="00734CEC"/>
    <w:rsid w:val="00737B18"/>
    <w:rsid w:val="00737C12"/>
    <w:rsid w:val="00744A88"/>
    <w:rsid w:val="00746BE9"/>
    <w:rsid w:val="00747842"/>
    <w:rsid w:val="00755833"/>
    <w:rsid w:val="0076044B"/>
    <w:rsid w:val="00765B2B"/>
    <w:rsid w:val="00765FD1"/>
    <w:rsid w:val="00771CB1"/>
    <w:rsid w:val="0077660D"/>
    <w:rsid w:val="0078697A"/>
    <w:rsid w:val="00790177"/>
    <w:rsid w:val="00790A86"/>
    <w:rsid w:val="00791082"/>
    <w:rsid w:val="00792955"/>
    <w:rsid w:val="00792D73"/>
    <w:rsid w:val="007B1365"/>
    <w:rsid w:val="007B1AAF"/>
    <w:rsid w:val="007B318B"/>
    <w:rsid w:val="007B5499"/>
    <w:rsid w:val="007B7B7B"/>
    <w:rsid w:val="007C1D95"/>
    <w:rsid w:val="007C2B9B"/>
    <w:rsid w:val="007C69F2"/>
    <w:rsid w:val="007C7A9A"/>
    <w:rsid w:val="007D3A28"/>
    <w:rsid w:val="007F2F67"/>
    <w:rsid w:val="007F4615"/>
    <w:rsid w:val="00800174"/>
    <w:rsid w:val="00801EEF"/>
    <w:rsid w:val="00802665"/>
    <w:rsid w:val="00802EDD"/>
    <w:rsid w:val="008033BB"/>
    <w:rsid w:val="00806F91"/>
    <w:rsid w:val="008138ED"/>
    <w:rsid w:val="00820BC6"/>
    <w:rsid w:val="00825CDE"/>
    <w:rsid w:val="008305D7"/>
    <w:rsid w:val="00835E16"/>
    <w:rsid w:val="00846F1D"/>
    <w:rsid w:val="00847BA0"/>
    <w:rsid w:val="00866494"/>
    <w:rsid w:val="008665FB"/>
    <w:rsid w:val="00867523"/>
    <w:rsid w:val="00871103"/>
    <w:rsid w:val="00875E3C"/>
    <w:rsid w:val="0087630B"/>
    <w:rsid w:val="00876FA7"/>
    <w:rsid w:val="008843CE"/>
    <w:rsid w:val="00894F88"/>
    <w:rsid w:val="008A1CB7"/>
    <w:rsid w:val="008A34E1"/>
    <w:rsid w:val="008A36CF"/>
    <w:rsid w:val="008A394F"/>
    <w:rsid w:val="008A79FF"/>
    <w:rsid w:val="008B3293"/>
    <w:rsid w:val="008B4F5C"/>
    <w:rsid w:val="008B4F68"/>
    <w:rsid w:val="008C34B2"/>
    <w:rsid w:val="008D30CB"/>
    <w:rsid w:val="008D325B"/>
    <w:rsid w:val="008D34C8"/>
    <w:rsid w:val="008D3530"/>
    <w:rsid w:val="008E02F6"/>
    <w:rsid w:val="008F1915"/>
    <w:rsid w:val="008F2123"/>
    <w:rsid w:val="00902504"/>
    <w:rsid w:val="0090596C"/>
    <w:rsid w:val="00911687"/>
    <w:rsid w:val="00915A5C"/>
    <w:rsid w:val="00924693"/>
    <w:rsid w:val="0093349D"/>
    <w:rsid w:val="00935D05"/>
    <w:rsid w:val="009364E8"/>
    <w:rsid w:val="00942FDD"/>
    <w:rsid w:val="009439C8"/>
    <w:rsid w:val="00943E21"/>
    <w:rsid w:val="009468FD"/>
    <w:rsid w:val="00946BA6"/>
    <w:rsid w:val="00957C9F"/>
    <w:rsid w:val="00962B9E"/>
    <w:rsid w:val="009724A2"/>
    <w:rsid w:val="00972710"/>
    <w:rsid w:val="0097602F"/>
    <w:rsid w:val="009765C3"/>
    <w:rsid w:val="0098186C"/>
    <w:rsid w:val="00987E81"/>
    <w:rsid w:val="00991A4A"/>
    <w:rsid w:val="009A39EA"/>
    <w:rsid w:val="009A6B8D"/>
    <w:rsid w:val="009B0F47"/>
    <w:rsid w:val="009B18E7"/>
    <w:rsid w:val="009B1E05"/>
    <w:rsid w:val="009B27AA"/>
    <w:rsid w:val="009C18F6"/>
    <w:rsid w:val="009C5812"/>
    <w:rsid w:val="009C5835"/>
    <w:rsid w:val="009C59F4"/>
    <w:rsid w:val="009E14D4"/>
    <w:rsid w:val="009E625A"/>
    <w:rsid w:val="009F23A6"/>
    <w:rsid w:val="009F3E6B"/>
    <w:rsid w:val="00A02143"/>
    <w:rsid w:val="00A04122"/>
    <w:rsid w:val="00A06BF2"/>
    <w:rsid w:val="00A11B09"/>
    <w:rsid w:val="00A23C43"/>
    <w:rsid w:val="00A273E9"/>
    <w:rsid w:val="00A30D2B"/>
    <w:rsid w:val="00A31F2D"/>
    <w:rsid w:val="00A34EC8"/>
    <w:rsid w:val="00A3509E"/>
    <w:rsid w:val="00A363E6"/>
    <w:rsid w:val="00A46AE3"/>
    <w:rsid w:val="00A5598D"/>
    <w:rsid w:val="00A6112F"/>
    <w:rsid w:val="00A62596"/>
    <w:rsid w:val="00A632A6"/>
    <w:rsid w:val="00A64B2A"/>
    <w:rsid w:val="00A72D4E"/>
    <w:rsid w:val="00A72F12"/>
    <w:rsid w:val="00A75A29"/>
    <w:rsid w:val="00A76749"/>
    <w:rsid w:val="00A81A95"/>
    <w:rsid w:val="00A86378"/>
    <w:rsid w:val="00A87274"/>
    <w:rsid w:val="00A87FC9"/>
    <w:rsid w:val="00AB14CF"/>
    <w:rsid w:val="00AC5B57"/>
    <w:rsid w:val="00AC7B68"/>
    <w:rsid w:val="00AD33E8"/>
    <w:rsid w:val="00AD4096"/>
    <w:rsid w:val="00AE7CEE"/>
    <w:rsid w:val="00AE7F78"/>
    <w:rsid w:val="00AF1D7F"/>
    <w:rsid w:val="00AF5887"/>
    <w:rsid w:val="00AF6D7B"/>
    <w:rsid w:val="00B06C06"/>
    <w:rsid w:val="00B07547"/>
    <w:rsid w:val="00B154AF"/>
    <w:rsid w:val="00B17EBB"/>
    <w:rsid w:val="00B25D9C"/>
    <w:rsid w:val="00B2634B"/>
    <w:rsid w:val="00B366B9"/>
    <w:rsid w:val="00B67716"/>
    <w:rsid w:val="00B74F83"/>
    <w:rsid w:val="00B75697"/>
    <w:rsid w:val="00B85546"/>
    <w:rsid w:val="00B91C2A"/>
    <w:rsid w:val="00BA0CFD"/>
    <w:rsid w:val="00BA13F6"/>
    <w:rsid w:val="00BA2534"/>
    <w:rsid w:val="00BB0860"/>
    <w:rsid w:val="00BB5849"/>
    <w:rsid w:val="00BB63CD"/>
    <w:rsid w:val="00BC376E"/>
    <w:rsid w:val="00BC7871"/>
    <w:rsid w:val="00BD6B80"/>
    <w:rsid w:val="00BE0E15"/>
    <w:rsid w:val="00BF1D39"/>
    <w:rsid w:val="00BF4626"/>
    <w:rsid w:val="00BF7CD5"/>
    <w:rsid w:val="00C02766"/>
    <w:rsid w:val="00C0571F"/>
    <w:rsid w:val="00C12B5A"/>
    <w:rsid w:val="00C12D34"/>
    <w:rsid w:val="00C1433E"/>
    <w:rsid w:val="00C15347"/>
    <w:rsid w:val="00C16651"/>
    <w:rsid w:val="00C2143A"/>
    <w:rsid w:val="00C264F0"/>
    <w:rsid w:val="00C35305"/>
    <w:rsid w:val="00C361B1"/>
    <w:rsid w:val="00C37377"/>
    <w:rsid w:val="00C404BD"/>
    <w:rsid w:val="00C45DCD"/>
    <w:rsid w:val="00C52C35"/>
    <w:rsid w:val="00C53D28"/>
    <w:rsid w:val="00C62102"/>
    <w:rsid w:val="00C66D3F"/>
    <w:rsid w:val="00C672E3"/>
    <w:rsid w:val="00C70263"/>
    <w:rsid w:val="00C72CE5"/>
    <w:rsid w:val="00C87FEE"/>
    <w:rsid w:val="00C91FFE"/>
    <w:rsid w:val="00C924DE"/>
    <w:rsid w:val="00C93D11"/>
    <w:rsid w:val="00CA548D"/>
    <w:rsid w:val="00CB1D0D"/>
    <w:rsid w:val="00CB2104"/>
    <w:rsid w:val="00CB71B0"/>
    <w:rsid w:val="00CD02A8"/>
    <w:rsid w:val="00CD4CB6"/>
    <w:rsid w:val="00CD4D78"/>
    <w:rsid w:val="00CD6A95"/>
    <w:rsid w:val="00CE17B8"/>
    <w:rsid w:val="00CF40F2"/>
    <w:rsid w:val="00D0275E"/>
    <w:rsid w:val="00D0373D"/>
    <w:rsid w:val="00D052FC"/>
    <w:rsid w:val="00D105BC"/>
    <w:rsid w:val="00D12366"/>
    <w:rsid w:val="00D143A2"/>
    <w:rsid w:val="00D208FB"/>
    <w:rsid w:val="00D22E4C"/>
    <w:rsid w:val="00D251BA"/>
    <w:rsid w:val="00D31270"/>
    <w:rsid w:val="00D40A7B"/>
    <w:rsid w:val="00D43699"/>
    <w:rsid w:val="00D45FF1"/>
    <w:rsid w:val="00D53505"/>
    <w:rsid w:val="00D542BB"/>
    <w:rsid w:val="00D55440"/>
    <w:rsid w:val="00D70FAF"/>
    <w:rsid w:val="00D71BFC"/>
    <w:rsid w:val="00D74937"/>
    <w:rsid w:val="00D751A3"/>
    <w:rsid w:val="00D75669"/>
    <w:rsid w:val="00D80897"/>
    <w:rsid w:val="00D85C19"/>
    <w:rsid w:val="00D96500"/>
    <w:rsid w:val="00DB4D94"/>
    <w:rsid w:val="00DC3490"/>
    <w:rsid w:val="00DD0FBD"/>
    <w:rsid w:val="00DD5E95"/>
    <w:rsid w:val="00DD6BC1"/>
    <w:rsid w:val="00DD6CC9"/>
    <w:rsid w:val="00DD762B"/>
    <w:rsid w:val="00DE5C99"/>
    <w:rsid w:val="00DE6EF6"/>
    <w:rsid w:val="00DF5DF8"/>
    <w:rsid w:val="00DF6249"/>
    <w:rsid w:val="00E1225F"/>
    <w:rsid w:val="00E12D2E"/>
    <w:rsid w:val="00E152B4"/>
    <w:rsid w:val="00E20874"/>
    <w:rsid w:val="00E21A73"/>
    <w:rsid w:val="00E22138"/>
    <w:rsid w:val="00E27478"/>
    <w:rsid w:val="00E34A5B"/>
    <w:rsid w:val="00E40E31"/>
    <w:rsid w:val="00E424FB"/>
    <w:rsid w:val="00E54383"/>
    <w:rsid w:val="00E616E5"/>
    <w:rsid w:val="00E67477"/>
    <w:rsid w:val="00E67B56"/>
    <w:rsid w:val="00E73A93"/>
    <w:rsid w:val="00E8253E"/>
    <w:rsid w:val="00E90210"/>
    <w:rsid w:val="00E94CC0"/>
    <w:rsid w:val="00EA1EDA"/>
    <w:rsid w:val="00EA4FC8"/>
    <w:rsid w:val="00EA5C40"/>
    <w:rsid w:val="00EB3731"/>
    <w:rsid w:val="00EC4E01"/>
    <w:rsid w:val="00ED123D"/>
    <w:rsid w:val="00ED6DA4"/>
    <w:rsid w:val="00ED74A5"/>
    <w:rsid w:val="00ED7F96"/>
    <w:rsid w:val="00EE38C4"/>
    <w:rsid w:val="00EF7E00"/>
    <w:rsid w:val="00F0257F"/>
    <w:rsid w:val="00F05D43"/>
    <w:rsid w:val="00F07519"/>
    <w:rsid w:val="00F11D9D"/>
    <w:rsid w:val="00F152CA"/>
    <w:rsid w:val="00F16AE6"/>
    <w:rsid w:val="00F226B8"/>
    <w:rsid w:val="00F343EC"/>
    <w:rsid w:val="00F40B8B"/>
    <w:rsid w:val="00F464B8"/>
    <w:rsid w:val="00F47BDF"/>
    <w:rsid w:val="00F50284"/>
    <w:rsid w:val="00F536FF"/>
    <w:rsid w:val="00F56F1A"/>
    <w:rsid w:val="00F67E0D"/>
    <w:rsid w:val="00F70480"/>
    <w:rsid w:val="00F71470"/>
    <w:rsid w:val="00F75C8B"/>
    <w:rsid w:val="00F950EE"/>
    <w:rsid w:val="00F97D93"/>
    <w:rsid w:val="00FA2B76"/>
    <w:rsid w:val="00FB1BD6"/>
    <w:rsid w:val="00FB2563"/>
    <w:rsid w:val="00FB2A2D"/>
    <w:rsid w:val="00FC20D7"/>
    <w:rsid w:val="00FD4A31"/>
    <w:rsid w:val="00FD63D0"/>
    <w:rsid w:val="00FE001D"/>
    <w:rsid w:val="00FE240A"/>
    <w:rsid w:val="00FF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277E3"/>
  <w15:docId w15:val="{680A9A29-4213-4F1C-A891-CC485FF9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D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0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D208FB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8D3530"/>
    <w:rPr>
      <w:color w:val="0000FF" w:themeColor="hyperlink"/>
      <w:u w:val="single"/>
    </w:rPr>
  </w:style>
  <w:style w:type="paragraph" w:customStyle="1" w:styleId="regpar">
    <w:name w:val="regpar"/>
    <w:basedOn w:val="a"/>
    <w:rsid w:val="00C12B5A"/>
    <w:pPr>
      <w:spacing w:after="0" w:line="300" w:lineRule="exact"/>
      <w:ind w:firstLine="240"/>
      <w:jc w:val="both"/>
    </w:pPr>
    <w:rPr>
      <w:rFonts w:ascii="Times" w:eastAsia="Times New Roman" w:hAnsi="Times" w:cs="Times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06B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A06BF2"/>
  </w:style>
  <w:style w:type="paragraph" w:styleId="a8">
    <w:name w:val="footer"/>
    <w:basedOn w:val="a"/>
    <w:link w:val="a9"/>
    <w:uiPriority w:val="99"/>
    <w:unhideWhenUsed/>
    <w:rsid w:val="00A06B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A06BF2"/>
  </w:style>
  <w:style w:type="paragraph" w:styleId="NormalWeb">
    <w:name w:val="Normal (Web)"/>
    <w:basedOn w:val="a"/>
    <w:uiPriority w:val="99"/>
    <w:semiHidden/>
    <w:unhideWhenUsed/>
    <w:rsid w:val="00E12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laceholder Text"/>
    <w:basedOn w:val="a0"/>
    <w:uiPriority w:val="99"/>
    <w:semiHidden/>
    <w:rsid w:val="006E1851"/>
    <w:rPr>
      <w:color w:val="808080"/>
    </w:rPr>
  </w:style>
  <w:style w:type="paragraph" w:styleId="ab">
    <w:name w:val="footnote text"/>
    <w:basedOn w:val="a"/>
    <w:link w:val="ac"/>
    <w:uiPriority w:val="99"/>
    <w:semiHidden/>
    <w:unhideWhenUsed/>
    <w:rsid w:val="001F1F0E"/>
    <w:pPr>
      <w:spacing w:after="0" w:line="240" w:lineRule="auto"/>
    </w:pPr>
    <w:rPr>
      <w:sz w:val="20"/>
      <w:szCs w:val="20"/>
    </w:rPr>
  </w:style>
  <w:style w:type="character" w:customStyle="1" w:styleId="ac">
    <w:name w:val="טקסט הערת שוליים תו"/>
    <w:basedOn w:val="a0"/>
    <w:link w:val="ab"/>
    <w:uiPriority w:val="99"/>
    <w:semiHidden/>
    <w:rsid w:val="001F1F0E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1F1F0E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AF6D7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F6D7B"/>
    <w:pPr>
      <w:spacing w:line="240" w:lineRule="auto"/>
    </w:pPr>
    <w:rPr>
      <w:sz w:val="20"/>
      <w:szCs w:val="20"/>
    </w:rPr>
  </w:style>
  <w:style w:type="character" w:customStyle="1" w:styleId="af0">
    <w:name w:val="טקסט הערה תו"/>
    <w:basedOn w:val="a0"/>
    <w:link w:val="af"/>
    <w:uiPriority w:val="99"/>
    <w:semiHidden/>
    <w:rsid w:val="00AF6D7B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F6D7B"/>
    <w:rPr>
      <w:b/>
      <w:bCs/>
    </w:rPr>
  </w:style>
  <w:style w:type="character" w:customStyle="1" w:styleId="af2">
    <w:name w:val="נושא הערה תו"/>
    <w:basedOn w:val="af0"/>
    <w:link w:val="af1"/>
    <w:uiPriority w:val="99"/>
    <w:semiHidden/>
    <w:rsid w:val="00AF6D7B"/>
    <w:rPr>
      <w:b/>
      <w:bCs/>
      <w:sz w:val="20"/>
      <w:szCs w:val="20"/>
    </w:rPr>
  </w:style>
  <w:style w:type="paragraph" w:customStyle="1" w:styleId="LetterheadBOI">
    <w:name w:val="Letterhead BOI"/>
    <w:basedOn w:val="regpar"/>
    <w:link w:val="LetterheadBOIChar"/>
    <w:qFormat/>
    <w:rsid w:val="00867523"/>
    <w:pPr>
      <w:spacing w:line="300" w:lineRule="atLeast"/>
      <w:ind w:firstLine="0"/>
      <w:jc w:val="center"/>
    </w:pPr>
    <w:rPr>
      <w:rFonts w:ascii="Times New Roman" w:hAnsi="Times New Roman" w:cs="David"/>
      <w:b/>
    </w:rPr>
  </w:style>
  <w:style w:type="paragraph" w:customStyle="1" w:styleId="Letterhead2">
    <w:name w:val="Letterhead 2"/>
    <w:basedOn w:val="regpar"/>
    <w:link w:val="Letterhead2Char"/>
    <w:qFormat/>
    <w:rsid w:val="00867523"/>
    <w:pPr>
      <w:spacing w:line="300" w:lineRule="atLeast"/>
      <w:ind w:firstLine="0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LetterheadBOIChar">
    <w:name w:val="Letterhead BOI Char"/>
    <w:basedOn w:val="a0"/>
    <w:link w:val="LetterheadBOI"/>
    <w:rsid w:val="00867523"/>
    <w:rPr>
      <w:rFonts w:ascii="Times New Roman" w:eastAsia="Times New Roman" w:hAnsi="Times New Roman" w:cs="David"/>
      <w:b/>
      <w:sz w:val="24"/>
      <w:szCs w:val="24"/>
    </w:rPr>
  </w:style>
  <w:style w:type="character" w:customStyle="1" w:styleId="Letterhead2Char">
    <w:name w:val="Letterhead 2 Char"/>
    <w:basedOn w:val="a0"/>
    <w:link w:val="Letterhead2"/>
    <w:rsid w:val="00867523"/>
    <w:rPr>
      <w:rFonts w:ascii="Times New Roman" w:eastAsia="Times New Roman" w:hAnsi="Times New Roman" w:cs="Times New Roman"/>
      <w:sz w:val="26"/>
      <w:szCs w:val="26"/>
    </w:rPr>
  </w:style>
  <w:style w:type="paragraph" w:customStyle="1" w:styleId="PressReleaseTitle">
    <w:name w:val="Press Release Title"/>
    <w:basedOn w:val="a"/>
    <w:link w:val="PressReleaseTitleChar"/>
    <w:qFormat/>
    <w:rsid w:val="00867523"/>
    <w:pPr>
      <w:tabs>
        <w:tab w:val="center" w:pos="4156"/>
        <w:tab w:val="right" w:pos="8312"/>
      </w:tabs>
      <w:spacing w:after="0" w:line="240" w:lineRule="auto"/>
      <w:jc w:val="center"/>
    </w:pPr>
    <w:rPr>
      <w:rFonts w:ascii="Times New Roman" w:eastAsia="Times New Roman" w:hAnsi="Times New Roman" w:cs="David"/>
      <w:b/>
      <w:bCs/>
      <w:sz w:val="26"/>
      <w:szCs w:val="26"/>
    </w:rPr>
  </w:style>
  <w:style w:type="character" w:customStyle="1" w:styleId="PressReleaseTitleChar">
    <w:name w:val="Press Release Title Char"/>
    <w:basedOn w:val="a0"/>
    <w:link w:val="PressReleaseTitle"/>
    <w:rsid w:val="00867523"/>
    <w:rPr>
      <w:rFonts w:ascii="Times New Roman" w:eastAsia="Times New Roman" w:hAnsi="Times New Roman" w:cs="David"/>
      <w:b/>
      <w:bCs/>
      <w:sz w:val="26"/>
      <w:szCs w:val="26"/>
    </w:rPr>
  </w:style>
  <w:style w:type="paragraph" w:styleId="af3">
    <w:name w:val="Plain Text"/>
    <w:basedOn w:val="a"/>
    <w:link w:val="af4"/>
    <w:uiPriority w:val="99"/>
    <w:unhideWhenUsed/>
    <w:rsid w:val="000B3141"/>
    <w:pPr>
      <w:bidi/>
      <w:spacing w:after="0" w:line="240" w:lineRule="auto"/>
    </w:pPr>
    <w:rPr>
      <w:rFonts w:ascii="Calibri" w:hAnsi="Calibri"/>
      <w:szCs w:val="21"/>
    </w:rPr>
  </w:style>
  <w:style w:type="character" w:customStyle="1" w:styleId="af4">
    <w:name w:val="טקסט רגיל תו"/>
    <w:basedOn w:val="a0"/>
    <w:link w:val="af3"/>
    <w:uiPriority w:val="99"/>
    <w:rsid w:val="000B3141"/>
    <w:rPr>
      <w:rFonts w:ascii="Calibri" w:hAnsi="Calibri"/>
      <w:szCs w:val="21"/>
    </w:rPr>
  </w:style>
  <w:style w:type="character" w:styleId="FollowedHyperlink">
    <w:name w:val="FollowedHyperlink"/>
    <w:basedOn w:val="a0"/>
    <w:uiPriority w:val="99"/>
    <w:semiHidden/>
    <w:unhideWhenUsed/>
    <w:rsid w:val="000B31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yperlink" Target="http://www.boi.org.il/en/bankingsupervision/data/pages/tables.aspx?chapterid=13" TargetMode="Externa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boi.org.il/en/dataandstatistics/pages/default.aspx" TargetMode="Externa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://www.boi.org.il/en/DataAndStatistics/Pages/MainPage.aspx?Level=3&amp;Sid=74&amp;SubjectType=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://www.boi.org.il/en/BankingSupervision/Data/Pages/Tables.aspx?ChapterId=1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E9343D4987C6478DC1BE6EDC107D2A" ma:contentTypeVersion="2" ma:contentTypeDescription="Create a new document." ma:contentTypeScope="" ma:versionID="dc66967819e61477bbb22baefbd4665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a2d015b092b9b034dac7bb82bea7ad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074BBF0-AEBD-4654-969F-85AB27C269C6}"/>
</file>

<file path=customXml/itemProps2.xml><?xml version="1.0" encoding="utf-8"?>
<ds:datastoreItem xmlns:ds="http://schemas.openxmlformats.org/officeDocument/2006/customXml" ds:itemID="{6EB0505B-E989-4935-8C3D-97F257970E1A}"/>
</file>

<file path=customXml/itemProps3.xml><?xml version="1.0" encoding="utf-8"?>
<ds:datastoreItem xmlns:ds="http://schemas.openxmlformats.org/officeDocument/2006/customXml" ds:itemID="{A7FDE761-81E8-4BBA-BE70-D1696C39E7F8}"/>
</file>

<file path=customXml/itemProps4.xml><?xml version="1.0" encoding="utf-8"?>
<ds:datastoreItem xmlns:ds="http://schemas.openxmlformats.org/officeDocument/2006/customXml" ds:itemID="{A35735C4-B594-492E-95AC-653BB52EDB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664</Words>
  <Characters>3322</Characters>
  <Application>Microsoft Office Word</Application>
  <DocSecurity>4</DocSecurity>
  <Lines>27</Lines>
  <Paragraphs>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BOI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u15c</dc:creator>
  <cp:lastModifiedBy>מיטל רולניצקי</cp:lastModifiedBy>
  <cp:revision>2</cp:revision>
  <cp:lastPrinted>2014-12-25T12:03:00Z</cp:lastPrinted>
  <dcterms:created xsi:type="dcterms:W3CDTF">2019-09-22T09:15:00Z</dcterms:created>
  <dcterms:modified xsi:type="dcterms:W3CDTF">2019-09-22T09:15:00Z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0x010100BEE9343D4987C6478DC1BE6EDC107D2A</vt:lpwstr>
  </property>
</Properties>
</file>