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ECC2C" w14:textId="295594CC" w:rsidR="00D772B2" w:rsidRDefault="00D772B2" w:rsidP="00D772B2">
      <w:pPr>
        <w:bidi w:val="0"/>
      </w:pPr>
    </w:p>
    <w:p w14:paraId="777BAAD1" w14:textId="2B5B3059" w:rsidR="00D772B2" w:rsidRPr="004D084B" w:rsidRDefault="007D22AC" w:rsidP="007D22AC">
      <w:pPr>
        <w:bidi w:val="0"/>
      </w:pPr>
      <w:r>
        <w:t>March 29, 2026</w:t>
      </w:r>
    </w:p>
    <w:p w14:paraId="5E55176C" w14:textId="01589B04" w:rsidR="00D772B2" w:rsidRPr="004D084B" w:rsidRDefault="00D772B2" w:rsidP="00D772B2">
      <w:pPr>
        <w:pStyle w:val="PressReleaseTitle"/>
        <w:rPr>
          <w:sz w:val="24"/>
          <w:szCs w:val="24"/>
        </w:rPr>
      </w:pPr>
    </w:p>
    <w:p w14:paraId="0170820D" w14:textId="4D3AADA9" w:rsidR="00D772B2" w:rsidRPr="004D084B" w:rsidRDefault="00D772B2" w:rsidP="009C042F">
      <w:pPr>
        <w:pStyle w:val="PressReleaseTitle"/>
        <w:jc w:val="left"/>
        <w:rPr>
          <w:sz w:val="24"/>
          <w:szCs w:val="24"/>
        </w:rPr>
      </w:pPr>
      <w:r w:rsidRPr="004D084B">
        <w:rPr>
          <w:sz w:val="24"/>
          <w:szCs w:val="24"/>
        </w:rPr>
        <w:t>Press Release</w:t>
      </w:r>
      <w:r w:rsidR="009C042F">
        <w:rPr>
          <w:sz w:val="24"/>
          <w:szCs w:val="24"/>
        </w:rPr>
        <w:t>:</w:t>
      </w:r>
    </w:p>
    <w:p w14:paraId="04D88B51" w14:textId="2472C7D2" w:rsidR="00517971" w:rsidRPr="00517971" w:rsidRDefault="00517971" w:rsidP="008D3D19">
      <w:pPr>
        <w:bidi w:val="0"/>
        <w:rPr>
          <w:lang w:eastAsia="zh-CN" w:bidi="ar-SA"/>
        </w:rPr>
      </w:pPr>
    </w:p>
    <w:p w14:paraId="171E81B9" w14:textId="4148F48D" w:rsidR="00CE4D28" w:rsidRDefault="00C6070A" w:rsidP="000D08A7">
      <w:pPr>
        <w:pStyle w:val="1"/>
        <w:rPr>
          <w:rFonts w:asciiTheme="majorBidi" w:hAnsiTheme="majorBidi" w:cstheme="majorBidi"/>
          <w:sz w:val="32"/>
          <w:szCs w:val="32"/>
        </w:rPr>
      </w:pPr>
      <w:r w:rsidRPr="001E01B6">
        <w:rPr>
          <w:rFonts w:asciiTheme="majorBidi" w:hAnsiTheme="majorBidi" w:cstheme="majorBidi"/>
          <w:sz w:val="32"/>
          <w:szCs w:val="32"/>
        </w:rPr>
        <w:t>The</w:t>
      </w:r>
      <w:r w:rsidR="00F50434" w:rsidRPr="001E01B6">
        <w:rPr>
          <w:rFonts w:asciiTheme="majorBidi" w:hAnsiTheme="majorBidi" w:cstheme="majorBidi"/>
          <w:sz w:val="32"/>
          <w:szCs w:val="32"/>
        </w:rPr>
        <w:t xml:space="preserve"> public's financial assets portfolio in the </w:t>
      </w:r>
      <w:r w:rsidR="000D08A7">
        <w:rPr>
          <w:rFonts w:asciiTheme="majorBidi" w:hAnsiTheme="majorBidi" w:cstheme="majorBidi"/>
          <w:sz w:val="32"/>
          <w:szCs w:val="32"/>
        </w:rPr>
        <w:t>fourth</w:t>
      </w:r>
      <w:r w:rsidR="006919D1" w:rsidRPr="001E01B6">
        <w:rPr>
          <w:rFonts w:asciiTheme="majorBidi" w:hAnsiTheme="majorBidi" w:cstheme="majorBidi"/>
          <w:sz w:val="32"/>
          <w:szCs w:val="32"/>
        </w:rPr>
        <w:t xml:space="preserve"> quarter</w:t>
      </w:r>
      <w:r w:rsidR="00084032" w:rsidRPr="001E01B6">
        <w:rPr>
          <w:rFonts w:asciiTheme="majorBidi" w:hAnsiTheme="majorBidi" w:cstheme="majorBidi"/>
          <w:sz w:val="32"/>
          <w:szCs w:val="32"/>
        </w:rPr>
        <w:t xml:space="preserve"> of </w:t>
      </w:r>
      <w:r w:rsidR="00CA5907">
        <w:rPr>
          <w:rFonts w:asciiTheme="majorBidi" w:hAnsiTheme="majorBidi" w:cstheme="majorBidi"/>
          <w:sz w:val="32"/>
          <w:szCs w:val="32"/>
        </w:rPr>
        <w:t>2025</w:t>
      </w:r>
    </w:p>
    <w:p w14:paraId="0F4944AD" w14:textId="77777777" w:rsidR="000D08A7" w:rsidRDefault="000D08A7" w:rsidP="000D08A7">
      <w:pPr>
        <w:jc w:val="both"/>
        <w:rPr>
          <w:rFonts w:asciiTheme="majorBidi" w:hAnsiTheme="majorBidi" w:cstheme="majorBidi" w:hint="cs"/>
        </w:rPr>
      </w:pPr>
    </w:p>
    <w:p w14:paraId="3372399E" w14:textId="355F785C" w:rsidR="000D08A7" w:rsidRPr="000D08A7" w:rsidRDefault="000D08A7" w:rsidP="000D08A7">
      <w:pPr>
        <w:bidi w:val="0"/>
        <w:jc w:val="both"/>
        <w:rPr>
          <w:rFonts w:asciiTheme="majorBidi" w:hAnsiTheme="majorBidi" w:cstheme="majorBidi"/>
        </w:rPr>
      </w:pPr>
      <w:r w:rsidRPr="000D08A7">
        <w:rPr>
          <w:rFonts w:asciiTheme="majorBidi" w:hAnsiTheme="majorBidi" w:cstheme="majorBidi"/>
        </w:rPr>
        <w:t xml:space="preserve">For an analysis of the assets portfolio over the full year of 2025, see </w:t>
      </w:r>
      <w:r>
        <w:rPr>
          <w:rFonts w:asciiTheme="majorBidi" w:hAnsiTheme="majorBidi" w:cstheme="majorBidi"/>
        </w:rPr>
        <w:t>“</w:t>
      </w:r>
      <w:r w:rsidRPr="000D08A7">
        <w:rPr>
          <w:rFonts w:asciiTheme="majorBidi" w:hAnsiTheme="majorBidi" w:cstheme="majorBidi"/>
        </w:rPr>
        <w:t>The public's financial assets portfolio</w:t>
      </w:r>
      <w:r>
        <w:rPr>
          <w:rFonts w:asciiTheme="majorBidi" w:hAnsiTheme="majorBidi" w:cstheme="majorBidi"/>
        </w:rPr>
        <w:t>”</w:t>
      </w:r>
      <w:r w:rsidRPr="000D08A7">
        <w:rPr>
          <w:rFonts w:asciiTheme="majorBidi" w:hAnsiTheme="majorBidi" w:cstheme="majorBidi"/>
        </w:rPr>
        <w:t xml:space="preserve"> in Part 1 of the “Statistical Bulletin for 2025” (</w:t>
      </w:r>
      <w:r w:rsidRPr="00574E4C">
        <w:rPr>
          <w:rFonts w:asciiTheme="majorBidi" w:hAnsiTheme="majorBidi" w:cstheme="majorBidi"/>
        </w:rPr>
        <w:t>translation forthcoming</w:t>
      </w:r>
      <w:r w:rsidRPr="000D08A7">
        <w:rPr>
          <w:rFonts w:asciiTheme="majorBidi" w:hAnsiTheme="majorBidi" w:cstheme="majorBidi"/>
        </w:rPr>
        <w:t>).</w:t>
      </w:r>
    </w:p>
    <w:p w14:paraId="3CD80117" w14:textId="77777777" w:rsidR="00BF5352" w:rsidRDefault="00BF5352" w:rsidP="008D3D19">
      <w:pPr>
        <w:tabs>
          <w:tab w:val="left" w:pos="1134"/>
        </w:tabs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086364F6" w14:textId="649EBEDD" w:rsidR="00F50434" w:rsidRDefault="00F50434" w:rsidP="003316A5">
      <w:pPr>
        <w:bidi w:val="0"/>
        <w:spacing w:line="300" w:lineRule="exact"/>
        <w:rPr>
          <w:b/>
          <w:bCs/>
        </w:rPr>
      </w:pPr>
    </w:p>
    <w:p w14:paraId="5C97827F" w14:textId="0454E1B0" w:rsidR="00AC3545" w:rsidRPr="00B228AF" w:rsidRDefault="00234629" w:rsidP="007D22AC">
      <w:pPr>
        <w:numPr>
          <w:ilvl w:val="0"/>
          <w:numId w:val="17"/>
        </w:numPr>
        <w:tabs>
          <w:tab w:val="left" w:pos="1134"/>
        </w:tabs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  <w:r w:rsidRPr="00B228AF">
        <w:rPr>
          <w:rFonts w:asciiTheme="majorBidi" w:hAnsiTheme="majorBidi" w:cstheme="majorBidi"/>
          <w:b/>
          <w:bCs/>
        </w:rPr>
        <w:t xml:space="preserve">In the </w:t>
      </w:r>
      <w:r w:rsidR="007D22AC">
        <w:rPr>
          <w:rFonts w:asciiTheme="majorBidi" w:hAnsiTheme="majorBidi" w:cstheme="majorBidi"/>
          <w:b/>
          <w:bCs/>
        </w:rPr>
        <w:t>fourth</w:t>
      </w:r>
      <w:r w:rsidR="004D35FB">
        <w:rPr>
          <w:rFonts w:asciiTheme="majorBidi" w:hAnsiTheme="majorBidi" w:cstheme="majorBidi"/>
          <w:b/>
          <w:bCs/>
        </w:rPr>
        <w:t xml:space="preserve"> quarter</w:t>
      </w:r>
      <w:r w:rsidRPr="00B228AF">
        <w:rPr>
          <w:rFonts w:asciiTheme="majorBidi" w:hAnsiTheme="majorBidi" w:cstheme="majorBidi"/>
          <w:b/>
          <w:bCs/>
        </w:rPr>
        <w:t xml:space="preserve"> of </w:t>
      </w:r>
      <w:r w:rsidR="00CA5907">
        <w:rPr>
          <w:rFonts w:asciiTheme="majorBidi" w:hAnsiTheme="majorBidi" w:cstheme="majorBidi"/>
          <w:b/>
          <w:bCs/>
        </w:rPr>
        <w:t>2025</w:t>
      </w:r>
      <w:r w:rsidRPr="00B228AF">
        <w:rPr>
          <w:rFonts w:asciiTheme="majorBidi" w:hAnsiTheme="majorBidi" w:cstheme="majorBidi"/>
          <w:b/>
          <w:bCs/>
        </w:rPr>
        <w:t>,</w:t>
      </w:r>
      <w:r w:rsidR="00E716B9" w:rsidRPr="00B228AF">
        <w:rPr>
          <w:rFonts w:asciiTheme="majorBidi" w:hAnsiTheme="majorBidi" w:cstheme="majorBidi"/>
          <w:b/>
          <w:bCs/>
        </w:rPr>
        <w:t xml:space="preserve"> </w:t>
      </w:r>
      <w:r w:rsidR="00AC3545" w:rsidRPr="00B228AF">
        <w:rPr>
          <w:rFonts w:asciiTheme="majorBidi" w:hAnsiTheme="majorBidi" w:cstheme="majorBidi"/>
          <w:b/>
          <w:bCs/>
        </w:rPr>
        <w:t xml:space="preserve">the balance of the public’s financial assets portfolio </w:t>
      </w:r>
      <w:r w:rsidR="00D05DEF">
        <w:rPr>
          <w:rFonts w:asciiTheme="majorBidi" w:hAnsiTheme="majorBidi" w:cstheme="majorBidi"/>
          <w:b/>
          <w:bCs/>
        </w:rPr>
        <w:t>increased</w:t>
      </w:r>
      <w:r w:rsidR="008B7040">
        <w:rPr>
          <w:rFonts w:asciiTheme="majorBidi" w:hAnsiTheme="majorBidi" w:cstheme="majorBidi"/>
          <w:b/>
          <w:bCs/>
        </w:rPr>
        <w:t xml:space="preserve"> </w:t>
      </w:r>
      <w:r w:rsidR="00AC3545" w:rsidRPr="00B228AF">
        <w:rPr>
          <w:rFonts w:asciiTheme="majorBidi" w:hAnsiTheme="majorBidi" w:cstheme="majorBidi"/>
          <w:b/>
          <w:bCs/>
        </w:rPr>
        <w:t xml:space="preserve">by </w:t>
      </w:r>
      <w:r w:rsidR="00C935C0" w:rsidRPr="00B228AF">
        <w:rPr>
          <w:rFonts w:asciiTheme="majorBidi" w:hAnsiTheme="majorBidi" w:cstheme="majorBidi"/>
          <w:b/>
          <w:bCs/>
        </w:rPr>
        <w:t xml:space="preserve">approximately </w:t>
      </w:r>
      <w:r w:rsidR="00AC3545" w:rsidRPr="00B228AF">
        <w:rPr>
          <w:rFonts w:asciiTheme="majorBidi" w:hAnsiTheme="majorBidi" w:cstheme="majorBidi"/>
          <w:b/>
          <w:bCs/>
        </w:rPr>
        <w:t xml:space="preserve">NIS </w:t>
      </w:r>
      <w:r w:rsidR="007D22AC">
        <w:rPr>
          <w:rFonts w:asciiTheme="majorBidi" w:hAnsiTheme="majorBidi" w:cstheme="majorBidi"/>
          <w:b/>
          <w:bCs/>
        </w:rPr>
        <w:t xml:space="preserve">287.4 </w:t>
      </w:r>
      <w:r w:rsidR="00AC3545" w:rsidRPr="00B228AF">
        <w:rPr>
          <w:rFonts w:asciiTheme="majorBidi" w:hAnsiTheme="majorBidi" w:cstheme="majorBidi"/>
          <w:b/>
          <w:bCs/>
        </w:rPr>
        <w:t>billion (</w:t>
      </w:r>
      <w:r w:rsidR="004D35FB">
        <w:rPr>
          <w:rFonts w:asciiTheme="majorBidi" w:hAnsiTheme="majorBidi" w:cstheme="majorBidi"/>
          <w:b/>
          <w:bCs/>
        </w:rPr>
        <w:t>4</w:t>
      </w:r>
      <w:r w:rsidR="007D22AC">
        <w:rPr>
          <w:rFonts w:asciiTheme="majorBidi" w:hAnsiTheme="majorBidi" w:cstheme="majorBidi"/>
          <w:b/>
          <w:bCs/>
        </w:rPr>
        <w:t>.2</w:t>
      </w:r>
      <w:r w:rsidR="006443DF">
        <w:rPr>
          <w:rFonts w:asciiTheme="majorBidi" w:hAnsiTheme="majorBidi" w:cstheme="majorBidi"/>
          <w:b/>
          <w:bCs/>
        </w:rPr>
        <w:t xml:space="preserve"> </w:t>
      </w:r>
      <w:r w:rsidR="00AC3545" w:rsidRPr="00B228AF">
        <w:rPr>
          <w:rFonts w:asciiTheme="majorBidi" w:hAnsiTheme="majorBidi" w:cstheme="majorBidi"/>
          <w:b/>
          <w:bCs/>
        </w:rPr>
        <w:t>percent)</w:t>
      </w:r>
      <w:r w:rsidR="00C935C0" w:rsidRPr="00B228AF">
        <w:rPr>
          <w:rFonts w:asciiTheme="majorBidi" w:hAnsiTheme="majorBidi" w:cstheme="majorBidi"/>
          <w:b/>
          <w:bCs/>
        </w:rPr>
        <w:t xml:space="preserve">, </w:t>
      </w:r>
      <w:r w:rsidR="00D223DE">
        <w:rPr>
          <w:rFonts w:asciiTheme="majorBidi" w:hAnsiTheme="majorBidi" w:cstheme="majorBidi"/>
          <w:b/>
          <w:bCs/>
        </w:rPr>
        <w:t xml:space="preserve">to </w:t>
      </w:r>
      <w:r w:rsidR="00D84BFF">
        <w:rPr>
          <w:rFonts w:asciiTheme="majorBidi" w:hAnsiTheme="majorBidi" w:cstheme="majorBidi"/>
          <w:b/>
          <w:bCs/>
        </w:rPr>
        <w:t xml:space="preserve">about NIS </w:t>
      </w:r>
      <w:r w:rsidR="007D22AC">
        <w:rPr>
          <w:rFonts w:asciiTheme="majorBidi" w:hAnsiTheme="majorBidi" w:cstheme="majorBidi"/>
          <w:b/>
          <w:bCs/>
        </w:rPr>
        <w:t xml:space="preserve">7.2 </w:t>
      </w:r>
      <w:r w:rsidR="00514DD8" w:rsidRPr="00160FD3">
        <w:rPr>
          <w:rFonts w:asciiTheme="majorBidi" w:hAnsiTheme="majorBidi" w:cstheme="majorBidi"/>
          <w:b/>
          <w:bCs/>
        </w:rPr>
        <w:t>tr</w:t>
      </w:r>
      <w:r w:rsidR="00D84BFF" w:rsidRPr="00160FD3">
        <w:rPr>
          <w:rFonts w:asciiTheme="majorBidi" w:hAnsiTheme="majorBidi" w:cstheme="majorBidi"/>
          <w:b/>
          <w:bCs/>
        </w:rPr>
        <w:t>illion</w:t>
      </w:r>
      <w:r w:rsidR="00D84BFF">
        <w:rPr>
          <w:rFonts w:asciiTheme="majorBidi" w:hAnsiTheme="majorBidi" w:cstheme="majorBidi"/>
          <w:b/>
          <w:bCs/>
        </w:rPr>
        <w:t>.</w:t>
      </w:r>
      <w:r w:rsidR="001656BF">
        <w:rPr>
          <w:rFonts w:asciiTheme="majorBidi" w:hAnsiTheme="majorBidi" w:cstheme="majorBidi"/>
          <w:b/>
          <w:bCs/>
        </w:rPr>
        <w:t xml:space="preserve"> </w:t>
      </w:r>
      <w:r w:rsidR="007D22AC">
        <w:rPr>
          <w:rFonts w:asciiTheme="majorBidi" w:hAnsiTheme="majorBidi" w:cstheme="majorBidi"/>
          <w:b/>
          <w:bCs/>
        </w:rPr>
        <w:t>For the year overall</w:t>
      </w:r>
      <w:r w:rsidR="00E60C41">
        <w:rPr>
          <w:rFonts w:asciiTheme="majorBidi" w:hAnsiTheme="majorBidi" w:cstheme="majorBidi"/>
          <w:b/>
          <w:bCs/>
        </w:rPr>
        <w:t>,</w:t>
      </w:r>
      <w:r w:rsidR="007D22AC">
        <w:rPr>
          <w:rFonts w:asciiTheme="majorBidi" w:hAnsiTheme="majorBidi" w:cstheme="majorBidi"/>
          <w:b/>
          <w:bCs/>
        </w:rPr>
        <w:t xml:space="preserve"> the portfolio increased by approximately 15.5 percent.</w:t>
      </w:r>
    </w:p>
    <w:p w14:paraId="27309BB0" w14:textId="20315575" w:rsidR="00C6332F" w:rsidRDefault="00455E2B" w:rsidP="00116727">
      <w:pPr>
        <w:numPr>
          <w:ilvl w:val="0"/>
          <w:numId w:val="17"/>
        </w:numPr>
        <w:tabs>
          <w:tab w:val="left" w:pos="1134"/>
        </w:tabs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  <w:r w:rsidRPr="00C6332F">
        <w:rPr>
          <w:rFonts w:asciiTheme="majorBidi" w:hAnsiTheme="majorBidi" w:cstheme="majorBidi"/>
          <w:b/>
          <w:bCs/>
        </w:rPr>
        <w:t xml:space="preserve">The </w:t>
      </w:r>
      <w:r w:rsidR="00D05DEF" w:rsidRPr="00C6332F">
        <w:rPr>
          <w:rFonts w:asciiTheme="majorBidi" w:hAnsiTheme="majorBidi" w:cstheme="majorBidi"/>
          <w:b/>
          <w:bCs/>
        </w:rPr>
        <w:t>increase</w:t>
      </w:r>
      <w:r w:rsidR="0021612F" w:rsidRPr="00C6332F">
        <w:rPr>
          <w:rFonts w:asciiTheme="majorBidi" w:hAnsiTheme="majorBidi" w:cstheme="majorBidi"/>
          <w:b/>
          <w:bCs/>
        </w:rPr>
        <w:t xml:space="preserve"> in the portfolio</w:t>
      </w:r>
      <w:r w:rsidR="00D05DEF" w:rsidRPr="00C6332F">
        <w:rPr>
          <w:rFonts w:asciiTheme="majorBidi" w:hAnsiTheme="majorBidi" w:cstheme="majorBidi"/>
          <w:b/>
          <w:bCs/>
        </w:rPr>
        <w:t>’s</w:t>
      </w:r>
      <w:r w:rsidR="0021612F" w:rsidRPr="00C6332F">
        <w:rPr>
          <w:rFonts w:asciiTheme="majorBidi" w:hAnsiTheme="majorBidi" w:cstheme="majorBidi"/>
          <w:b/>
          <w:bCs/>
        </w:rPr>
        <w:t xml:space="preserve"> value </w:t>
      </w:r>
      <w:r w:rsidRPr="00C6332F">
        <w:rPr>
          <w:rFonts w:asciiTheme="majorBidi" w:hAnsiTheme="majorBidi" w:cstheme="majorBidi"/>
          <w:b/>
          <w:bCs/>
        </w:rPr>
        <w:t xml:space="preserve">in the </w:t>
      </w:r>
      <w:r w:rsidR="007D22AC">
        <w:rPr>
          <w:rFonts w:asciiTheme="majorBidi" w:hAnsiTheme="majorBidi" w:cstheme="majorBidi"/>
          <w:b/>
          <w:bCs/>
        </w:rPr>
        <w:t>fourth</w:t>
      </w:r>
      <w:r w:rsidR="004D35FB">
        <w:rPr>
          <w:rFonts w:asciiTheme="majorBidi" w:hAnsiTheme="majorBidi" w:cstheme="majorBidi"/>
          <w:b/>
          <w:bCs/>
        </w:rPr>
        <w:t xml:space="preserve"> quarter</w:t>
      </w:r>
      <w:r w:rsidRPr="00C6332F">
        <w:rPr>
          <w:rFonts w:asciiTheme="majorBidi" w:hAnsiTheme="majorBidi" w:cstheme="majorBidi"/>
          <w:b/>
          <w:bCs/>
        </w:rPr>
        <w:t xml:space="preserve"> </w:t>
      </w:r>
      <w:r w:rsidR="004D35FB">
        <w:rPr>
          <w:rFonts w:asciiTheme="majorBidi" w:hAnsiTheme="majorBidi" w:cstheme="majorBidi"/>
          <w:b/>
          <w:bCs/>
        </w:rPr>
        <w:t>was</w:t>
      </w:r>
      <w:r w:rsidR="00C25158" w:rsidRPr="00C6332F">
        <w:rPr>
          <w:rFonts w:asciiTheme="majorBidi" w:hAnsiTheme="majorBidi" w:cstheme="majorBidi"/>
          <w:b/>
          <w:bCs/>
        </w:rPr>
        <w:t xml:space="preserve"> </w:t>
      </w:r>
      <w:r w:rsidRPr="00C6332F">
        <w:rPr>
          <w:rFonts w:asciiTheme="majorBidi" w:hAnsiTheme="majorBidi" w:cstheme="majorBidi"/>
          <w:b/>
          <w:bCs/>
        </w:rPr>
        <w:t xml:space="preserve">mainly </w:t>
      </w:r>
      <w:r w:rsidR="004D35FB">
        <w:rPr>
          <w:rFonts w:asciiTheme="majorBidi" w:hAnsiTheme="majorBidi" w:cstheme="majorBidi"/>
          <w:b/>
          <w:bCs/>
        </w:rPr>
        <w:t>due to</w:t>
      </w:r>
      <w:r w:rsidR="000833A6">
        <w:rPr>
          <w:rFonts w:asciiTheme="majorBidi" w:hAnsiTheme="majorBidi" w:cstheme="majorBidi"/>
          <w:b/>
          <w:bCs/>
        </w:rPr>
        <w:t xml:space="preserve"> </w:t>
      </w:r>
      <w:r w:rsidR="00D05DEF" w:rsidRPr="00C6332F">
        <w:rPr>
          <w:rFonts w:asciiTheme="majorBidi" w:hAnsiTheme="majorBidi" w:cstheme="majorBidi"/>
          <w:b/>
          <w:bCs/>
        </w:rPr>
        <w:t>increase</w:t>
      </w:r>
      <w:r w:rsidR="00C6332F" w:rsidRPr="00C6332F">
        <w:rPr>
          <w:rFonts w:asciiTheme="majorBidi" w:hAnsiTheme="majorBidi" w:cstheme="majorBidi"/>
          <w:b/>
          <w:bCs/>
        </w:rPr>
        <w:t xml:space="preserve">s </w:t>
      </w:r>
      <w:r w:rsidR="00BF5352" w:rsidRPr="00C6332F">
        <w:rPr>
          <w:rFonts w:asciiTheme="majorBidi" w:hAnsiTheme="majorBidi" w:cstheme="majorBidi"/>
          <w:b/>
          <w:bCs/>
        </w:rPr>
        <w:t>in the ba</w:t>
      </w:r>
      <w:r w:rsidR="00C6332F" w:rsidRPr="00C6332F">
        <w:rPr>
          <w:rFonts w:asciiTheme="majorBidi" w:hAnsiTheme="majorBidi" w:cstheme="majorBidi"/>
          <w:b/>
          <w:bCs/>
        </w:rPr>
        <w:t xml:space="preserve">lance of </w:t>
      </w:r>
      <w:r w:rsidR="00B14A7E">
        <w:rPr>
          <w:rFonts w:asciiTheme="majorBidi" w:hAnsiTheme="majorBidi" w:cstheme="majorBidi"/>
          <w:b/>
          <w:bCs/>
        </w:rPr>
        <w:t xml:space="preserve">equities </w:t>
      </w:r>
      <w:r w:rsidR="006443DF">
        <w:rPr>
          <w:rFonts w:asciiTheme="majorBidi" w:hAnsiTheme="majorBidi" w:cstheme="majorBidi"/>
          <w:b/>
          <w:bCs/>
        </w:rPr>
        <w:t>in Israel (</w:t>
      </w:r>
      <w:r w:rsidR="00116727">
        <w:rPr>
          <w:rFonts w:asciiTheme="majorBidi" w:hAnsiTheme="majorBidi" w:cstheme="majorBidi"/>
          <w:b/>
          <w:bCs/>
        </w:rPr>
        <w:t xml:space="preserve">12.6 </w:t>
      </w:r>
      <w:r w:rsidR="006443DF">
        <w:rPr>
          <w:rFonts w:asciiTheme="majorBidi" w:hAnsiTheme="majorBidi" w:cstheme="majorBidi"/>
          <w:b/>
          <w:bCs/>
        </w:rPr>
        <w:t>percent)</w:t>
      </w:r>
      <w:r w:rsidR="00116727">
        <w:rPr>
          <w:rFonts w:asciiTheme="majorBidi" w:hAnsiTheme="majorBidi" w:cstheme="majorBidi"/>
          <w:b/>
          <w:bCs/>
        </w:rPr>
        <w:t xml:space="preserve"> and in the balance of cash and deposits (3.9 percent).</w:t>
      </w:r>
    </w:p>
    <w:p w14:paraId="2F871BEC" w14:textId="439E8359" w:rsidR="00365255" w:rsidRPr="00C6332F" w:rsidRDefault="00077422" w:rsidP="00116727">
      <w:pPr>
        <w:numPr>
          <w:ilvl w:val="0"/>
          <w:numId w:val="17"/>
        </w:numPr>
        <w:tabs>
          <w:tab w:val="left" w:pos="1134"/>
        </w:tabs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  <w:r w:rsidRPr="00C6332F">
        <w:rPr>
          <w:rFonts w:asciiTheme="majorBidi" w:hAnsiTheme="majorBidi" w:cstheme="majorBidi"/>
          <w:b/>
          <w:bCs/>
        </w:rPr>
        <w:t xml:space="preserve">The </w:t>
      </w:r>
      <w:r w:rsidR="004E3447" w:rsidRPr="00C6332F">
        <w:rPr>
          <w:rFonts w:asciiTheme="majorBidi" w:hAnsiTheme="majorBidi" w:cstheme="majorBidi"/>
          <w:b/>
          <w:bCs/>
        </w:rPr>
        <w:t>balance of the asset</w:t>
      </w:r>
      <w:r w:rsidR="00E60C41">
        <w:rPr>
          <w:rFonts w:asciiTheme="majorBidi" w:hAnsiTheme="majorBidi" w:cstheme="majorBidi"/>
          <w:b/>
          <w:bCs/>
        </w:rPr>
        <w:t>s</w:t>
      </w:r>
      <w:r w:rsidR="004E3447" w:rsidRPr="00C6332F">
        <w:rPr>
          <w:rFonts w:asciiTheme="majorBidi" w:hAnsiTheme="majorBidi" w:cstheme="majorBidi"/>
          <w:b/>
          <w:bCs/>
        </w:rPr>
        <w:t xml:space="preserve"> portfolio managed by institutional investors </w:t>
      </w:r>
      <w:r w:rsidR="006540B7" w:rsidRPr="00C6332F">
        <w:rPr>
          <w:rFonts w:asciiTheme="majorBidi" w:hAnsiTheme="majorBidi" w:cstheme="majorBidi"/>
          <w:b/>
          <w:bCs/>
        </w:rPr>
        <w:t xml:space="preserve">increased </w:t>
      </w:r>
      <w:r w:rsidRPr="00C6332F">
        <w:rPr>
          <w:rFonts w:asciiTheme="majorBidi" w:hAnsiTheme="majorBidi" w:cstheme="majorBidi"/>
          <w:b/>
          <w:bCs/>
        </w:rPr>
        <w:t xml:space="preserve">in the </w:t>
      </w:r>
      <w:r w:rsidR="007D22AC">
        <w:rPr>
          <w:rFonts w:asciiTheme="majorBidi" w:hAnsiTheme="majorBidi" w:cstheme="majorBidi"/>
          <w:b/>
          <w:bCs/>
        </w:rPr>
        <w:t>fourth</w:t>
      </w:r>
      <w:r w:rsidR="004D35FB">
        <w:rPr>
          <w:rFonts w:asciiTheme="majorBidi" w:hAnsiTheme="majorBidi" w:cstheme="majorBidi"/>
          <w:b/>
          <w:bCs/>
        </w:rPr>
        <w:t xml:space="preserve"> quarter</w:t>
      </w:r>
      <w:r w:rsidRPr="00C6332F">
        <w:rPr>
          <w:rFonts w:asciiTheme="majorBidi" w:hAnsiTheme="majorBidi" w:cstheme="majorBidi"/>
          <w:b/>
          <w:bCs/>
        </w:rPr>
        <w:t xml:space="preserve"> by approximately NIS </w:t>
      </w:r>
      <w:r w:rsidR="00116727">
        <w:rPr>
          <w:rFonts w:asciiTheme="majorBidi" w:hAnsiTheme="majorBidi" w:cstheme="majorBidi"/>
          <w:b/>
          <w:bCs/>
        </w:rPr>
        <w:t xml:space="preserve">111 </w:t>
      </w:r>
      <w:r w:rsidRPr="00C6332F">
        <w:rPr>
          <w:rFonts w:asciiTheme="majorBidi" w:hAnsiTheme="majorBidi" w:cstheme="majorBidi"/>
          <w:b/>
          <w:bCs/>
        </w:rPr>
        <w:t>billion (</w:t>
      </w:r>
      <w:r w:rsidR="00116727">
        <w:rPr>
          <w:rFonts w:asciiTheme="majorBidi" w:hAnsiTheme="majorBidi" w:cstheme="majorBidi"/>
          <w:b/>
          <w:bCs/>
        </w:rPr>
        <w:t xml:space="preserve">3.5 </w:t>
      </w:r>
      <w:r w:rsidR="00664042" w:rsidRPr="00C6332F">
        <w:rPr>
          <w:rFonts w:asciiTheme="majorBidi" w:hAnsiTheme="majorBidi" w:cstheme="majorBidi"/>
          <w:b/>
          <w:bCs/>
        </w:rPr>
        <w:t>p</w:t>
      </w:r>
      <w:r w:rsidRPr="00C6332F">
        <w:rPr>
          <w:rFonts w:asciiTheme="majorBidi" w:hAnsiTheme="majorBidi" w:cstheme="majorBidi"/>
          <w:b/>
          <w:bCs/>
        </w:rPr>
        <w:t xml:space="preserve">ercent), to </w:t>
      </w:r>
      <w:r w:rsidR="006B4489">
        <w:rPr>
          <w:rFonts w:asciiTheme="majorBidi" w:hAnsiTheme="majorBidi" w:cstheme="majorBidi"/>
          <w:b/>
          <w:bCs/>
        </w:rPr>
        <w:t xml:space="preserve">approximately </w:t>
      </w:r>
      <w:r w:rsidRPr="00C6332F">
        <w:rPr>
          <w:rFonts w:asciiTheme="majorBidi" w:hAnsiTheme="majorBidi" w:cstheme="majorBidi"/>
          <w:b/>
          <w:bCs/>
        </w:rPr>
        <w:t xml:space="preserve">NIS </w:t>
      </w:r>
      <w:r w:rsidR="00B14A7E">
        <w:rPr>
          <w:rFonts w:asciiTheme="majorBidi" w:hAnsiTheme="majorBidi" w:cstheme="majorBidi"/>
          <w:b/>
          <w:bCs/>
        </w:rPr>
        <w:t>3.</w:t>
      </w:r>
      <w:r w:rsidR="00116727">
        <w:rPr>
          <w:rFonts w:asciiTheme="majorBidi" w:hAnsiTheme="majorBidi" w:cstheme="majorBidi"/>
          <w:b/>
          <w:bCs/>
        </w:rPr>
        <w:t>3</w:t>
      </w:r>
      <w:r w:rsidR="00B14A7E">
        <w:rPr>
          <w:rFonts w:asciiTheme="majorBidi" w:hAnsiTheme="majorBidi" w:cstheme="majorBidi"/>
          <w:b/>
          <w:bCs/>
        </w:rPr>
        <w:t xml:space="preserve"> trillion </w:t>
      </w:r>
      <w:r w:rsidR="00002378" w:rsidRPr="00C6332F">
        <w:rPr>
          <w:rFonts w:asciiTheme="majorBidi" w:hAnsiTheme="majorBidi" w:cstheme="majorBidi"/>
          <w:b/>
          <w:bCs/>
        </w:rPr>
        <w:t>at the end of the quarter</w:t>
      </w:r>
      <w:r w:rsidRPr="00C6332F">
        <w:rPr>
          <w:rFonts w:asciiTheme="majorBidi" w:hAnsiTheme="majorBidi" w:cstheme="majorBidi"/>
          <w:b/>
          <w:bCs/>
        </w:rPr>
        <w:t>.</w:t>
      </w:r>
    </w:p>
    <w:p w14:paraId="5908F506" w14:textId="6A79368A" w:rsidR="00D52D0D" w:rsidRPr="00B228AF" w:rsidRDefault="009400B2" w:rsidP="00E60C41">
      <w:pPr>
        <w:numPr>
          <w:ilvl w:val="0"/>
          <w:numId w:val="17"/>
        </w:num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The scope of </w:t>
      </w:r>
      <w:r w:rsidR="00365255" w:rsidRPr="00B228AF">
        <w:rPr>
          <w:rFonts w:asciiTheme="majorBidi" w:hAnsiTheme="majorBidi" w:cstheme="majorBidi"/>
          <w:b/>
          <w:bCs/>
        </w:rPr>
        <w:t xml:space="preserve">the portfolio managed by mutual funds </w:t>
      </w:r>
      <w:r w:rsidR="006B2627" w:rsidRPr="00B228AF">
        <w:rPr>
          <w:rFonts w:asciiTheme="majorBidi" w:hAnsiTheme="majorBidi" w:cstheme="majorBidi"/>
          <w:b/>
          <w:bCs/>
        </w:rPr>
        <w:t xml:space="preserve">in Israel </w:t>
      </w:r>
      <w:r w:rsidR="005E4CF0">
        <w:rPr>
          <w:rFonts w:asciiTheme="majorBidi" w:hAnsiTheme="majorBidi" w:cstheme="majorBidi"/>
          <w:b/>
          <w:bCs/>
        </w:rPr>
        <w:t>increased</w:t>
      </w:r>
      <w:r w:rsidR="00073A52" w:rsidRPr="00B228AF">
        <w:rPr>
          <w:rFonts w:asciiTheme="majorBidi" w:hAnsiTheme="majorBidi" w:cstheme="majorBidi"/>
          <w:b/>
          <w:bCs/>
        </w:rPr>
        <w:t xml:space="preserve"> by </w:t>
      </w:r>
      <w:r w:rsidR="00E27A87" w:rsidRPr="00E27A87">
        <w:rPr>
          <w:rFonts w:asciiTheme="majorBidi" w:hAnsiTheme="majorBidi" w:cstheme="majorBidi"/>
          <w:b/>
          <w:bCs/>
        </w:rPr>
        <w:t>approximately</w:t>
      </w:r>
      <w:r w:rsidR="000D28C8">
        <w:rPr>
          <w:rFonts w:asciiTheme="majorBidi" w:hAnsiTheme="majorBidi" w:cstheme="majorBidi"/>
          <w:b/>
          <w:bCs/>
        </w:rPr>
        <w:t xml:space="preserve"> </w:t>
      </w:r>
      <w:r w:rsidR="00073A52" w:rsidRPr="00B228AF">
        <w:rPr>
          <w:rFonts w:asciiTheme="majorBidi" w:hAnsiTheme="majorBidi" w:cstheme="majorBidi"/>
          <w:b/>
          <w:bCs/>
        </w:rPr>
        <w:t xml:space="preserve">NIS </w:t>
      </w:r>
      <w:r w:rsidR="000755B1">
        <w:rPr>
          <w:rFonts w:asciiTheme="majorBidi" w:hAnsiTheme="majorBidi" w:cstheme="majorBidi"/>
          <w:b/>
          <w:bCs/>
        </w:rPr>
        <w:t xml:space="preserve">33.6 </w:t>
      </w:r>
      <w:r w:rsidR="00365255" w:rsidRPr="00B228AF">
        <w:rPr>
          <w:rFonts w:asciiTheme="majorBidi" w:hAnsiTheme="majorBidi" w:cstheme="majorBidi"/>
          <w:b/>
          <w:bCs/>
        </w:rPr>
        <w:t>billion</w:t>
      </w:r>
      <w:r w:rsidR="00A33B68" w:rsidRPr="00B228AF">
        <w:rPr>
          <w:rFonts w:asciiTheme="majorBidi" w:hAnsiTheme="majorBidi" w:cstheme="majorBidi"/>
          <w:b/>
          <w:bCs/>
        </w:rPr>
        <w:t xml:space="preserve"> (</w:t>
      </w:r>
      <w:r w:rsidR="000755B1">
        <w:rPr>
          <w:rFonts w:asciiTheme="majorBidi" w:hAnsiTheme="majorBidi" w:cstheme="majorBidi"/>
          <w:b/>
          <w:bCs/>
        </w:rPr>
        <w:t xml:space="preserve">4.6 </w:t>
      </w:r>
      <w:r w:rsidR="00A33B68" w:rsidRPr="00B228AF">
        <w:rPr>
          <w:rFonts w:asciiTheme="majorBidi" w:hAnsiTheme="majorBidi" w:cstheme="majorBidi"/>
          <w:b/>
          <w:bCs/>
        </w:rPr>
        <w:t>percent)</w:t>
      </w:r>
      <w:r w:rsidR="00365255" w:rsidRPr="00B228AF">
        <w:rPr>
          <w:rFonts w:asciiTheme="majorBidi" w:hAnsiTheme="majorBidi" w:cstheme="majorBidi"/>
          <w:b/>
          <w:bCs/>
        </w:rPr>
        <w:t xml:space="preserve"> in the </w:t>
      </w:r>
      <w:r w:rsidR="007D22AC">
        <w:rPr>
          <w:rFonts w:asciiTheme="majorBidi" w:hAnsiTheme="majorBidi" w:cstheme="majorBidi"/>
          <w:b/>
          <w:bCs/>
        </w:rPr>
        <w:t>fourth</w:t>
      </w:r>
      <w:r w:rsidR="004D35FB">
        <w:rPr>
          <w:rFonts w:asciiTheme="majorBidi" w:hAnsiTheme="majorBidi" w:cstheme="majorBidi"/>
          <w:b/>
          <w:bCs/>
        </w:rPr>
        <w:t xml:space="preserve"> quarter</w:t>
      </w:r>
      <w:r w:rsidR="00CB598D" w:rsidRPr="00B228AF">
        <w:rPr>
          <w:rFonts w:asciiTheme="majorBidi" w:hAnsiTheme="majorBidi" w:cstheme="majorBidi"/>
          <w:b/>
          <w:bCs/>
        </w:rPr>
        <w:t xml:space="preserve">, </w:t>
      </w:r>
      <w:r w:rsidR="0099474B" w:rsidRPr="00B228AF">
        <w:rPr>
          <w:rFonts w:asciiTheme="majorBidi" w:hAnsiTheme="majorBidi" w:cstheme="majorBidi"/>
          <w:b/>
          <w:bCs/>
        </w:rPr>
        <w:t>to</w:t>
      </w:r>
      <w:r w:rsidR="00CB598D" w:rsidRPr="00B228AF">
        <w:rPr>
          <w:rFonts w:asciiTheme="majorBidi" w:hAnsiTheme="majorBidi" w:cstheme="majorBidi"/>
          <w:b/>
          <w:bCs/>
        </w:rPr>
        <w:t xml:space="preserve"> </w:t>
      </w:r>
      <w:r w:rsidR="006B4489">
        <w:rPr>
          <w:rFonts w:asciiTheme="majorBidi" w:hAnsiTheme="majorBidi" w:cstheme="majorBidi"/>
          <w:b/>
          <w:bCs/>
        </w:rPr>
        <w:t xml:space="preserve">a level of </w:t>
      </w:r>
      <w:r w:rsidR="00CB598D" w:rsidRPr="00B228AF">
        <w:rPr>
          <w:rFonts w:asciiTheme="majorBidi" w:hAnsiTheme="majorBidi" w:cstheme="majorBidi"/>
          <w:b/>
          <w:bCs/>
        </w:rPr>
        <w:t xml:space="preserve">NIS </w:t>
      </w:r>
      <w:r w:rsidR="000755B1">
        <w:rPr>
          <w:rFonts w:asciiTheme="majorBidi" w:hAnsiTheme="majorBidi" w:cstheme="majorBidi"/>
          <w:b/>
          <w:bCs/>
        </w:rPr>
        <w:t xml:space="preserve">756 </w:t>
      </w:r>
      <w:r w:rsidR="00CB598D" w:rsidRPr="00B228AF">
        <w:rPr>
          <w:rFonts w:asciiTheme="majorBidi" w:hAnsiTheme="majorBidi" w:cstheme="majorBidi"/>
          <w:b/>
          <w:bCs/>
        </w:rPr>
        <w:t>billion</w:t>
      </w:r>
      <w:r w:rsidR="00AA2086" w:rsidRPr="00B228AF">
        <w:rPr>
          <w:rFonts w:asciiTheme="majorBidi" w:hAnsiTheme="majorBidi" w:cstheme="majorBidi"/>
          <w:b/>
          <w:bCs/>
        </w:rPr>
        <w:t>.</w:t>
      </w:r>
      <w:r w:rsidR="00B228AF">
        <w:rPr>
          <w:rFonts w:asciiTheme="majorBidi" w:hAnsiTheme="majorBidi" w:cstheme="majorBidi"/>
          <w:b/>
          <w:bCs/>
        </w:rPr>
        <w:t xml:space="preserve"> </w:t>
      </w:r>
      <w:r w:rsidR="000D28C8">
        <w:rPr>
          <w:rFonts w:asciiTheme="majorBidi" w:hAnsiTheme="majorBidi" w:cstheme="majorBidi"/>
          <w:b/>
          <w:bCs/>
        </w:rPr>
        <w:t xml:space="preserve">There were net </w:t>
      </w:r>
      <w:r w:rsidR="00A6739D">
        <w:rPr>
          <w:rFonts w:asciiTheme="majorBidi" w:hAnsiTheme="majorBidi" w:cstheme="majorBidi"/>
          <w:b/>
          <w:bCs/>
        </w:rPr>
        <w:t>new investment</w:t>
      </w:r>
      <w:r w:rsidR="0030109B">
        <w:rPr>
          <w:rFonts w:asciiTheme="majorBidi" w:hAnsiTheme="majorBidi" w:cstheme="majorBidi"/>
          <w:b/>
          <w:bCs/>
        </w:rPr>
        <w:t>s</w:t>
      </w:r>
      <w:r w:rsidR="004D2C0E">
        <w:rPr>
          <w:rFonts w:asciiTheme="majorBidi" w:hAnsiTheme="majorBidi" w:cstheme="majorBidi"/>
          <w:b/>
          <w:bCs/>
        </w:rPr>
        <w:t xml:space="preserve">, </w:t>
      </w:r>
      <w:r w:rsidR="00B228AF">
        <w:rPr>
          <w:rFonts w:asciiTheme="majorBidi" w:hAnsiTheme="majorBidi" w:cstheme="majorBidi"/>
          <w:b/>
          <w:bCs/>
        </w:rPr>
        <w:t xml:space="preserve">mainly </w:t>
      </w:r>
      <w:r w:rsidR="004D2C0E">
        <w:rPr>
          <w:rFonts w:asciiTheme="majorBidi" w:hAnsiTheme="majorBidi" w:cstheme="majorBidi"/>
          <w:b/>
          <w:bCs/>
        </w:rPr>
        <w:t xml:space="preserve">in </w:t>
      </w:r>
      <w:r w:rsidR="004D35FB">
        <w:rPr>
          <w:rFonts w:asciiTheme="majorBidi" w:hAnsiTheme="majorBidi" w:cstheme="majorBidi"/>
          <w:b/>
          <w:bCs/>
        </w:rPr>
        <w:t>funds specializing in domestic bond</w:t>
      </w:r>
      <w:r w:rsidR="00E60C41">
        <w:rPr>
          <w:rFonts w:asciiTheme="majorBidi" w:hAnsiTheme="majorBidi" w:cstheme="majorBidi"/>
          <w:b/>
          <w:bCs/>
        </w:rPr>
        <w:t>s</w:t>
      </w:r>
      <w:r w:rsidR="003B3509">
        <w:rPr>
          <w:rFonts w:asciiTheme="majorBidi" w:hAnsiTheme="majorBidi" w:cstheme="majorBidi"/>
          <w:b/>
          <w:bCs/>
        </w:rPr>
        <w:t xml:space="preserve"> </w:t>
      </w:r>
      <w:r w:rsidR="00E60C41">
        <w:rPr>
          <w:rFonts w:asciiTheme="majorBidi" w:hAnsiTheme="majorBidi" w:cstheme="majorBidi"/>
          <w:b/>
          <w:bCs/>
        </w:rPr>
        <w:t xml:space="preserve">and in </w:t>
      </w:r>
      <w:r w:rsidR="00B14A7E">
        <w:rPr>
          <w:rFonts w:asciiTheme="majorBidi" w:hAnsiTheme="majorBidi" w:cstheme="majorBidi"/>
          <w:b/>
          <w:bCs/>
        </w:rPr>
        <w:t xml:space="preserve">funds </w:t>
      </w:r>
      <w:r w:rsidR="004D2C0E">
        <w:rPr>
          <w:rFonts w:asciiTheme="majorBidi" w:hAnsiTheme="majorBidi" w:cstheme="majorBidi"/>
          <w:b/>
          <w:bCs/>
        </w:rPr>
        <w:t xml:space="preserve">specializing in </w:t>
      </w:r>
      <w:r w:rsidR="00473A15">
        <w:rPr>
          <w:rFonts w:asciiTheme="majorBidi" w:hAnsiTheme="majorBidi" w:cstheme="majorBidi"/>
          <w:b/>
          <w:bCs/>
        </w:rPr>
        <w:t>domestic equities.</w:t>
      </w:r>
    </w:p>
    <w:p w14:paraId="5DFE35C9" w14:textId="77777777" w:rsidR="00AA2086" w:rsidRPr="00B228AF" w:rsidRDefault="00AA2086" w:rsidP="00AA2086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47ACBF5F" w14:textId="133F31A5" w:rsidR="00E9221B" w:rsidRPr="00B228AF" w:rsidRDefault="00E9221B" w:rsidP="009400B2">
      <w:pPr>
        <w:pStyle w:val="1"/>
        <w:tabs>
          <w:tab w:val="left" w:pos="5760"/>
        </w:tabs>
        <w:jc w:val="left"/>
        <w:rPr>
          <w:rFonts w:asciiTheme="majorBidi" w:hAnsiTheme="majorBidi" w:cstheme="majorBidi"/>
        </w:rPr>
      </w:pPr>
      <w:r w:rsidRPr="00B228AF">
        <w:rPr>
          <w:rFonts w:asciiTheme="majorBidi" w:hAnsiTheme="majorBidi" w:cstheme="majorBidi"/>
        </w:rPr>
        <w:t xml:space="preserve">1. The </w:t>
      </w:r>
      <w:r w:rsidR="00B228AF">
        <w:rPr>
          <w:rFonts w:asciiTheme="majorBidi" w:hAnsiTheme="majorBidi" w:cstheme="majorBidi"/>
        </w:rPr>
        <w:t xml:space="preserve">public’s </w:t>
      </w:r>
      <w:r w:rsidRPr="00B228AF">
        <w:rPr>
          <w:rFonts w:asciiTheme="majorBidi" w:hAnsiTheme="majorBidi" w:cstheme="majorBidi"/>
        </w:rPr>
        <w:t>total assets portfolio</w:t>
      </w:r>
    </w:p>
    <w:p w14:paraId="110E3736" w14:textId="77777777" w:rsidR="00D223DE" w:rsidRDefault="00D223DE" w:rsidP="00E93313">
      <w:pPr>
        <w:tabs>
          <w:tab w:val="left" w:pos="1134"/>
        </w:tabs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02479FBB" w14:textId="547F06BA" w:rsidR="00633277" w:rsidRPr="00B228AF" w:rsidRDefault="003A5B8D" w:rsidP="00E13943">
      <w:pPr>
        <w:tabs>
          <w:tab w:val="left" w:pos="1134"/>
          <w:tab w:val="left" w:pos="1503"/>
        </w:tabs>
        <w:bidi w:val="0"/>
        <w:spacing w:line="300" w:lineRule="exact"/>
        <w:jc w:val="both"/>
        <w:rPr>
          <w:rFonts w:asciiTheme="majorBidi" w:hAnsiTheme="majorBidi" w:cstheme="majorBidi"/>
        </w:rPr>
      </w:pPr>
      <w:r w:rsidRPr="00B228AF">
        <w:rPr>
          <w:rFonts w:asciiTheme="majorBidi" w:hAnsiTheme="majorBidi" w:cstheme="majorBidi"/>
          <w:b/>
          <w:bCs/>
        </w:rPr>
        <w:t xml:space="preserve">In the </w:t>
      </w:r>
      <w:r w:rsidR="007D22AC">
        <w:rPr>
          <w:rFonts w:asciiTheme="majorBidi" w:hAnsiTheme="majorBidi" w:cstheme="majorBidi"/>
          <w:b/>
          <w:bCs/>
        </w:rPr>
        <w:t>fourth</w:t>
      </w:r>
      <w:r w:rsidR="004D35FB">
        <w:rPr>
          <w:rFonts w:asciiTheme="majorBidi" w:hAnsiTheme="majorBidi" w:cstheme="majorBidi"/>
          <w:b/>
          <w:bCs/>
        </w:rPr>
        <w:t xml:space="preserve"> quarter</w:t>
      </w:r>
      <w:r w:rsidRPr="00B228AF">
        <w:rPr>
          <w:rFonts w:asciiTheme="majorBidi" w:hAnsiTheme="majorBidi" w:cstheme="majorBidi"/>
          <w:b/>
          <w:bCs/>
        </w:rPr>
        <w:t xml:space="preserve"> of </w:t>
      </w:r>
      <w:r w:rsidR="00CA5907">
        <w:rPr>
          <w:rFonts w:asciiTheme="majorBidi" w:hAnsiTheme="majorBidi" w:cstheme="majorBidi"/>
          <w:b/>
          <w:bCs/>
        </w:rPr>
        <w:t>2025</w:t>
      </w:r>
      <w:r w:rsidRPr="00B228AF">
        <w:rPr>
          <w:rFonts w:asciiTheme="majorBidi" w:hAnsiTheme="majorBidi" w:cstheme="majorBidi"/>
          <w:b/>
          <w:bCs/>
        </w:rPr>
        <w:t xml:space="preserve">, </w:t>
      </w:r>
      <w:r w:rsidR="005A43E3" w:rsidRPr="00B228AF">
        <w:rPr>
          <w:rFonts w:asciiTheme="majorBidi" w:hAnsiTheme="majorBidi" w:cstheme="majorBidi"/>
        </w:rPr>
        <w:t xml:space="preserve">the balance of the public’s financial assets portfolio </w:t>
      </w:r>
      <w:r w:rsidR="00E2788C">
        <w:rPr>
          <w:rFonts w:asciiTheme="majorBidi" w:hAnsiTheme="majorBidi" w:cstheme="majorBidi"/>
        </w:rPr>
        <w:t>increas</w:t>
      </w:r>
      <w:r w:rsidR="00D223DE">
        <w:rPr>
          <w:rFonts w:asciiTheme="majorBidi" w:hAnsiTheme="majorBidi" w:cstheme="majorBidi"/>
        </w:rPr>
        <w:t>ed</w:t>
      </w:r>
      <w:r w:rsidR="001D680D">
        <w:rPr>
          <w:rFonts w:asciiTheme="majorBidi" w:hAnsiTheme="majorBidi" w:cstheme="majorBidi"/>
        </w:rPr>
        <w:t xml:space="preserve"> </w:t>
      </w:r>
      <w:r w:rsidR="005A43E3" w:rsidRPr="00B228AF">
        <w:rPr>
          <w:rFonts w:asciiTheme="majorBidi" w:hAnsiTheme="majorBidi" w:cstheme="majorBidi"/>
        </w:rPr>
        <w:t xml:space="preserve">by </w:t>
      </w:r>
      <w:r w:rsidR="00E93313">
        <w:rPr>
          <w:rFonts w:asciiTheme="majorBidi" w:hAnsiTheme="majorBidi" w:cstheme="majorBidi"/>
        </w:rPr>
        <w:t>approximately</w:t>
      </w:r>
      <w:r w:rsidR="005A43E3" w:rsidRPr="00B228AF">
        <w:rPr>
          <w:rFonts w:asciiTheme="majorBidi" w:hAnsiTheme="majorBidi" w:cstheme="majorBidi"/>
        </w:rPr>
        <w:t xml:space="preserve"> NIS </w:t>
      </w:r>
      <w:r w:rsidR="008C06EF">
        <w:rPr>
          <w:rFonts w:asciiTheme="majorBidi" w:hAnsiTheme="majorBidi" w:cstheme="majorBidi"/>
        </w:rPr>
        <w:t xml:space="preserve">287.4 </w:t>
      </w:r>
      <w:r w:rsidR="005A43E3" w:rsidRPr="00B228AF">
        <w:rPr>
          <w:rFonts w:asciiTheme="majorBidi" w:hAnsiTheme="majorBidi" w:cstheme="majorBidi"/>
        </w:rPr>
        <w:t xml:space="preserve">billion </w:t>
      </w:r>
      <w:r w:rsidR="00633277" w:rsidRPr="00B228AF">
        <w:rPr>
          <w:rFonts w:asciiTheme="majorBidi" w:hAnsiTheme="majorBidi" w:cstheme="majorBidi"/>
        </w:rPr>
        <w:t>(</w:t>
      </w:r>
      <w:r w:rsidR="00E559FE">
        <w:rPr>
          <w:rFonts w:asciiTheme="majorBidi" w:hAnsiTheme="majorBidi" w:cstheme="majorBidi"/>
        </w:rPr>
        <w:t xml:space="preserve">about </w:t>
      </w:r>
      <w:r w:rsidR="004D35FB">
        <w:rPr>
          <w:rFonts w:asciiTheme="majorBidi" w:hAnsiTheme="majorBidi" w:cstheme="majorBidi"/>
        </w:rPr>
        <w:t>4</w:t>
      </w:r>
      <w:r w:rsidR="008C06EF">
        <w:rPr>
          <w:rFonts w:asciiTheme="majorBidi" w:hAnsiTheme="majorBidi" w:cstheme="majorBidi"/>
        </w:rPr>
        <w:t>.2</w:t>
      </w:r>
      <w:r w:rsidR="00E559FE">
        <w:rPr>
          <w:rFonts w:asciiTheme="majorBidi" w:hAnsiTheme="majorBidi" w:cstheme="majorBidi"/>
        </w:rPr>
        <w:t xml:space="preserve"> percent</w:t>
      </w:r>
      <w:r w:rsidR="00633277" w:rsidRPr="00B228AF">
        <w:rPr>
          <w:rFonts w:asciiTheme="majorBidi" w:hAnsiTheme="majorBidi" w:cstheme="majorBidi"/>
        </w:rPr>
        <w:t>)</w:t>
      </w:r>
      <w:r w:rsidR="00D223DE">
        <w:rPr>
          <w:rFonts w:asciiTheme="majorBidi" w:hAnsiTheme="majorBidi" w:cstheme="majorBidi"/>
        </w:rPr>
        <w:t>, to</w:t>
      </w:r>
      <w:r w:rsidR="009F3C28">
        <w:rPr>
          <w:rFonts w:asciiTheme="majorBidi" w:hAnsiTheme="majorBidi" w:cstheme="majorBidi"/>
        </w:rPr>
        <w:t xml:space="preserve"> </w:t>
      </w:r>
      <w:r w:rsidR="00830B7A">
        <w:rPr>
          <w:rFonts w:asciiTheme="majorBidi" w:hAnsiTheme="majorBidi" w:cstheme="majorBidi"/>
        </w:rPr>
        <w:t xml:space="preserve">about </w:t>
      </w:r>
      <w:r w:rsidR="005A43E3" w:rsidRPr="00B228AF">
        <w:rPr>
          <w:rFonts w:asciiTheme="majorBidi" w:hAnsiTheme="majorBidi" w:cstheme="majorBidi"/>
        </w:rPr>
        <w:t xml:space="preserve">NIS </w:t>
      </w:r>
      <w:r w:rsidR="008C06EF">
        <w:rPr>
          <w:rFonts w:asciiTheme="majorBidi" w:hAnsiTheme="majorBidi" w:cstheme="majorBidi"/>
        </w:rPr>
        <w:t xml:space="preserve">7.2 </w:t>
      </w:r>
      <w:r w:rsidR="005A43E3" w:rsidRPr="00514DD8">
        <w:rPr>
          <w:rFonts w:asciiTheme="majorBidi" w:hAnsiTheme="majorBidi" w:cstheme="majorBidi"/>
        </w:rPr>
        <w:t>trillion</w:t>
      </w:r>
      <w:r w:rsidR="00633277" w:rsidRPr="00514DD8">
        <w:rPr>
          <w:rFonts w:asciiTheme="majorBidi" w:hAnsiTheme="majorBidi" w:cstheme="majorBidi"/>
        </w:rPr>
        <w:t xml:space="preserve"> (</w:t>
      </w:r>
      <w:r w:rsidR="005A43E3" w:rsidRPr="00B228AF">
        <w:rPr>
          <w:rFonts w:asciiTheme="majorBidi" w:hAnsiTheme="majorBidi" w:cstheme="majorBidi"/>
        </w:rPr>
        <w:t>Figure 1)</w:t>
      </w:r>
      <w:r w:rsidR="00E13943">
        <w:rPr>
          <w:rFonts w:asciiTheme="majorBidi" w:hAnsiTheme="majorBidi" w:cstheme="majorBidi"/>
        </w:rPr>
        <w:t xml:space="preserve">. </w:t>
      </w:r>
      <w:r w:rsidR="00E13943" w:rsidRPr="00E13943">
        <w:rPr>
          <w:rFonts w:asciiTheme="majorBidi" w:hAnsiTheme="majorBidi" w:cstheme="majorBidi"/>
          <w:b/>
          <w:bCs/>
        </w:rPr>
        <w:t>For the year of 2025 overall, the portfolio increased by 15.5 percent.</w:t>
      </w:r>
      <w:r w:rsidR="00E559FE">
        <w:rPr>
          <w:rFonts w:asciiTheme="majorBidi" w:hAnsiTheme="majorBidi" w:cstheme="majorBidi"/>
        </w:rPr>
        <w:t xml:space="preserve"> </w:t>
      </w:r>
      <w:r w:rsidR="00633277" w:rsidRPr="00B228AF">
        <w:rPr>
          <w:rFonts w:asciiTheme="majorBidi" w:hAnsiTheme="majorBidi" w:cstheme="majorBidi"/>
        </w:rPr>
        <w:t>The</w:t>
      </w:r>
      <w:r w:rsidR="00A63123" w:rsidRPr="00B228AF">
        <w:rPr>
          <w:rFonts w:asciiTheme="majorBidi" w:hAnsiTheme="majorBidi" w:cstheme="majorBidi"/>
        </w:rPr>
        <w:t xml:space="preserve"> </w:t>
      </w:r>
      <w:r w:rsidR="00DB1C7A">
        <w:rPr>
          <w:rFonts w:asciiTheme="majorBidi" w:hAnsiTheme="majorBidi" w:cstheme="majorBidi"/>
        </w:rPr>
        <w:t xml:space="preserve">share </w:t>
      </w:r>
      <w:r w:rsidRPr="00B228AF">
        <w:rPr>
          <w:rFonts w:asciiTheme="majorBidi" w:hAnsiTheme="majorBidi" w:cstheme="majorBidi"/>
        </w:rPr>
        <w:t xml:space="preserve">of the </w:t>
      </w:r>
      <w:r w:rsidR="00A4321B" w:rsidRPr="00B228AF">
        <w:rPr>
          <w:rFonts w:asciiTheme="majorBidi" w:hAnsiTheme="majorBidi" w:cstheme="majorBidi"/>
        </w:rPr>
        <w:t xml:space="preserve">public’s financial assets portfolio </w:t>
      </w:r>
      <w:r w:rsidR="002F3824" w:rsidRPr="00B228AF">
        <w:rPr>
          <w:rFonts w:asciiTheme="majorBidi" w:hAnsiTheme="majorBidi" w:cstheme="majorBidi"/>
        </w:rPr>
        <w:t xml:space="preserve">relative to </w:t>
      </w:r>
      <w:r w:rsidR="00A4321B" w:rsidRPr="00B228AF">
        <w:rPr>
          <w:rFonts w:asciiTheme="majorBidi" w:hAnsiTheme="majorBidi" w:cstheme="majorBidi"/>
        </w:rPr>
        <w:t>GDP</w:t>
      </w:r>
      <w:r w:rsidR="00633277" w:rsidRPr="00B228AF">
        <w:rPr>
          <w:rFonts w:asciiTheme="majorBidi" w:hAnsiTheme="majorBidi" w:cstheme="majorBidi"/>
        </w:rPr>
        <w:t xml:space="preserve"> </w:t>
      </w:r>
      <w:r w:rsidR="008B2F3F">
        <w:rPr>
          <w:rFonts w:asciiTheme="majorBidi" w:hAnsiTheme="majorBidi" w:cstheme="majorBidi"/>
        </w:rPr>
        <w:t>in</w:t>
      </w:r>
      <w:r w:rsidR="00C16F31">
        <w:rPr>
          <w:rFonts w:asciiTheme="majorBidi" w:hAnsiTheme="majorBidi" w:cstheme="majorBidi"/>
        </w:rPr>
        <w:t>creased</w:t>
      </w:r>
      <w:r w:rsidR="007905B5" w:rsidRPr="00B228AF">
        <w:rPr>
          <w:rFonts w:asciiTheme="majorBidi" w:hAnsiTheme="majorBidi" w:cstheme="majorBidi"/>
        </w:rPr>
        <w:t xml:space="preserve"> </w:t>
      </w:r>
      <w:r w:rsidR="00633277" w:rsidRPr="00B228AF">
        <w:rPr>
          <w:rFonts w:asciiTheme="majorBidi" w:hAnsiTheme="majorBidi" w:cstheme="majorBidi"/>
        </w:rPr>
        <w:t xml:space="preserve">by </w:t>
      </w:r>
      <w:r w:rsidR="00E27A87" w:rsidRPr="00E27A87">
        <w:rPr>
          <w:rFonts w:asciiTheme="majorBidi" w:hAnsiTheme="majorBidi" w:cstheme="majorBidi"/>
        </w:rPr>
        <w:t>approximately</w:t>
      </w:r>
      <w:r w:rsidR="00E559FE">
        <w:rPr>
          <w:rFonts w:asciiTheme="majorBidi" w:hAnsiTheme="majorBidi" w:cstheme="majorBidi"/>
        </w:rPr>
        <w:t xml:space="preserve"> </w:t>
      </w:r>
      <w:r w:rsidR="00E13943">
        <w:rPr>
          <w:rFonts w:asciiTheme="majorBidi" w:hAnsiTheme="majorBidi" w:cstheme="majorBidi"/>
        </w:rPr>
        <w:t xml:space="preserve">9.6 </w:t>
      </w:r>
      <w:r w:rsidR="009F3C28">
        <w:rPr>
          <w:rFonts w:asciiTheme="majorBidi" w:hAnsiTheme="majorBidi" w:cstheme="majorBidi"/>
        </w:rPr>
        <w:t>p</w:t>
      </w:r>
      <w:r w:rsidR="00633277" w:rsidRPr="00B228AF">
        <w:rPr>
          <w:rFonts w:asciiTheme="majorBidi" w:hAnsiTheme="majorBidi" w:cstheme="majorBidi"/>
        </w:rPr>
        <w:t>ercentage points, to</w:t>
      </w:r>
      <w:r w:rsidR="00A63123" w:rsidRPr="00B228AF">
        <w:rPr>
          <w:rFonts w:asciiTheme="majorBidi" w:hAnsiTheme="majorBidi" w:cstheme="majorBidi"/>
        </w:rPr>
        <w:t xml:space="preserve"> </w:t>
      </w:r>
      <w:r w:rsidR="00683395" w:rsidRPr="00B228AF">
        <w:rPr>
          <w:rFonts w:asciiTheme="majorBidi" w:hAnsiTheme="majorBidi" w:cstheme="majorBidi"/>
        </w:rPr>
        <w:t xml:space="preserve">about </w:t>
      </w:r>
      <w:r w:rsidR="00E13943">
        <w:rPr>
          <w:rFonts w:asciiTheme="majorBidi" w:hAnsiTheme="majorBidi" w:cstheme="majorBidi"/>
        </w:rPr>
        <w:t xml:space="preserve">341 </w:t>
      </w:r>
      <w:r w:rsidR="00683395" w:rsidRPr="00B228AF">
        <w:rPr>
          <w:rFonts w:asciiTheme="majorBidi" w:hAnsiTheme="majorBidi" w:cstheme="majorBidi"/>
        </w:rPr>
        <w:t>percent</w:t>
      </w:r>
      <w:r w:rsidR="00155A7B" w:rsidRPr="00B228AF">
        <w:rPr>
          <w:rFonts w:asciiTheme="majorBidi" w:hAnsiTheme="majorBidi" w:cstheme="majorBidi"/>
        </w:rPr>
        <w:t xml:space="preserve"> </w:t>
      </w:r>
      <w:r w:rsidR="001E0BB4" w:rsidRPr="00B228AF">
        <w:rPr>
          <w:rFonts w:asciiTheme="majorBidi" w:hAnsiTheme="majorBidi" w:cstheme="majorBidi"/>
        </w:rPr>
        <w:t>at</w:t>
      </w:r>
      <w:r w:rsidR="00AE0420">
        <w:rPr>
          <w:rFonts w:asciiTheme="majorBidi" w:hAnsiTheme="majorBidi" w:cstheme="majorBidi"/>
        </w:rPr>
        <w:t xml:space="preserve"> </w:t>
      </w:r>
      <w:r w:rsidR="001E0BB4" w:rsidRPr="00B228AF">
        <w:rPr>
          <w:rFonts w:asciiTheme="majorBidi" w:hAnsiTheme="majorBidi" w:cstheme="majorBidi"/>
        </w:rPr>
        <w:t>the end of the quarter</w:t>
      </w:r>
      <w:r w:rsidR="00633277" w:rsidRPr="00B228AF">
        <w:rPr>
          <w:rFonts w:asciiTheme="majorBidi" w:hAnsiTheme="majorBidi" w:cstheme="majorBidi"/>
        </w:rPr>
        <w:t>,</w:t>
      </w:r>
      <w:r w:rsidR="00E2788C">
        <w:rPr>
          <w:rFonts w:asciiTheme="majorBidi" w:hAnsiTheme="majorBidi" w:cstheme="majorBidi"/>
        </w:rPr>
        <w:t xml:space="preserve"> </w:t>
      </w:r>
      <w:r w:rsidR="004D2C0E">
        <w:rPr>
          <w:rFonts w:asciiTheme="majorBidi" w:hAnsiTheme="majorBidi" w:cstheme="majorBidi"/>
        </w:rPr>
        <w:t>as a</w:t>
      </w:r>
      <w:r w:rsidR="00633277" w:rsidRPr="00B228AF">
        <w:rPr>
          <w:rFonts w:asciiTheme="majorBidi" w:hAnsiTheme="majorBidi" w:cstheme="majorBidi"/>
        </w:rPr>
        <w:t xml:space="preserve"> result of </w:t>
      </w:r>
      <w:r w:rsidR="009F3C28">
        <w:rPr>
          <w:rFonts w:asciiTheme="majorBidi" w:hAnsiTheme="majorBidi" w:cstheme="majorBidi"/>
        </w:rPr>
        <w:t>a</w:t>
      </w:r>
      <w:r w:rsidR="00E2788C">
        <w:rPr>
          <w:rFonts w:asciiTheme="majorBidi" w:hAnsiTheme="majorBidi" w:cstheme="majorBidi"/>
        </w:rPr>
        <w:t xml:space="preserve">n increase in </w:t>
      </w:r>
      <w:r w:rsidR="008B2F3F">
        <w:rPr>
          <w:rFonts w:asciiTheme="majorBidi" w:hAnsiTheme="majorBidi" w:cstheme="majorBidi"/>
        </w:rPr>
        <w:t xml:space="preserve">the </w:t>
      </w:r>
      <w:r w:rsidR="006B4489">
        <w:rPr>
          <w:rFonts w:asciiTheme="majorBidi" w:hAnsiTheme="majorBidi" w:cstheme="majorBidi"/>
        </w:rPr>
        <w:t xml:space="preserve">balance of the </w:t>
      </w:r>
      <w:r w:rsidR="008B2F3F">
        <w:rPr>
          <w:rFonts w:asciiTheme="majorBidi" w:hAnsiTheme="majorBidi" w:cstheme="majorBidi"/>
        </w:rPr>
        <w:t xml:space="preserve">asset portfolio </w:t>
      </w:r>
      <w:r w:rsidR="00350A32">
        <w:rPr>
          <w:rFonts w:asciiTheme="majorBidi" w:hAnsiTheme="majorBidi" w:cstheme="majorBidi"/>
        </w:rPr>
        <w:t xml:space="preserve">that was </w:t>
      </w:r>
      <w:r w:rsidR="00830B7A">
        <w:rPr>
          <w:rFonts w:asciiTheme="majorBidi" w:hAnsiTheme="majorBidi" w:cstheme="majorBidi"/>
        </w:rPr>
        <w:t>greater</w:t>
      </w:r>
      <w:r w:rsidR="00350A32">
        <w:rPr>
          <w:rFonts w:asciiTheme="majorBidi" w:hAnsiTheme="majorBidi" w:cstheme="majorBidi"/>
        </w:rPr>
        <w:t xml:space="preserve"> than that of </w:t>
      </w:r>
      <w:r w:rsidR="008B2F3F">
        <w:rPr>
          <w:rFonts w:asciiTheme="majorBidi" w:hAnsiTheme="majorBidi" w:cstheme="majorBidi"/>
        </w:rPr>
        <w:t>GDP</w:t>
      </w:r>
      <w:r w:rsidR="00350A32">
        <w:rPr>
          <w:rFonts w:asciiTheme="majorBidi" w:hAnsiTheme="majorBidi" w:cstheme="majorBidi"/>
        </w:rPr>
        <w:t>.</w:t>
      </w:r>
    </w:p>
    <w:p w14:paraId="70213E74" w14:textId="569E9A0E" w:rsidR="00AC3545" w:rsidRPr="00B228AF" w:rsidRDefault="00AC3545" w:rsidP="00633277">
      <w:pPr>
        <w:tabs>
          <w:tab w:val="left" w:pos="1134"/>
        </w:tabs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53A692B1" w14:textId="494D6A91" w:rsidR="00BA6F96" w:rsidRDefault="00BA6F96" w:rsidP="00442B1C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39FE2547" w14:textId="6974271A" w:rsidR="00AE0420" w:rsidRDefault="00AE0420" w:rsidP="00AE042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280D0CFA" w14:textId="722D5DC1" w:rsidR="00AE0420" w:rsidRDefault="00AE0420" w:rsidP="00AE042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5172BCA8" w14:textId="28F18499" w:rsidR="00AE0420" w:rsidRDefault="00AE0420" w:rsidP="00AE042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5478A744" w14:textId="000EAD1D" w:rsidR="00AE0420" w:rsidRDefault="00AE0420" w:rsidP="00AE042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4E13F353" w14:textId="6A2151C3" w:rsidR="00AE0420" w:rsidRDefault="00AE0420" w:rsidP="00AE042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1B4A9004" w14:textId="2F9012BF" w:rsidR="00AE0420" w:rsidRDefault="00AE0420" w:rsidP="00AE042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5A4FA0DC" w14:textId="0EAA274B" w:rsidR="00AE0420" w:rsidRPr="00B228AF" w:rsidRDefault="000750AA" w:rsidP="00AE0420">
      <w:pPr>
        <w:bidi w:val="0"/>
        <w:spacing w:line="300" w:lineRule="exac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4CFC75CE" wp14:editId="3305F4AB">
            <wp:simplePos x="0" y="0"/>
            <wp:positionH relativeFrom="margin">
              <wp:align>center</wp:align>
            </wp:positionH>
            <wp:positionV relativeFrom="paragraph">
              <wp:posOffset>187</wp:posOffset>
            </wp:positionV>
            <wp:extent cx="5576400" cy="2284297"/>
            <wp:effectExtent l="0" t="0" r="5715" b="1905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400" cy="22842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566E56" w14:textId="3E43E975" w:rsidR="00E9221B" w:rsidRPr="00B228AF" w:rsidRDefault="002B4397" w:rsidP="007E422E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  <w:r w:rsidRPr="00B228AF">
        <w:rPr>
          <w:rFonts w:asciiTheme="majorBidi" w:hAnsiTheme="majorBidi" w:cstheme="majorBidi"/>
          <w:b/>
          <w:bCs/>
        </w:rPr>
        <w:t xml:space="preserve">2. </w:t>
      </w:r>
      <w:r w:rsidR="009733F7" w:rsidRPr="00B228AF">
        <w:rPr>
          <w:rFonts w:asciiTheme="majorBidi" w:hAnsiTheme="majorBidi" w:cstheme="majorBidi"/>
          <w:b/>
          <w:bCs/>
        </w:rPr>
        <w:t>Analysis of the changes in the overall portfolio</w:t>
      </w:r>
    </w:p>
    <w:p w14:paraId="0BB641F9" w14:textId="3E42D6C5" w:rsidR="00D223DE" w:rsidRDefault="00D223DE" w:rsidP="00BD7F6B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4E22878F" w14:textId="07DB8648" w:rsidR="00455E2B" w:rsidRPr="00B228AF" w:rsidRDefault="00557500" w:rsidP="00AB1B28">
      <w:pPr>
        <w:bidi w:val="0"/>
        <w:spacing w:line="300" w:lineRule="exact"/>
        <w:jc w:val="both"/>
        <w:rPr>
          <w:rFonts w:asciiTheme="majorBidi" w:hAnsiTheme="majorBidi" w:cstheme="majorBidi"/>
        </w:rPr>
      </w:pPr>
      <w:r w:rsidRPr="00B228AF">
        <w:rPr>
          <w:rFonts w:asciiTheme="majorBidi" w:hAnsiTheme="majorBidi" w:cstheme="majorBidi"/>
        </w:rPr>
        <w:t xml:space="preserve">Over the course of the </w:t>
      </w:r>
      <w:r w:rsidR="007D22AC">
        <w:rPr>
          <w:rFonts w:asciiTheme="majorBidi" w:hAnsiTheme="majorBidi" w:cstheme="majorBidi"/>
        </w:rPr>
        <w:t>fourth</w:t>
      </w:r>
      <w:r w:rsidR="004D35FB">
        <w:rPr>
          <w:rFonts w:asciiTheme="majorBidi" w:hAnsiTheme="majorBidi" w:cstheme="majorBidi"/>
        </w:rPr>
        <w:t xml:space="preserve"> quarter</w:t>
      </w:r>
      <w:r w:rsidRPr="00B228AF">
        <w:rPr>
          <w:rFonts w:asciiTheme="majorBidi" w:hAnsiTheme="majorBidi" w:cstheme="majorBidi"/>
        </w:rPr>
        <w:t xml:space="preserve">, </w:t>
      </w:r>
      <w:r w:rsidR="00EA12FD">
        <w:rPr>
          <w:rFonts w:asciiTheme="majorBidi" w:hAnsiTheme="majorBidi" w:cstheme="majorBidi"/>
        </w:rPr>
        <w:t>the</w:t>
      </w:r>
      <w:r w:rsidR="00E2788C">
        <w:rPr>
          <w:rFonts w:asciiTheme="majorBidi" w:hAnsiTheme="majorBidi" w:cstheme="majorBidi"/>
        </w:rPr>
        <w:t xml:space="preserve">re were </w:t>
      </w:r>
      <w:r w:rsidR="005125D4">
        <w:rPr>
          <w:rFonts w:asciiTheme="majorBidi" w:hAnsiTheme="majorBidi" w:cstheme="majorBidi"/>
        </w:rPr>
        <w:t>increase</w:t>
      </w:r>
      <w:r w:rsidR="00CC79C8">
        <w:rPr>
          <w:rFonts w:asciiTheme="majorBidi" w:hAnsiTheme="majorBidi" w:cstheme="majorBidi"/>
        </w:rPr>
        <w:t xml:space="preserve">s </w:t>
      </w:r>
      <w:r w:rsidR="00E2788C">
        <w:rPr>
          <w:rFonts w:asciiTheme="majorBidi" w:hAnsiTheme="majorBidi" w:cstheme="majorBidi"/>
        </w:rPr>
        <w:t xml:space="preserve">in the balances of the public’s holdings in </w:t>
      </w:r>
      <w:r w:rsidR="004D35FB">
        <w:rPr>
          <w:rFonts w:asciiTheme="majorBidi" w:hAnsiTheme="majorBidi" w:cstheme="majorBidi"/>
        </w:rPr>
        <w:t>all</w:t>
      </w:r>
      <w:r w:rsidR="00E2788C">
        <w:rPr>
          <w:rFonts w:asciiTheme="majorBidi" w:hAnsiTheme="majorBidi" w:cstheme="majorBidi"/>
        </w:rPr>
        <w:t xml:space="preserve"> components</w:t>
      </w:r>
      <w:r w:rsidR="00D223DE">
        <w:rPr>
          <w:rFonts w:asciiTheme="majorBidi" w:hAnsiTheme="majorBidi" w:cstheme="majorBidi"/>
        </w:rPr>
        <w:t xml:space="preserve"> of the portfolio</w:t>
      </w:r>
      <w:r w:rsidR="00E2788C">
        <w:rPr>
          <w:rFonts w:asciiTheme="majorBidi" w:hAnsiTheme="majorBidi" w:cstheme="majorBidi"/>
        </w:rPr>
        <w:t>.</w:t>
      </w:r>
      <w:r w:rsidR="00D223DE">
        <w:rPr>
          <w:rFonts w:asciiTheme="majorBidi" w:hAnsiTheme="majorBidi" w:cstheme="majorBidi"/>
        </w:rPr>
        <w:t xml:space="preserve"> The</w:t>
      </w:r>
      <w:r w:rsidR="00E2788C">
        <w:rPr>
          <w:rFonts w:asciiTheme="majorBidi" w:hAnsiTheme="majorBidi" w:cstheme="majorBidi"/>
        </w:rPr>
        <w:t xml:space="preserve"> increases </w:t>
      </w:r>
      <w:r w:rsidR="00D223DE">
        <w:rPr>
          <w:rFonts w:asciiTheme="majorBidi" w:hAnsiTheme="majorBidi" w:cstheme="majorBidi"/>
        </w:rPr>
        <w:t>in</w:t>
      </w:r>
      <w:r w:rsidR="00E469FB">
        <w:rPr>
          <w:rFonts w:asciiTheme="majorBidi" w:hAnsiTheme="majorBidi" w:cstheme="majorBidi"/>
        </w:rPr>
        <w:t xml:space="preserve"> </w:t>
      </w:r>
      <w:r w:rsidR="00830B7A">
        <w:rPr>
          <w:rFonts w:asciiTheme="majorBidi" w:hAnsiTheme="majorBidi" w:cstheme="majorBidi"/>
        </w:rPr>
        <w:t>equities in Israel (</w:t>
      </w:r>
      <w:r w:rsidR="00AB1B28">
        <w:rPr>
          <w:rFonts w:asciiTheme="majorBidi" w:hAnsiTheme="majorBidi" w:cstheme="majorBidi"/>
        </w:rPr>
        <w:t>12.6</w:t>
      </w:r>
      <w:r w:rsidR="00E469FB">
        <w:rPr>
          <w:rFonts w:asciiTheme="majorBidi" w:hAnsiTheme="majorBidi" w:cstheme="majorBidi"/>
        </w:rPr>
        <w:t xml:space="preserve"> </w:t>
      </w:r>
      <w:r w:rsidR="00830B7A">
        <w:rPr>
          <w:rFonts w:asciiTheme="majorBidi" w:hAnsiTheme="majorBidi" w:cstheme="majorBidi"/>
        </w:rPr>
        <w:t>percent)</w:t>
      </w:r>
      <w:r w:rsidR="00AB1B28">
        <w:rPr>
          <w:rFonts w:asciiTheme="majorBidi" w:hAnsiTheme="majorBidi" w:cstheme="majorBidi"/>
        </w:rPr>
        <w:t xml:space="preserve"> and in cash and deposits (3.9 percent) were notable.</w:t>
      </w:r>
    </w:p>
    <w:p w14:paraId="20B0C21B" w14:textId="5C97BD91" w:rsidR="00574E4C" w:rsidRDefault="00574E4C" w:rsidP="002B4397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76672" behindDoc="0" locked="0" layoutInCell="1" allowOverlap="1" wp14:anchorId="04482B7D" wp14:editId="4DCB2536">
            <wp:simplePos x="0" y="0"/>
            <wp:positionH relativeFrom="margin">
              <wp:posOffset>808355</wp:posOffset>
            </wp:positionH>
            <wp:positionV relativeFrom="paragraph">
              <wp:posOffset>182167</wp:posOffset>
            </wp:positionV>
            <wp:extent cx="4568190" cy="2405380"/>
            <wp:effectExtent l="0" t="0" r="3810" b="0"/>
            <wp:wrapSquare wrapText="bothSides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190" cy="240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986661" w14:textId="7612B666" w:rsidR="00574E4C" w:rsidRDefault="00574E4C" w:rsidP="00574E4C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5C384557" w14:textId="7F28FDF9" w:rsidR="00574E4C" w:rsidRDefault="00574E4C" w:rsidP="00574E4C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7E1CDDD1" w14:textId="3190DA4F" w:rsidR="00574E4C" w:rsidRDefault="00574E4C" w:rsidP="00574E4C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782EBF33" w14:textId="77777777" w:rsidR="00574E4C" w:rsidRDefault="00574E4C" w:rsidP="00574E4C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306A0BC2" w14:textId="1C78D081" w:rsidR="00574E4C" w:rsidRDefault="00574E4C" w:rsidP="00574E4C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62337126" w14:textId="778BC15C" w:rsidR="00574E4C" w:rsidRDefault="00574E4C" w:rsidP="00574E4C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35FCA56D" w14:textId="467329A4" w:rsidR="00AE0420" w:rsidRDefault="00AE0420" w:rsidP="00AE0420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0E21E862" w14:textId="5C366D16" w:rsidR="00AE0420" w:rsidRDefault="00AE0420" w:rsidP="00AE0420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5CF81487" w14:textId="010FEC0A" w:rsidR="00AE0420" w:rsidRDefault="00AE0420" w:rsidP="00AE0420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1C372AB0" w14:textId="0D24D21C" w:rsidR="00AE0420" w:rsidRDefault="00AE0420" w:rsidP="00AE0420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13F0EE5E" w14:textId="41F95D3C" w:rsidR="00AE0420" w:rsidRDefault="00AE0420" w:rsidP="00AE0420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6CABDF07" w14:textId="34A3E3DF" w:rsidR="00AE0420" w:rsidRDefault="00AE0420" w:rsidP="00AE0420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61DE3836" w14:textId="48389E7D" w:rsidR="00AE0420" w:rsidRDefault="00AE0420" w:rsidP="00AE0420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6466E163" w14:textId="3F24FC26" w:rsidR="00AE0420" w:rsidRDefault="00AE0420" w:rsidP="00AE0420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77696" behindDoc="0" locked="0" layoutInCell="1" allowOverlap="1" wp14:anchorId="5C62C3C3" wp14:editId="744AC140">
            <wp:simplePos x="0" y="0"/>
            <wp:positionH relativeFrom="margin">
              <wp:posOffset>808355</wp:posOffset>
            </wp:positionH>
            <wp:positionV relativeFrom="paragraph">
              <wp:posOffset>59826</wp:posOffset>
            </wp:positionV>
            <wp:extent cx="4568190" cy="2020570"/>
            <wp:effectExtent l="0" t="0" r="3810" b="0"/>
            <wp:wrapSquare wrapText="bothSides"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190" cy="202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9AD7B4" w14:textId="71738888" w:rsidR="00AE0420" w:rsidRDefault="00AE0420" w:rsidP="00AE0420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7849CABB" w14:textId="44A83C51" w:rsidR="00AE0420" w:rsidRDefault="00AE0420" w:rsidP="00AE0420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310E5D5B" w14:textId="56566163" w:rsidR="00574E4C" w:rsidRDefault="00574E4C" w:rsidP="00574E4C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4AE2EE61" w14:textId="20B13BFF" w:rsidR="00AE0420" w:rsidRDefault="00AE0420" w:rsidP="00AE0420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4A5759DD" w14:textId="2D3D0237" w:rsidR="00AE0420" w:rsidRDefault="00AE0420" w:rsidP="00AE0420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02837C40" w14:textId="4E1748D8" w:rsidR="00AE0420" w:rsidRDefault="00AE0420" w:rsidP="00AE0420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6E5256B7" w14:textId="74FBA108" w:rsidR="00AE0420" w:rsidRDefault="00AE0420" w:rsidP="00AE0420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745DB6C6" w14:textId="17CB7F31" w:rsidR="00AE0420" w:rsidRDefault="00AE0420" w:rsidP="00AE0420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74DB2ECC" w14:textId="657C802A" w:rsidR="00AE0420" w:rsidRDefault="00AE0420" w:rsidP="00AE0420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7D85926B" w14:textId="6FA84541" w:rsidR="002B4397" w:rsidRDefault="002B4397" w:rsidP="00574E4C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2575D1BD" w14:textId="464AC137" w:rsidR="00AE0420" w:rsidRDefault="00AE0420" w:rsidP="00AE0420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3CE33D49" w14:textId="77777777" w:rsidR="00AE0420" w:rsidRPr="00B228AF" w:rsidRDefault="00AE0420" w:rsidP="00AE042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7436894C" w14:textId="02DBA66E" w:rsidR="00085E6A" w:rsidRPr="00343557" w:rsidRDefault="00085E6A" w:rsidP="001C4D07">
      <w:pPr>
        <w:pStyle w:val="ab"/>
        <w:numPr>
          <w:ilvl w:val="0"/>
          <w:numId w:val="23"/>
        </w:numPr>
        <w:bidi w:val="0"/>
        <w:spacing w:line="300" w:lineRule="exact"/>
        <w:ind w:left="426"/>
        <w:jc w:val="both"/>
        <w:rPr>
          <w:rFonts w:asciiTheme="majorBidi" w:hAnsiTheme="majorBidi" w:cstheme="majorBidi"/>
          <w:b/>
          <w:bCs/>
        </w:rPr>
      </w:pPr>
      <w:r w:rsidRPr="001E6EEE">
        <w:rPr>
          <w:rFonts w:asciiTheme="majorBidi" w:hAnsiTheme="majorBidi" w:cstheme="majorBidi"/>
        </w:rPr>
        <w:lastRenderedPageBreak/>
        <w:t xml:space="preserve">The balance of </w:t>
      </w:r>
      <w:r w:rsidRPr="001E6EEE">
        <w:rPr>
          <w:rFonts w:asciiTheme="majorBidi" w:hAnsiTheme="majorBidi" w:cstheme="majorBidi"/>
          <w:b/>
          <w:bCs/>
        </w:rPr>
        <w:t>equities in Israel</w:t>
      </w:r>
      <w:r w:rsidRPr="001E6EEE">
        <w:rPr>
          <w:rFonts w:asciiTheme="majorBidi" w:hAnsiTheme="majorBidi" w:cstheme="majorBidi"/>
        </w:rPr>
        <w:t xml:space="preserve"> </w:t>
      </w:r>
      <w:r w:rsidR="00696D75">
        <w:rPr>
          <w:rFonts w:asciiTheme="majorBidi" w:hAnsiTheme="majorBidi" w:cstheme="majorBidi"/>
        </w:rPr>
        <w:t>increased</w:t>
      </w:r>
      <w:r w:rsidRPr="001E6EEE">
        <w:rPr>
          <w:rFonts w:asciiTheme="majorBidi" w:hAnsiTheme="majorBidi" w:cstheme="majorBidi"/>
        </w:rPr>
        <w:t xml:space="preserve"> by about NIS </w:t>
      </w:r>
      <w:r w:rsidR="001C4D07">
        <w:rPr>
          <w:rFonts w:asciiTheme="majorBidi" w:hAnsiTheme="majorBidi" w:cstheme="majorBidi"/>
        </w:rPr>
        <w:t xml:space="preserve">145.8 </w:t>
      </w:r>
      <w:r w:rsidRPr="001E6EEE">
        <w:rPr>
          <w:rFonts w:asciiTheme="majorBidi" w:hAnsiTheme="majorBidi" w:cstheme="majorBidi"/>
        </w:rPr>
        <w:t>billion (</w:t>
      </w:r>
      <w:r w:rsidR="001C4D07">
        <w:rPr>
          <w:rFonts w:asciiTheme="majorBidi" w:hAnsiTheme="majorBidi" w:cstheme="majorBidi"/>
        </w:rPr>
        <w:t xml:space="preserve">12.6 </w:t>
      </w:r>
      <w:r w:rsidR="00E33DF5">
        <w:rPr>
          <w:rFonts w:asciiTheme="majorBidi" w:hAnsiTheme="majorBidi" w:cstheme="majorBidi"/>
        </w:rPr>
        <w:t>p</w:t>
      </w:r>
      <w:r w:rsidRPr="001E6EEE">
        <w:rPr>
          <w:rFonts w:asciiTheme="majorBidi" w:hAnsiTheme="majorBidi" w:cstheme="majorBidi"/>
        </w:rPr>
        <w:t xml:space="preserve">ercent), </w:t>
      </w:r>
      <w:r>
        <w:rPr>
          <w:rFonts w:asciiTheme="majorBidi" w:hAnsiTheme="majorBidi" w:cstheme="majorBidi"/>
        </w:rPr>
        <w:t xml:space="preserve">mainly </w:t>
      </w:r>
      <w:r w:rsidRPr="001E6EEE">
        <w:rPr>
          <w:rFonts w:asciiTheme="majorBidi" w:hAnsiTheme="majorBidi" w:cstheme="majorBidi"/>
        </w:rPr>
        <w:t xml:space="preserve">in view of </w:t>
      </w:r>
      <w:r>
        <w:rPr>
          <w:rFonts w:asciiTheme="majorBidi" w:hAnsiTheme="majorBidi" w:cstheme="majorBidi"/>
        </w:rPr>
        <w:t xml:space="preserve">price </w:t>
      </w:r>
      <w:r w:rsidR="00696D75">
        <w:rPr>
          <w:rFonts w:asciiTheme="majorBidi" w:hAnsiTheme="majorBidi" w:cstheme="majorBidi"/>
        </w:rPr>
        <w:t>increas</w:t>
      </w:r>
      <w:r>
        <w:rPr>
          <w:rFonts w:asciiTheme="majorBidi" w:hAnsiTheme="majorBidi" w:cstheme="majorBidi"/>
        </w:rPr>
        <w:t>es</w:t>
      </w:r>
      <w:r w:rsidR="0076012E">
        <w:rPr>
          <w:rFonts w:asciiTheme="majorBidi" w:hAnsiTheme="majorBidi" w:cstheme="majorBidi"/>
        </w:rPr>
        <w:t>.</w:t>
      </w:r>
    </w:p>
    <w:p w14:paraId="16C7A0C5" w14:textId="0540C402" w:rsidR="006E229C" w:rsidRPr="00085E6A" w:rsidRDefault="006E229C" w:rsidP="001C4D07">
      <w:pPr>
        <w:pStyle w:val="ab"/>
        <w:numPr>
          <w:ilvl w:val="0"/>
          <w:numId w:val="23"/>
        </w:numPr>
        <w:bidi w:val="0"/>
        <w:spacing w:line="300" w:lineRule="exact"/>
        <w:ind w:left="426"/>
        <w:jc w:val="both"/>
        <w:rPr>
          <w:rFonts w:asciiTheme="majorBidi" w:hAnsiTheme="majorBidi" w:cstheme="majorBidi"/>
          <w:b/>
          <w:bCs/>
        </w:rPr>
      </w:pPr>
      <w:r w:rsidRPr="00085E6A">
        <w:rPr>
          <w:rFonts w:asciiTheme="majorBidi" w:hAnsiTheme="majorBidi" w:cstheme="majorBidi"/>
        </w:rPr>
        <w:t xml:space="preserve">The balance of </w:t>
      </w:r>
      <w:r w:rsidRPr="00085E6A">
        <w:rPr>
          <w:rFonts w:asciiTheme="majorBidi" w:hAnsiTheme="majorBidi" w:cstheme="majorBidi"/>
          <w:b/>
          <w:bCs/>
        </w:rPr>
        <w:t>cash and deposits</w:t>
      </w:r>
      <w:r w:rsidRPr="00085E6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in</w:t>
      </w:r>
      <w:r w:rsidRPr="00085E6A">
        <w:rPr>
          <w:rFonts w:asciiTheme="majorBidi" w:hAnsiTheme="majorBidi" w:cstheme="majorBidi"/>
        </w:rPr>
        <w:t xml:space="preserve">creased during the </w:t>
      </w:r>
      <w:r w:rsidR="007D22AC">
        <w:rPr>
          <w:rFonts w:asciiTheme="majorBidi" w:hAnsiTheme="majorBidi" w:cstheme="majorBidi"/>
        </w:rPr>
        <w:t>fourth</w:t>
      </w:r>
      <w:r w:rsidR="004D35FB">
        <w:rPr>
          <w:rFonts w:asciiTheme="majorBidi" w:hAnsiTheme="majorBidi" w:cstheme="majorBidi"/>
        </w:rPr>
        <w:t xml:space="preserve"> quarter</w:t>
      </w:r>
      <w:r w:rsidRPr="00085E6A">
        <w:rPr>
          <w:rFonts w:asciiTheme="majorBidi" w:hAnsiTheme="majorBidi" w:cstheme="majorBidi"/>
        </w:rPr>
        <w:t xml:space="preserve"> by about NIS </w:t>
      </w:r>
      <w:r w:rsidR="001C4D07">
        <w:rPr>
          <w:rFonts w:asciiTheme="majorBidi" w:hAnsiTheme="majorBidi" w:cstheme="majorBidi"/>
        </w:rPr>
        <w:t>90 b</w:t>
      </w:r>
      <w:r w:rsidRPr="00085E6A">
        <w:rPr>
          <w:rFonts w:asciiTheme="majorBidi" w:hAnsiTheme="majorBidi" w:cstheme="majorBidi"/>
        </w:rPr>
        <w:t>illion (</w:t>
      </w:r>
      <w:r w:rsidR="001C4D07">
        <w:rPr>
          <w:rFonts w:asciiTheme="majorBidi" w:hAnsiTheme="majorBidi" w:cstheme="majorBidi"/>
        </w:rPr>
        <w:t xml:space="preserve">3.9 </w:t>
      </w:r>
      <w:r w:rsidRPr="00085E6A">
        <w:rPr>
          <w:rFonts w:asciiTheme="majorBidi" w:hAnsiTheme="majorBidi" w:cstheme="majorBidi"/>
        </w:rPr>
        <w:t>percent) to about NIS 2.</w:t>
      </w:r>
      <w:r w:rsidR="001C4D07">
        <w:rPr>
          <w:rFonts w:asciiTheme="majorBidi" w:hAnsiTheme="majorBidi" w:cstheme="majorBidi"/>
        </w:rPr>
        <w:t>41</w:t>
      </w:r>
      <w:r>
        <w:rPr>
          <w:rFonts w:asciiTheme="majorBidi" w:hAnsiTheme="majorBidi" w:cstheme="majorBidi"/>
        </w:rPr>
        <w:t xml:space="preserve"> </w:t>
      </w:r>
      <w:r w:rsidRPr="00085E6A">
        <w:rPr>
          <w:rFonts w:asciiTheme="majorBidi" w:hAnsiTheme="majorBidi" w:cstheme="majorBidi"/>
        </w:rPr>
        <w:t>trillion, which is about 3</w:t>
      </w:r>
      <w:r>
        <w:rPr>
          <w:rFonts w:asciiTheme="majorBidi" w:hAnsiTheme="majorBidi" w:cstheme="majorBidi"/>
        </w:rPr>
        <w:t>4</w:t>
      </w:r>
      <w:r w:rsidRPr="00085E6A">
        <w:rPr>
          <w:rFonts w:asciiTheme="majorBidi" w:hAnsiTheme="majorBidi" w:cstheme="majorBidi"/>
        </w:rPr>
        <w:t xml:space="preserve"> percent of the total portfolio.</w:t>
      </w:r>
    </w:p>
    <w:p w14:paraId="63757376" w14:textId="6E366471" w:rsidR="00343557" w:rsidRPr="00085E6A" w:rsidRDefault="00343557" w:rsidP="001C4D07">
      <w:pPr>
        <w:pStyle w:val="ab"/>
        <w:numPr>
          <w:ilvl w:val="0"/>
          <w:numId w:val="23"/>
        </w:numPr>
        <w:bidi w:val="0"/>
        <w:spacing w:line="300" w:lineRule="exact"/>
        <w:ind w:left="426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The balance of </w:t>
      </w:r>
      <w:r>
        <w:rPr>
          <w:rFonts w:asciiTheme="majorBidi" w:hAnsiTheme="majorBidi" w:cstheme="majorBidi"/>
          <w:b/>
          <w:bCs/>
        </w:rPr>
        <w:t>tradable corporate bonds in Israel</w:t>
      </w:r>
      <w:r>
        <w:rPr>
          <w:rFonts w:asciiTheme="majorBidi" w:hAnsiTheme="majorBidi" w:cstheme="majorBidi"/>
        </w:rPr>
        <w:t xml:space="preserve"> increased </w:t>
      </w:r>
      <w:r w:rsidR="006E229C">
        <w:rPr>
          <w:rFonts w:asciiTheme="majorBidi" w:hAnsiTheme="majorBidi" w:cstheme="majorBidi"/>
        </w:rPr>
        <w:t xml:space="preserve">during the quarter </w:t>
      </w:r>
      <w:r>
        <w:rPr>
          <w:rFonts w:asciiTheme="majorBidi" w:hAnsiTheme="majorBidi" w:cstheme="majorBidi"/>
        </w:rPr>
        <w:t xml:space="preserve">by about NIS </w:t>
      </w:r>
      <w:r w:rsidR="001C4D07">
        <w:rPr>
          <w:rFonts w:asciiTheme="majorBidi" w:hAnsiTheme="majorBidi" w:cstheme="majorBidi"/>
        </w:rPr>
        <w:t xml:space="preserve">16 </w:t>
      </w:r>
      <w:r w:rsidR="006E229C">
        <w:rPr>
          <w:rFonts w:asciiTheme="majorBidi" w:hAnsiTheme="majorBidi" w:cstheme="majorBidi"/>
        </w:rPr>
        <w:t>b</w:t>
      </w:r>
      <w:r>
        <w:rPr>
          <w:rFonts w:asciiTheme="majorBidi" w:hAnsiTheme="majorBidi" w:cstheme="majorBidi"/>
        </w:rPr>
        <w:t>illion</w:t>
      </w:r>
      <w:r w:rsidR="009321A6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to about NIS </w:t>
      </w:r>
      <w:r w:rsidR="001C4D07">
        <w:rPr>
          <w:rFonts w:asciiTheme="majorBidi" w:hAnsiTheme="majorBidi" w:cstheme="majorBidi"/>
        </w:rPr>
        <w:t xml:space="preserve">510 </w:t>
      </w:r>
      <w:r>
        <w:rPr>
          <w:rFonts w:asciiTheme="majorBidi" w:hAnsiTheme="majorBidi" w:cstheme="majorBidi"/>
        </w:rPr>
        <w:t xml:space="preserve">billion at the end of the quarter, due to a combination of </w:t>
      </w:r>
      <w:r w:rsidR="002A2584">
        <w:rPr>
          <w:rFonts w:asciiTheme="majorBidi" w:hAnsiTheme="majorBidi" w:cstheme="majorBidi"/>
        </w:rPr>
        <w:t xml:space="preserve">net investments </w:t>
      </w:r>
      <w:r w:rsidR="009321A6">
        <w:rPr>
          <w:rFonts w:asciiTheme="majorBidi" w:hAnsiTheme="majorBidi" w:cstheme="majorBidi"/>
        </w:rPr>
        <w:t xml:space="preserve">(estimated at NIS </w:t>
      </w:r>
      <w:r w:rsidR="001C4D07">
        <w:rPr>
          <w:rFonts w:asciiTheme="majorBidi" w:hAnsiTheme="majorBidi" w:cstheme="majorBidi"/>
        </w:rPr>
        <w:t xml:space="preserve">13.1 </w:t>
      </w:r>
      <w:r w:rsidR="009321A6">
        <w:rPr>
          <w:rFonts w:asciiTheme="majorBidi" w:hAnsiTheme="majorBidi" w:cstheme="majorBidi"/>
        </w:rPr>
        <w:t xml:space="preserve">billion) </w:t>
      </w:r>
      <w:r w:rsidR="002A2584">
        <w:rPr>
          <w:rFonts w:asciiTheme="majorBidi" w:hAnsiTheme="majorBidi" w:cstheme="majorBidi"/>
        </w:rPr>
        <w:t xml:space="preserve">and </w:t>
      </w:r>
      <w:r>
        <w:rPr>
          <w:rFonts w:asciiTheme="majorBidi" w:hAnsiTheme="majorBidi" w:cstheme="majorBidi"/>
        </w:rPr>
        <w:t>price increases.</w:t>
      </w:r>
    </w:p>
    <w:p w14:paraId="78831456" w14:textId="4734E64B" w:rsidR="001C4D07" w:rsidRPr="001C4D07" w:rsidRDefault="001C4D07" w:rsidP="004D35FB">
      <w:pPr>
        <w:pStyle w:val="ab"/>
        <w:numPr>
          <w:ilvl w:val="0"/>
          <w:numId w:val="23"/>
        </w:numPr>
        <w:bidi w:val="0"/>
        <w:spacing w:line="300" w:lineRule="exact"/>
        <w:ind w:left="426"/>
        <w:jc w:val="both"/>
        <w:rPr>
          <w:rFonts w:asciiTheme="majorBidi" w:hAnsiTheme="majorBidi" w:cstheme="majorBidi"/>
          <w:b/>
          <w:bCs/>
        </w:rPr>
      </w:pPr>
      <w:r w:rsidRPr="00A90A17">
        <w:rPr>
          <w:rFonts w:asciiTheme="majorBidi" w:hAnsiTheme="majorBidi" w:cstheme="majorBidi"/>
        </w:rPr>
        <w:t>The balance of</w:t>
      </w:r>
      <w:r>
        <w:rPr>
          <w:rFonts w:asciiTheme="majorBidi" w:hAnsiTheme="majorBidi" w:cstheme="majorBidi"/>
          <w:b/>
          <w:bCs/>
        </w:rPr>
        <w:t xml:space="preserve"> Makam </w:t>
      </w:r>
      <w:r w:rsidRPr="00A90A17">
        <w:rPr>
          <w:rFonts w:asciiTheme="majorBidi" w:hAnsiTheme="majorBidi" w:cstheme="majorBidi"/>
        </w:rPr>
        <w:t>(central bank bills)</w:t>
      </w:r>
      <w:r w:rsidR="00A90A17" w:rsidRPr="00A90A17">
        <w:rPr>
          <w:rFonts w:asciiTheme="majorBidi" w:hAnsiTheme="majorBidi" w:cstheme="majorBidi"/>
        </w:rPr>
        <w:t xml:space="preserve"> held by the public increased by about NIS 5.4 billion, to a level of </w:t>
      </w:r>
      <w:r w:rsidR="00E60C41">
        <w:rPr>
          <w:rFonts w:asciiTheme="majorBidi" w:hAnsiTheme="majorBidi" w:cstheme="majorBidi"/>
        </w:rPr>
        <w:t xml:space="preserve">NIS </w:t>
      </w:r>
      <w:r w:rsidR="00A90A17" w:rsidRPr="00A90A17">
        <w:rPr>
          <w:rFonts w:asciiTheme="majorBidi" w:hAnsiTheme="majorBidi" w:cstheme="majorBidi"/>
        </w:rPr>
        <w:t>202 billion.</w:t>
      </w:r>
    </w:p>
    <w:p w14:paraId="470D44D1" w14:textId="14FF70DC" w:rsidR="00EB6B3E" w:rsidRPr="00EB6B3E" w:rsidRDefault="00085E6A" w:rsidP="00E60C41">
      <w:pPr>
        <w:pStyle w:val="ab"/>
        <w:numPr>
          <w:ilvl w:val="0"/>
          <w:numId w:val="23"/>
        </w:numPr>
        <w:bidi w:val="0"/>
        <w:spacing w:line="300" w:lineRule="exact"/>
        <w:ind w:left="426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The balance of </w:t>
      </w:r>
      <w:r w:rsidR="00EB6B3E" w:rsidRPr="00EB6B3E">
        <w:rPr>
          <w:rFonts w:asciiTheme="majorBidi" w:hAnsiTheme="majorBidi" w:cstheme="majorBidi"/>
          <w:b/>
          <w:bCs/>
        </w:rPr>
        <w:t>tradable</w:t>
      </w:r>
      <w:r w:rsidR="00EB6B3E">
        <w:rPr>
          <w:rFonts w:asciiTheme="majorBidi" w:hAnsiTheme="majorBidi" w:cstheme="majorBidi"/>
        </w:rPr>
        <w:t xml:space="preserve"> </w:t>
      </w:r>
      <w:r w:rsidRPr="00564CE1">
        <w:rPr>
          <w:rFonts w:asciiTheme="majorBidi" w:hAnsiTheme="majorBidi" w:cstheme="majorBidi"/>
          <w:b/>
          <w:bCs/>
        </w:rPr>
        <w:t>government bonds</w:t>
      </w:r>
      <w:r w:rsidR="00343557">
        <w:rPr>
          <w:rFonts w:asciiTheme="majorBidi" w:hAnsiTheme="majorBidi" w:cstheme="majorBidi"/>
        </w:rPr>
        <w:t xml:space="preserve"> </w:t>
      </w:r>
      <w:r w:rsidR="00905D74">
        <w:rPr>
          <w:rFonts w:asciiTheme="majorBidi" w:hAnsiTheme="majorBidi" w:cstheme="majorBidi"/>
        </w:rPr>
        <w:t xml:space="preserve">held by the public </w:t>
      </w:r>
      <w:r>
        <w:rPr>
          <w:rFonts w:asciiTheme="majorBidi" w:hAnsiTheme="majorBidi" w:cstheme="majorBidi"/>
        </w:rPr>
        <w:t>increased during the quarter by about NIS</w:t>
      </w:r>
      <w:r w:rsidR="004D35FB">
        <w:rPr>
          <w:rFonts w:asciiTheme="majorBidi" w:hAnsiTheme="majorBidi" w:cstheme="majorBidi"/>
        </w:rPr>
        <w:t xml:space="preserve"> </w:t>
      </w:r>
      <w:r w:rsidR="00A90A17">
        <w:rPr>
          <w:rFonts w:asciiTheme="majorBidi" w:hAnsiTheme="majorBidi" w:cstheme="majorBidi"/>
        </w:rPr>
        <w:t xml:space="preserve">11.6 </w:t>
      </w:r>
      <w:r>
        <w:rPr>
          <w:rFonts w:asciiTheme="majorBidi" w:hAnsiTheme="majorBidi" w:cstheme="majorBidi"/>
        </w:rPr>
        <w:t xml:space="preserve">billion to about NIS </w:t>
      </w:r>
      <w:r w:rsidR="00A90A17">
        <w:rPr>
          <w:rFonts w:asciiTheme="majorBidi" w:hAnsiTheme="majorBidi" w:cstheme="majorBidi"/>
        </w:rPr>
        <w:t xml:space="preserve">502 </w:t>
      </w:r>
      <w:r w:rsidR="00EB6B3E">
        <w:rPr>
          <w:rFonts w:asciiTheme="majorBidi" w:hAnsiTheme="majorBidi" w:cstheme="majorBidi"/>
        </w:rPr>
        <w:t>billion</w:t>
      </w:r>
      <w:r>
        <w:rPr>
          <w:rFonts w:asciiTheme="majorBidi" w:hAnsiTheme="majorBidi" w:cstheme="majorBidi"/>
        </w:rPr>
        <w:t xml:space="preserve"> at the end of the quarter</w:t>
      </w:r>
      <w:r w:rsidR="00905D74">
        <w:rPr>
          <w:rFonts w:asciiTheme="majorBidi" w:hAnsiTheme="majorBidi" w:cstheme="majorBidi"/>
        </w:rPr>
        <w:t xml:space="preserve"> (Figure 4)</w:t>
      </w:r>
      <w:r>
        <w:rPr>
          <w:rFonts w:asciiTheme="majorBidi" w:hAnsiTheme="majorBidi" w:cstheme="majorBidi"/>
        </w:rPr>
        <w:t xml:space="preserve">. </w:t>
      </w:r>
      <w:r w:rsidR="00EB6B3E">
        <w:rPr>
          <w:rFonts w:asciiTheme="majorBidi" w:hAnsiTheme="majorBidi" w:cstheme="majorBidi"/>
        </w:rPr>
        <w:t xml:space="preserve">In a breakdown </w:t>
      </w:r>
      <w:r w:rsidR="00F418A2">
        <w:rPr>
          <w:rFonts w:asciiTheme="majorBidi" w:hAnsiTheme="majorBidi" w:cstheme="majorBidi"/>
        </w:rPr>
        <w:t xml:space="preserve">by </w:t>
      </w:r>
      <w:r w:rsidR="00EB6B3E">
        <w:rPr>
          <w:rFonts w:asciiTheme="majorBidi" w:hAnsiTheme="majorBidi" w:cstheme="majorBidi"/>
        </w:rPr>
        <w:t>holders of government bonds, institution</w:t>
      </w:r>
      <w:r w:rsidR="00914272">
        <w:rPr>
          <w:rFonts w:asciiTheme="majorBidi" w:hAnsiTheme="majorBidi" w:cstheme="majorBidi"/>
        </w:rPr>
        <w:t>al</w:t>
      </w:r>
      <w:r w:rsidR="00EB6B3E">
        <w:rPr>
          <w:rFonts w:asciiTheme="majorBidi" w:hAnsiTheme="majorBidi" w:cstheme="majorBidi"/>
        </w:rPr>
        <w:t xml:space="preserve"> investors are the main holders, increasing the balance of their holdings during the quarter by abo</w:t>
      </w:r>
      <w:r w:rsidR="00914272">
        <w:rPr>
          <w:rFonts w:asciiTheme="majorBidi" w:hAnsiTheme="majorBidi" w:cstheme="majorBidi"/>
        </w:rPr>
        <w:t>u</w:t>
      </w:r>
      <w:r w:rsidR="00EB6B3E">
        <w:rPr>
          <w:rFonts w:asciiTheme="majorBidi" w:hAnsiTheme="majorBidi" w:cstheme="majorBidi"/>
        </w:rPr>
        <w:t xml:space="preserve">t NIS </w:t>
      </w:r>
      <w:r w:rsidR="00A90A17">
        <w:rPr>
          <w:rFonts w:asciiTheme="majorBidi" w:hAnsiTheme="majorBidi" w:cstheme="majorBidi"/>
        </w:rPr>
        <w:t xml:space="preserve">5.8 </w:t>
      </w:r>
      <w:r w:rsidR="00EB6B3E">
        <w:rPr>
          <w:rFonts w:asciiTheme="majorBidi" w:hAnsiTheme="majorBidi" w:cstheme="majorBidi"/>
        </w:rPr>
        <w:t xml:space="preserve">billion to a level of NIS </w:t>
      </w:r>
      <w:r w:rsidR="00A90A17">
        <w:rPr>
          <w:rFonts w:asciiTheme="majorBidi" w:hAnsiTheme="majorBidi" w:cstheme="majorBidi"/>
        </w:rPr>
        <w:t xml:space="preserve">369 </w:t>
      </w:r>
      <w:r w:rsidR="00EB6B3E">
        <w:rPr>
          <w:rFonts w:asciiTheme="majorBidi" w:hAnsiTheme="majorBidi" w:cstheme="majorBidi"/>
        </w:rPr>
        <w:t>billion.</w:t>
      </w:r>
    </w:p>
    <w:p w14:paraId="53ED2D23" w14:textId="269960A5" w:rsidR="002B4397" w:rsidRDefault="00AE0420" w:rsidP="002B4397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78720" behindDoc="0" locked="0" layoutInCell="1" allowOverlap="1" wp14:anchorId="6630C4C6" wp14:editId="061768FB">
            <wp:simplePos x="0" y="0"/>
            <wp:positionH relativeFrom="margin">
              <wp:align>center</wp:align>
            </wp:positionH>
            <wp:positionV relativeFrom="paragraph">
              <wp:posOffset>183515</wp:posOffset>
            </wp:positionV>
            <wp:extent cx="3239770" cy="2030095"/>
            <wp:effectExtent l="0" t="0" r="0" b="8255"/>
            <wp:wrapSquare wrapText="bothSides"/>
            <wp:docPr id="18" name="תמונה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203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89A8B6" w14:textId="621695CF" w:rsidR="007F6D41" w:rsidRPr="00B228AF" w:rsidRDefault="007F6D41" w:rsidP="007F6D41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36A892F7" w14:textId="751528C3" w:rsidR="00A2266D" w:rsidRDefault="00A2266D" w:rsidP="00A2266D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47C9B1FB" w14:textId="53555C76" w:rsidR="00AE0420" w:rsidRDefault="00AE0420" w:rsidP="00AE0420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0CC8FB01" w14:textId="50AF60B6" w:rsidR="00AE0420" w:rsidRDefault="00AE0420" w:rsidP="00AE0420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731E0AE5" w14:textId="6CC6BCD1" w:rsidR="00AE0420" w:rsidRDefault="00AE0420" w:rsidP="00AE0420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1F469943" w14:textId="11221B29" w:rsidR="00AE0420" w:rsidRDefault="00AE0420" w:rsidP="00AE0420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6478A5A5" w14:textId="5C5AA91B" w:rsidR="00AE0420" w:rsidRDefault="00AE0420" w:rsidP="00AE0420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1D164CF9" w14:textId="5109F2A7" w:rsidR="00AE0420" w:rsidRDefault="00AE0420" w:rsidP="00AE0420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05AEE124" w14:textId="0BE3D51B" w:rsidR="00AE0420" w:rsidRDefault="00AE0420" w:rsidP="00AE0420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2C2B1E99" w14:textId="1C7D87D2" w:rsidR="00AE0420" w:rsidRDefault="00AE0420" w:rsidP="00AE0420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1CFD1677" w14:textId="77777777" w:rsidR="00AE0420" w:rsidRPr="00B228AF" w:rsidRDefault="00AE0420" w:rsidP="00AE0420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1B9A08BA" w14:textId="557B0F91" w:rsidR="004B0B9B" w:rsidRPr="00B228AF" w:rsidRDefault="00466D57" w:rsidP="00E6256E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  <w:r w:rsidRPr="006A0F06">
        <w:rPr>
          <w:rFonts w:asciiTheme="majorBidi" w:hAnsiTheme="majorBidi" w:cstheme="majorBidi"/>
        </w:rPr>
        <w:t xml:space="preserve">The balance of investments abroad </w:t>
      </w:r>
      <w:r w:rsidR="007E616C">
        <w:rPr>
          <w:rFonts w:asciiTheme="majorBidi" w:hAnsiTheme="majorBidi" w:cstheme="majorBidi"/>
        </w:rPr>
        <w:t>in</w:t>
      </w:r>
      <w:r w:rsidR="002B0BD0" w:rsidRPr="006A0F06">
        <w:rPr>
          <w:rFonts w:asciiTheme="majorBidi" w:hAnsiTheme="majorBidi" w:cstheme="majorBidi"/>
        </w:rPr>
        <w:t xml:space="preserve">creased </w:t>
      </w:r>
      <w:r w:rsidR="004E4419">
        <w:rPr>
          <w:rFonts w:asciiTheme="majorBidi" w:hAnsiTheme="majorBidi" w:cstheme="majorBidi"/>
        </w:rPr>
        <w:t xml:space="preserve">by </w:t>
      </w:r>
      <w:r w:rsidR="00E93313" w:rsidRPr="006A0F06">
        <w:rPr>
          <w:rFonts w:asciiTheme="majorBidi" w:hAnsiTheme="majorBidi" w:cstheme="majorBidi"/>
        </w:rPr>
        <w:t xml:space="preserve">approximately </w:t>
      </w:r>
      <w:r w:rsidR="00517F66" w:rsidRPr="006A0F06">
        <w:rPr>
          <w:rFonts w:asciiTheme="majorBidi" w:hAnsiTheme="majorBidi" w:cstheme="majorBidi"/>
        </w:rPr>
        <w:t xml:space="preserve">NIS </w:t>
      </w:r>
      <w:r w:rsidR="00E6256E">
        <w:rPr>
          <w:rFonts w:asciiTheme="majorBidi" w:hAnsiTheme="majorBidi" w:cstheme="majorBidi"/>
        </w:rPr>
        <w:t xml:space="preserve">14.2 </w:t>
      </w:r>
      <w:r w:rsidR="008851C5" w:rsidRPr="006A0F06">
        <w:rPr>
          <w:rFonts w:asciiTheme="majorBidi" w:hAnsiTheme="majorBidi" w:cstheme="majorBidi"/>
        </w:rPr>
        <w:t>b</w:t>
      </w:r>
      <w:r w:rsidR="00517F66" w:rsidRPr="006A0F06">
        <w:rPr>
          <w:rFonts w:asciiTheme="majorBidi" w:hAnsiTheme="majorBidi" w:cstheme="majorBidi"/>
        </w:rPr>
        <w:t xml:space="preserve">illion </w:t>
      </w:r>
      <w:r w:rsidR="00756981" w:rsidRPr="006A0F06">
        <w:rPr>
          <w:rFonts w:asciiTheme="majorBidi" w:hAnsiTheme="majorBidi" w:cstheme="majorBidi"/>
        </w:rPr>
        <w:t>during</w:t>
      </w:r>
      <w:r w:rsidR="00211075" w:rsidRPr="006A0F06">
        <w:rPr>
          <w:rFonts w:asciiTheme="majorBidi" w:hAnsiTheme="majorBidi" w:cstheme="majorBidi"/>
        </w:rPr>
        <w:t xml:space="preserve"> the quarter</w:t>
      </w:r>
      <w:r w:rsidR="00756981" w:rsidRPr="006A0F06">
        <w:rPr>
          <w:rFonts w:asciiTheme="majorBidi" w:hAnsiTheme="majorBidi" w:cstheme="majorBidi"/>
        </w:rPr>
        <w:t>,</w:t>
      </w:r>
      <w:r w:rsidR="00211075" w:rsidRPr="006A0F06">
        <w:rPr>
          <w:rFonts w:asciiTheme="majorBidi" w:hAnsiTheme="majorBidi" w:cstheme="majorBidi"/>
        </w:rPr>
        <w:t xml:space="preserve"> </w:t>
      </w:r>
      <w:r w:rsidR="00A2193F" w:rsidRPr="006A0F06">
        <w:rPr>
          <w:rFonts w:asciiTheme="majorBidi" w:hAnsiTheme="majorBidi" w:cstheme="majorBidi"/>
        </w:rPr>
        <w:t>to</w:t>
      </w:r>
      <w:r w:rsidR="001C2C91" w:rsidRPr="006A0F06">
        <w:rPr>
          <w:rFonts w:asciiTheme="majorBidi" w:hAnsiTheme="majorBidi" w:cstheme="majorBidi"/>
        </w:rPr>
        <w:t xml:space="preserve"> </w:t>
      </w:r>
      <w:r w:rsidR="007E616C">
        <w:rPr>
          <w:rFonts w:asciiTheme="majorBidi" w:hAnsiTheme="majorBidi" w:cstheme="majorBidi"/>
        </w:rPr>
        <w:t xml:space="preserve">about </w:t>
      </w:r>
      <w:r w:rsidRPr="006A0F06">
        <w:rPr>
          <w:rFonts w:asciiTheme="majorBidi" w:hAnsiTheme="majorBidi" w:cstheme="majorBidi"/>
        </w:rPr>
        <w:t>NIS</w:t>
      </w:r>
      <w:r w:rsidR="001C2C91" w:rsidRPr="006A0F06">
        <w:rPr>
          <w:rFonts w:asciiTheme="majorBidi" w:hAnsiTheme="majorBidi" w:cstheme="majorBidi"/>
        </w:rPr>
        <w:t xml:space="preserve"> </w:t>
      </w:r>
      <w:r w:rsidR="00304614" w:rsidRPr="006A0F06">
        <w:rPr>
          <w:rFonts w:asciiTheme="majorBidi" w:hAnsiTheme="majorBidi" w:cstheme="majorBidi"/>
        </w:rPr>
        <w:t>1.</w:t>
      </w:r>
      <w:r w:rsidR="007E616C">
        <w:rPr>
          <w:rFonts w:asciiTheme="majorBidi" w:hAnsiTheme="majorBidi" w:cstheme="majorBidi"/>
        </w:rPr>
        <w:t>3</w:t>
      </w:r>
      <w:r w:rsidR="00E6256E">
        <w:rPr>
          <w:rFonts w:asciiTheme="majorBidi" w:hAnsiTheme="majorBidi" w:cstheme="majorBidi"/>
        </w:rPr>
        <w:t>3</w:t>
      </w:r>
      <w:r w:rsidR="00304614" w:rsidRPr="006A0F06">
        <w:rPr>
          <w:rFonts w:asciiTheme="majorBidi" w:hAnsiTheme="majorBidi" w:cstheme="majorBidi"/>
        </w:rPr>
        <w:t xml:space="preserve"> trillion</w:t>
      </w:r>
      <w:r w:rsidR="00560E9A" w:rsidRPr="006A0F06">
        <w:rPr>
          <w:rFonts w:asciiTheme="majorBidi" w:hAnsiTheme="majorBidi" w:cstheme="majorBidi"/>
        </w:rPr>
        <w:t xml:space="preserve"> at</w:t>
      </w:r>
      <w:r w:rsidR="00085E6A" w:rsidRPr="006A0F06">
        <w:rPr>
          <w:rFonts w:asciiTheme="majorBidi" w:hAnsiTheme="majorBidi" w:cstheme="majorBidi"/>
        </w:rPr>
        <w:t xml:space="preserve"> the end of the</w:t>
      </w:r>
      <w:r w:rsidR="00560E9A" w:rsidRPr="006A0F06">
        <w:rPr>
          <w:rFonts w:asciiTheme="majorBidi" w:hAnsiTheme="majorBidi" w:cstheme="majorBidi"/>
        </w:rPr>
        <w:t xml:space="preserve"> quarter</w:t>
      </w:r>
      <w:r w:rsidR="00211075" w:rsidRPr="006A0F06">
        <w:rPr>
          <w:rFonts w:asciiTheme="majorBidi" w:hAnsiTheme="majorBidi" w:cstheme="majorBidi"/>
        </w:rPr>
        <w:t xml:space="preserve">, </w:t>
      </w:r>
      <w:r w:rsidR="007E616C">
        <w:rPr>
          <w:rFonts w:asciiTheme="majorBidi" w:hAnsiTheme="majorBidi" w:cstheme="majorBidi"/>
        </w:rPr>
        <w:t xml:space="preserve">accounting for </w:t>
      </w:r>
      <w:r w:rsidR="00E27A87" w:rsidRPr="006A0F06">
        <w:rPr>
          <w:rFonts w:asciiTheme="majorBidi" w:hAnsiTheme="majorBidi" w:cstheme="majorBidi"/>
        </w:rPr>
        <w:t xml:space="preserve">approximately </w:t>
      </w:r>
      <w:r w:rsidR="004E4419">
        <w:rPr>
          <w:rFonts w:asciiTheme="majorBidi" w:hAnsiTheme="majorBidi" w:cstheme="majorBidi"/>
        </w:rPr>
        <w:t xml:space="preserve">19 </w:t>
      </w:r>
      <w:r w:rsidR="00343B20" w:rsidRPr="006A0F06">
        <w:rPr>
          <w:rFonts w:asciiTheme="majorBidi" w:hAnsiTheme="majorBidi" w:cstheme="majorBidi"/>
        </w:rPr>
        <w:t>p</w:t>
      </w:r>
      <w:r w:rsidRPr="006A0F06">
        <w:rPr>
          <w:rFonts w:asciiTheme="majorBidi" w:hAnsiTheme="majorBidi" w:cstheme="majorBidi"/>
        </w:rPr>
        <w:t>ercent of the total asset portfolio</w:t>
      </w:r>
      <w:r w:rsidR="00343B20" w:rsidRPr="006A0F06">
        <w:rPr>
          <w:rFonts w:asciiTheme="majorBidi" w:hAnsiTheme="majorBidi" w:cstheme="majorBidi"/>
        </w:rPr>
        <w:t>.</w:t>
      </w:r>
      <w:r w:rsidR="002B0BD0" w:rsidRPr="006A0F06">
        <w:rPr>
          <w:rFonts w:asciiTheme="majorBidi" w:hAnsiTheme="majorBidi" w:cstheme="majorBidi"/>
        </w:rPr>
        <w:t xml:space="preserve"> The </w:t>
      </w:r>
      <w:r w:rsidR="00560E9A" w:rsidRPr="006A0F06">
        <w:rPr>
          <w:rFonts w:asciiTheme="majorBidi" w:hAnsiTheme="majorBidi" w:cstheme="majorBidi"/>
        </w:rPr>
        <w:t xml:space="preserve">development in the balance of investments abroad </w:t>
      </w:r>
      <w:r w:rsidR="00085E6A" w:rsidRPr="006A0F06">
        <w:rPr>
          <w:rFonts w:asciiTheme="majorBidi" w:hAnsiTheme="majorBidi" w:cstheme="majorBidi"/>
        </w:rPr>
        <w:t xml:space="preserve">was mainly due to </w:t>
      </w:r>
      <w:r w:rsidR="002B0BD0" w:rsidRPr="006A0F06">
        <w:rPr>
          <w:rFonts w:asciiTheme="majorBidi" w:hAnsiTheme="majorBidi" w:cstheme="majorBidi"/>
        </w:rPr>
        <w:t>the following components:</w:t>
      </w:r>
    </w:p>
    <w:p w14:paraId="7F4D805D" w14:textId="77777777" w:rsidR="00466D57" w:rsidRPr="00B228AF" w:rsidRDefault="00466D57" w:rsidP="007E422E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7FDA9E12" w14:textId="208E812E" w:rsidR="007E616C" w:rsidRDefault="007E616C" w:rsidP="00E6256E">
      <w:pPr>
        <w:pStyle w:val="ab"/>
        <w:numPr>
          <w:ilvl w:val="0"/>
          <w:numId w:val="24"/>
        </w:numPr>
        <w:bidi w:val="0"/>
        <w:spacing w:line="300" w:lineRule="exact"/>
        <w:jc w:val="both"/>
        <w:rPr>
          <w:rFonts w:asciiTheme="majorBidi" w:hAnsiTheme="majorBidi" w:cstheme="majorBidi"/>
        </w:rPr>
      </w:pPr>
      <w:r w:rsidRPr="00D37A86">
        <w:rPr>
          <w:rFonts w:asciiTheme="majorBidi" w:hAnsiTheme="majorBidi" w:cstheme="majorBidi"/>
        </w:rPr>
        <w:t xml:space="preserve">The balance of </w:t>
      </w:r>
      <w:r w:rsidRPr="00D37A86">
        <w:rPr>
          <w:rFonts w:asciiTheme="majorBidi" w:hAnsiTheme="majorBidi" w:cstheme="majorBidi"/>
          <w:b/>
          <w:bCs/>
        </w:rPr>
        <w:t>equities held abroad</w:t>
      </w:r>
      <w:r>
        <w:rPr>
          <w:rFonts w:asciiTheme="majorBidi" w:hAnsiTheme="majorBidi" w:cstheme="majorBidi"/>
        </w:rPr>
        <w:t xml:space="preserve"> in</w:t>
      </w:r>
      <w:r w:rsidRPr="00D37A86">
        <w:rPr>
          <w:rFonts w:asciiTheme="majorBidi" w:hAnsiTheme="majorBidi" w:cstheme="majorBidi"/>
        </w:rPr>
        <w:t xml:space="preserve">creased by approximately NIS </w:t>
      </w:r>
      <w:r w:rsidR="00E6256E">
        <w:rPr>
          <w:rFonts w:asciiTheme="majorBidi" w:hAnsiTheme="majorBidi" w:cstheme="majorBidi"/>
        </w:rPr>
        <w:t xml:space="preserve">20.4 </w:t>
      </w:r>
      <w:r w:rsidRPr="00D37A86">
        <w:rPr>
          <w:rFonts w:asciiTheme="majorBidi" w:hAnsiTheme="majorBidi" w:cstheme="majorBidi"/>
        </w:rPr>
        <w:t>billion (</w:t>
      </w:r>
      <w:r w:rsidR="00E6256E">
        <w:rPr>
          <w:rFonts w:asciiTheme="majorBidi" w:hAnsiTheme="majorBidi" w:cstheme="majorBidi"/>
        </w:rPr>
        <w:t xml:space="preserve">2.6 </w:t>
      </w:r>
      <w:r w:rsidRPr="00D37A86">
        <w:rPr>
          <w:rFonts w:asciiTheme="majorBidi" w:hAnsiTheme="majorBidi" w:cstheme="majorBidi"/>
        </w:rPr>
        <w:t>percent),</w:t>
      </w:r>
      <w:r>
        <w:rPr>
          <w:rFonts w:asciiTheme="majorBidi" w:hAnsiTheme="majorBidi" w:cstheme="majorBidi"/>
        </w:rPr>
        <w:t xml:space="preserve"> to about </w:t>
      </w:r>
      <w:r w:rsidRPr="00D37A86">
        <w:rPr>
          <w:rFonts w:asciiTheme="majorBidi" w:hAnsiTheme="majorBidi" w:cstheme="majorBidi"/>
        </w:rPr>
        <w:t xml:space="preserve">NIS </w:t>
      </w:r>
      <w:r w:rsidR="00E6256E">
        <w:rPr>
          <w:rFonts w:asciiTheme="majorBidi" w:hAnsiTheme="majorBidi" w:cstheme="majorBidi"/>
        </w:rPr>
        <w:t xml:space="preserve">801 </w:t>
      </w:r>
      <w:r w:rsidR="00E6256E" w:rsidRPr="00D37A86">
        <w:rPr>
          <w:rFonts w:asciiTheme="majorBidi" w:hAnsiTheme="majorBidi" w:cstheme="majorBidi"/>
        </w:rPr>
        <w:t>billion</w:t>
      </w:r>
      <w:r w:rsidR="00E6256E">
        <w:rPr>
          <w:rFonts w:asciiTheme="majorBidi" w:hAnsiTheme="majorBidi" w:cstheme="majorBidi"/>
        </w:rPr>
        <w:t xml:space="preserve"> at the end of the quarter, mostly against the background of net investments.</w:t>
      </w:r>
    </w:p>
    <w:p w14:paraId="43CDA685" w14:textId="49DDD22D" w:rsidR="007E616C" w:rsidRPr="00E6256E" w:rsidRDefault="004E4419" w:rsidP="00E60C41">
      <w:pPr>
        <w:pStyle w:val="ab"/>
        <w:numPr>
          <w:ilvl w:val="0"/>
          <w:numId w:val="24"/>
        </w:numPr>
        <w:bidi w:val="0"/>
        <w:spacing w:line="300" w:lineRule="exact"/>
        <w:jc w:val="both"/>
        <w:rPr>
          <w:rFonts w:asciiTheme="majorBidi" w:hAnsiTheme="majorBidi" w:cstheme="majorBidi"/>
        </w:rPr>
      </w:pPr>
      <w:r w:rsidRPr="00E6256E">
        <w:rPr>
          <w:rFonts w:asciiTheme="majorBidi" w:hAnsiTheme="majorBidi" w:cstheme="majorBidi"/>
        </w:rPr>
        <w:t xml:space="preserve">The balance of </w:t>
      </w:r>
      <w:r w:rsidRPr="00E6256E">
        <w:rPr>
          <w:rFonts w:asciiTheme="majorBidi" w:hAnsiTheme="majorBidi" w:cstheme="majorBidi"/>
          <w:b/>
          <w:bCs/>
        </w:rPr>
        <w:t>tradable (corporate and government) bonds abroad</w:t>
      </w:r>
      <w:r w:rsidRPr="00E6256E">
        <w:rPr>
          <w:rFonts w:asciiTheme="majorBidi" w:hAnsiTheme="majorBidi" w:cstheme="majorBidi"/>
        </w:rPr>
        <w:t xml:space="preserve"> </w:t>
      </w:r>
      <w:r w:rsidR="00E6256E" w:rsidRPr="00E6256E">
        <w:rPr>
          <w:rFonts w:asciiTheme="majorBidi" w:hAnsiTheme="majorBidi" w:cstheme="majorBidi"/>
        </w:rPr>
        <w:t xml:space="preserve">declined </w:t>
      </w:r>
      <w:r w:rsidRPr="00E6256E">
        <w:rPr>
          <w:rFonts w:asciiTheme="majorBidi" w:hAnsiTheme="majorBidi" w:cstheme="majorBidi"/>
        </w:rPr>
        <w:t xml:space="preserve">by approximately NIS </w:t>
      </w:r>
      <w:r w:rsidR="00E6256E" w:rsidRPr="00E6256E">
        <w:rPr>
          <w:rFonts w:asciiTheme="majorBidi" w:hAnsiTheme="majorBidi" w:cstheme="majorBidi"/>
        </w:rPr>
        <w:t xml:space="preserve">4 </w:t>
      </w:r>
      <w:r w:rsidRPr="00E6256E">
        <w:rPr>
          <w:rFonts w:asciiTheme="majorBidi" w:hAnsiTheme="majorBidi" w:cstheme="majorBidi"/>
        </w:rPr>
        <w:t>billion (</w:t>
      </w:r>
      <w:r w:rsidR="00E6256E" w:rsidRPr="00E6256E">
        <w:rPr>
          <w:rFonts w:asciiTheme="majorBidi" w:hAnsiTheme="majorBidi" w:cstheme="majorBidi"/>
        </w:rPr>
        <w:t xml:space="preserve">1.4 </w:t>
      </w:r>
      <w:r w:rsidRPr="00E6256E">
        <w:rPr>
          <w:rFonts w:asciiTheme="majorBidi" w:hAnsiTheme="majorBidi" w:cstheme="majorBidi"/>
        </w:rPr>
        <w:t>percent) during the quarter, to about NIS 2</w:t>
      </w:r>
      <w:r w:rsidR="007E616C" w:rsidRPr="00E6256E">
        <w:rPr>
          <w:rFonts w:asciiTheme="majorBidi" w:hAnsiTheme="majorBidi" w:cstheme="majorBidi"/>
        </w:rPr>
        <w:t>7</w:t>
      </w:r>
      <w:r w:rsidR="00E6256E" w:rsidRPr="00E6256E">
        <w:rPr>
          <w:rFonts w:asciiTheme="majorBidi" w:hAnsiTheme="majorBidi" w:cstheme="majorBidi"/>
        </w:rPr>
        <w:t>4</w:t>
      </w:r>
      <w:r w:rsidRPr="00E6256E">
        <w:rPr>
          <w:rFonts w:asciiTheme="majorBidi" w:hAnsiTheme="majorBidi" w:cstheme="majorBidi"/>
        </w:rPr>
        <w:t xml:space="preserve"> billion</w:t>
      </w:r>
      <w:r w:rsidR="00E6256E" w:rsidRPr="00E6256E">
        <w:rPr>
          <w:rFonts w:asciiTheme="majorBidi" w:hAnsiTheme="majorBidi" w:cstheme="majorBidi"/>
        </w:rPr>
        <w:t xml:space="preserve"> at quarter end</w:t>
      </w:r>
      <w:r w:rsidRPr="00E6256E">
        <w:rPr>
          <w:rFonts w:asciiTheme="majorBidi" w:hAnsiTheme="majorBidi" w:cstheme="majorBidi"/>
        </w:rPr>
        <w:t xml:space="preserve">. This was mainly </w:t>
      </w:r>
      <w:r w:rsidR="00E60C41">
        <w:rPr>
          <w:rFonts w:asciiTheme="majorBidi" w:hAnsiTheme="majorBidi" w:cstheme="majorBidi"/>
        </w:rPr>
        <w:t xml:space="preserve">in view of </w:t>
      </w:r>
      <w:r w:rsidR="00E6256E" w:rsidRPr="00E6256E">
        <w:rPr>
          <w:rFonts w:asciiTheme="majorBidi" w:hAnsiTheme="majorBidi" w:cstheme="majorBidi"/>
        </w:rPr>
        <w:t xml:space="preserve">the appreciation of the shekel </w:t>
      </w:r>
      <w:r w:rsidR="00E6256E">
        <w:rPr>
          <w:rFonts w:asciiTheme="majorBidi" w:hAnsiTheme="majorBidi" w:cstheme="majorBidi"/>
        </w:rPr>
        <w:t xml:space="preserve">vis-à-vis </w:t>
      </w:r>
      <w:r w:rsidR="00E6256E" w:rsidRPr="00E6256E">
        <w:rPr>
          <w:rFonts w:asciiTheme="majorBidi" w:hAnsiTheme="majorBidi" w:cstheme="majorBidi"/>
        </w:rPr>
        <w:t xml:space="preserve">the </w:t>
      </w:r>
      <w:r w:rsidR="00E6256E">
        <w:rPr>
          <w:rFonts w:asciiTheme="majorBidi" w:hAnsiTheme="majorBidi" w:cstheme="majorBidi"/>
        </w:rPr>
        <w:t>dollar</w:t>
      </w:r>
      <w:r w:rsidR="00E321CB">
        <w:rPr>
          <w:rFonts w:asciiTheme="majorBidi" w:hAnsiTheme="majorBidi" w:cstheme="majorBidi"/>
        </w:rPr>
        <w:t>.</w:t>
      </w:r>
    </w:p>
    <w:p w14:paraId="61F2D83A" w14:textId="77777777" w:rsidR="00E321CB" w:rsidRDefault="00E321CB" w:rsidP="00E60C41">
      <w:pPr>
        <w:bidi w:val="0"/>
        <w:spacing w:line="300" w:lineRule="exact"/>
        <w:ind w:left="66"/>
        <w:jc w:val="both"/>
        <w:rPr>
          <w:rFonts w:asciiTheme="majorBidi" w:hAnsiTheme="majorBidi" w:cstheme="majorBidi"/>
        </w:rPr>
      </w:pPr>
    </w:p>
    <w:p w14:paraId="64448DAC" w14:textId="3B829322" w:rsidR="00AC12BA" w:rsidRPr="00B228AF" w:rsidRDefault="00A36FE7" w:rsidP="00E321CB">
      <w:pPr>
        <w:bidi w:val="0"/>
        <w:spacing w:line="300" w:lineRule="exact"/>
        <w:ind w:left="66"/>
        <w:jc w:val="both"/>
        <w:rPr>
          <w:rFonts w:asciiTheme="majorBidi" w:hAnsiTheme="majorBidi" w:cstheme="majorBidi"/>
        </w:rPr>
      </w:pPr>
      <w:r w:rsidRPr="002D746E">
        <w:rPr>
          <w:rFonts w:asciiTheme="majorBidi" w:hAnsiTheme="majorBidi" w:cstheme="majorBidi"/>
        </w:rPr>
        <w:t xml:space="preserve">As a result of </w:t>
      </w:r>
      <w:r w:rsidR="00304614" w:rsidRPr="002D746E">
        <w:rPr>
          <w:rFonts w:asciiTheme="majorBidi" w:hAnsiTheme="majorBidi" w:cstheme="majorBidi"/>
        </w:rPr>
        <w:t xml:space="preserve">the </w:t>
      </w:r>
      <w:r w:rsidRPr="002D746E">
        <w:rPr>
          <w:rFonts w:asciiTheme="majorBidi" w:hAnsiTheme="majorBidi" w:cstheme="majorBidi"/>
        </w:rPr>
        <w:t xml:space="preserve">developments during the </w:t>
      </w:r>
      <w:r w:rsidR="00C16DFE" w:rsidRPr="002D746E">
        <w:rPr>
          <w:rFonts w:asciiTheme="majorBidi" w:hAnsiTheme="majorBidi" w:cstheme="majorBidi"/>
        </w:rPr>
        <w:t>quarter</w:t>
      </w:r>
      <w:r w:rsidRPr="002D746E">
        <w:rPr>
          <w:rFonts w:asciiTheme="majorBidi" w:hAnsiTheme="majorBidi" w:cstheme="majorBidi"/>
        </w:rPr>
        <w:t xml:space="preserve">, there </w:t>
      </w:r>
      <w:r w:rsidR="00304614" w:rsidRPr="002D746E">
        <w:rPr>
          <w:rFonts w:asciiTheme="majorBidi" w:hAnsiTheme="majorBidi" w:cstheme="majorBidi"/>
        </w:rPr>
        <w:t xml:space="preserve">was </w:t>
      </w:r>
      <w:r w:rsidR="00696D75">
        <w:rPr>
          <w:rFonts w:asciiTheme="majorBidi" w:hAnsiTheme="majorBidi" w:cstheme="majorBidi"/>
        </w:rPr>
        <w:t>a</w:t>
      </w:r>
      <w:r w:rsidR="00E60C41">
        <w:rPr>
          <w:rFonts w:asciiTheme="majorBidi" w:hAnsiTheme="majorBidi" w:cstheme="majorBidi"/>
        </w:rPr>
        <w:t xml:space="preserve"> de</w:t>
      </w:r>
      <w:r w:rsidR="007E616C">
        <w:rPr>
          <w:rFonts w:asciiTheme="majorBidi" w:hAnsiTheme="majorBidi" w:cstheme="majorBidi"/>
        </w:rPr>
        <w:t>crease</w:t>
      </w:r>
      <w:r w:rsidR="00B11F0F">
        <w:rPr>
          <w:rFonts w:asciiTheme="majorBidi" w:hAnsiTheme="majorBidi" w:cstheme="majorBidi"/>
        </w:rPr>
        <w:t xml:space="preserve"> </w:t>
      </w:r>
      <w:r w:rsidR="007C57F6">
        <w:rPr>
          <w:rFonts w:asciiTheme="majorBidi" w:hAnsiTheme="majorBidi" w:cstheme="majorBidi"/>
        </w:rPr>
        <w:t xml:space="preserve">in the share of foreign </w:t>
      </w:r>
      <w:r w:rsidR="001345F3">
        <w:rPr>
          <w:rFonts w:asciiTheme="majorBidi" w:hAnsiTheme="majorBidi" w:cstheme="majorBidi"/>
        </w:rPr>
        <w:t xml:space="preserve">currency </w:t>
      </w:r>
      <w:r w:rsidR="007C57F6">
        <w:rPr>
          <w:rFonts w:asciiTheme="majorBidi" w:hAnsiTheme="majorBidi" w:cstheme="majorBidi"/>
        </w:rPr>
        <w:t xml:space="preserve">assets of </w:t>
      </w:r>
      <w:r w:rsidR="00CB3E59">
        <w:rPr>
          <w:rFonts w:asciiTheme="majorBidi" w:hAnsiTheme="majorBidi" w:cstheme="majorBidi"/>
        </w:rPr>
        <w:t>about 0.</w:t>
      </w:r>
      <w:r w:rsidR="00E6256E">
        <w:rPr>
          <w:rFonts w:asciiTheme="majorBidi" w:hAnsiTheme="majorBidi" w:cstheme="majorBidi"/>
        </w:rPr>
        <w:t>73</w:t>
      </w:r>
      <w:r w:rsidR="007C57F6">
        <w:rPr>
          <w:rFonts w:asciiTheme="majorBidi" w:hAnsiTheme="majorBidi" w:cstheme="majorBidi"/>
        </w:rPr>
        <w:t xml:space="preserve"> percentage points (from </w:t>
      </w:r>
      <w:r w:rsidR="00E6256E">
        <w:rPr>
          <w:rFonts w:asciiTheme="majorBidi" w:hAnsiTheme="majorBidi" w:cstheme="majorBidi"/>
        </w:rPr>
        <w:t xml:space="preserve">24.9 </w:t>
      </w:r>
      <w:r w:rsidR="007C57F6">
        <w:rPr>
          <w:rFonts w:asciiTheme="majorBidi" w:hAnsiTheme="majorBidi" w:cstheme="majorBidi"/>
        </w:rPr>
        <w:t xml:space="preserve">percent to </w:t>
      </w:r>
      <w:r w:rsidR="00E6256E">
        <w:rPr>
          <w:rFonts w:asciiTheme="majorBidi" w:hAnsiTheme="majorBidi" w:cstheme="majorBidi"/>
        </w:rPr>
        <w:t>24.2 p</w:t>
      </w:r>
      <w:r w:rsidR="007C57F6">
        <w:rPr>
          <w:rFonts w:asciiTheme="majorBidi" w:hAnsiTheme="majorBidi" w:cstheme="majorBidi"/>
        </w:rPr>
        <w:t xml:space="preserve">ercent) and </w:t>
      </w:r>
      <w:r w:rsidR="00CB3E59">
        <w:rPr>
          <w:rFonts w:asciiTheme="majorBidi" w:hAnsiTheme="majorBidi" w:cstheme="majorBidi"/>
        </w:rPr>
        <w:t xml:space="preserve">a decline </w:t>
      </w:r>
      <w:r w:rsidR="007C57F6">
        <w:rPr>
          <w:rFonts w:asciiTheme="majorBidi" w:hAnsiTheme="majorBidi" w:cstheme="majorBidi"/>
        </w:rPr>
        <w:t xml:space="preserve">of </w:t>
      </w:r>
      <w:r w:rsidR="00365CCC">
        <w:rPr>
          <w:rFonts w:asciiTheme="majorBidi" w:hAnsiTheme="majorBidi" w:cstheme="majorBidi"/>
        </w:rPr>
        <w:t xml:space="preserve">around </w:t>
      </w:r>
      <w:r w:rsidR="00CB3E59">
        <w:rPr>
          <w:rFonts w:asciiTheme="majorBidi" w:hAnsiTheme="majorBidi" w:cstheme="majorBidi"/>
        </w:rPr>
        <w:t>0.</w:t>
      </w:r>
      <w:r w:rsidR="001345F3">
        <w:rPr>
          <w:rFonts w:asciiTheme="majorBidi" w:hAnsiTheme="majorBidi" w:cstheme="majorBidi"/>
        </w:rPr>
        <w:t xml:space="preserve">56 </w:t>
      </w:r>
      <w:r w:rsidR="007C57F6">
        <w:rPr>
          <w:rFonts w:asciiTheme="majorBidi" w:hAnsiTheme="majorBidi" w:cstheme="majorBidi"/>
        </w:rPr>
        <w:t>p</w:t>
      </w:r>
      <w:r w:rsidR="00365CCC">
        <w:rPr>
          <w:rFonts w:asciiTheme="majorBidi" w:hAnsiTheme="majorBidi" w:cstheme="majorBidi"/>
        </w:rPr>
        <w:t xml:space="preserve">ercentage points (from </w:t>
      </w:r>
      <w:r w:rsidR="001345F3">
        <w:rPr>
          <w:rFonts w:asciiTheme="majorBidi" w:hAnsiTheme="majorBidi" w:cstheme="majorBidi"/>
        </w:rPr>
        <w:t xml:space="preserve">19.1 </w:t>
      </w:r>
      <w:r w:rsidR="00365CCC">
        <w:rPr>
          <w:rFonts w:asciiTheme="majorBidi" w:hAnsiTheme="majorBidi" w:cstheme="majorBidi"/>
        </w:rPr>
        <w:t xml:space="preserve">percent to </w:t>
      </w:r>
      <w:r w:rsidR="001345F3">
        <w:rPr>
          <w:rFonts w:asciiTheme="majorBidi" w:hAnsiTheme="majorBidi" w:cstheme="majorBidi"/>
        </w:rPr>
        <w:t xml:space="preserve">18.5 </w:t>
      </w:r>
      <w:r w:rsidR="00365CCC">
        <w:rPr>
          <w:rFonts w:asciiTheme="majorBidi" w:hAnsiTheme="majorBidi" w:cstheme="majorBidi"/>
        </w:rPr>
        <w:t xml:space="preserve">percent) </w:t>
      </w:r>
      <w:r w:rsidR="007C57F6">
        <w:rPr>
          <w:rFonts w:asciiTheme="majorBidi" w:hAnsiTheme="majorBidi" w:cstheme="majorBidi"/>
        </w:rPr>
        <w:t>in foreign assets</w:t>
      </w:r>
      <w:r w:rsidR="00365CCC">
        <w:rPr>
          <w:rFonts w:asciiTheme="majorBidi" w:hAnsiTheme="majorBidi" w:cstheme="majorBidi"/>
        </w:rPr>
        <w:t>.</w:t>
      </w:r>
    </w:p>
    <w:p w14:paraId="34FBEEC1" w14:textId="77777777" w:rsidR="00AC12BA" w:rsidRPr="00B228AF" w:rsidRDefault="00AC12BA" w:rsidP="007E422E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400331D6" w14:textId="5852F875" w:rsidR="00111C23" w:rsidRPr="00B228AF" w:rsidRDefault="00111C23" w:rsidP="007E422E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254510B0" w14:textId="77777777" w:rsidR="00612D3F" w:rsidRDefault="00612D3F">
      <w:pPr>
        <w:bidi w:val="0"/>
        <w:rPr>
          <w:rFonts w:asciiTheme="majorBidi" w:hAnsiTheme="majorBidi" w:cstheme="majorBidi"/>
          <w:b/>
          <w:bCs/>
          <w:lang w:eastAsia="zh-CN" w:bidi="ar-SA"/>
        </w:rPr>
      </w:pPr>
      <w:r>
        <w:rPr>
          <w:rFonts w:asciiTheme="majorBidi" w:hAnsiTheme="majorBidi" w:cstheme="majorBidi"/>
        </w:rPr>
        <w:br w:type="page"/>
      </w:r>
    </w:p>
    <w:p w14:paraId="7541D2BB" w14:textId="05B87EE9" w:rsidR="0053542D" w:rsidRPr="00B228AF" w:rsidRDefault="004F34CD" w:rsidP="0053542D">
      <w:pPr>
        <w:pStyle w:val="1"/>
        <w:jc w:val="left"/>
        <w:rPr>
          <w:rFonts w:asciiTheme="majorBidi" w:hAnsiTheme="majorBidi" w:cstheme="majorBidi"/>
        </w:rPr>
      </w:pPr>
      <w:r w:rsidRPr="00B228AF">
        <w:rPr>
          <w:rFonts w:asciiTheme="majorBidi" w:hAnsiTheme="majorBidi" w:cstheme="majorBidi"/>
        </w:rPr>
        <w:lastRenderedPageBreak/>
        <w:t>3. The portfolio managed by institutional investors</w:t>
      </w:r>
      <w:r w:rsidR="00DF0119" w:rsidRPr="00B228AF">
        <w:rPr>
          <w:rStyle w:val="a8"/>
          <w:rFonts w:asciiTheme="majorBidi" w:hAnsiTheme="majorBidi" w:cstheme="majorBidi"/>
        </w:rPr>
        <w:footnoteReference w:id="1"/>
      </w:r>
    </w:p>
    <w:p w14:paraId="7FA042F6" w14:textId="59ABEC16" w:rsidR="00612D3F" w:rsidRDefault="00AE0420" w:rsidP="00612D3F">
      <w:pPr>
        <w:bidi w:val="0"/>
        <w:spacing w:line="300" w:lineRule="exac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79744" behindDoc="0" locked="0" layoutInCell="1" allowOverlap="1" wp14:anchorId="4BC369ED" wp14:editId="3377906B">
            <wp:simplePos x="0" y="0"/>
            <wp:positionH relativeFrom="margin">
              <wp:align>center</wp:align>
            </wp:positionH>
            <wp:positionV relativeFrom="paragraph">
              <wp:posOffset>156679</wp:posOffset>
            </wp:positionV>
            <wp:extent cx="5400000" cy="2341577"/>
            <wp:effectExtent l="0" t="0" r="0" b="1905"/>
            <wp:wrapSquare wrapText="bothSides"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341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90942B" w14:textId="60207EC3" w:rsidR="00612D3F" w:rsidRPr="00B228AF" w:rsidRDefault="00612D3F" w:rsidP="00612D3F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17977523" w14:textId="5EC75DDA" w:rsidR="004B2494" w:rsidRDefault="004F34CD" w:rsidP="00015FB5">
      <w:pPr>
        <w:pStyle w:val="ab"/>
        <w:numPr>
          <w:ilvl w:val="0"/>
          <w:numId w:val="26"/>
        </w:numPr>
        <w:tabs>
          <w:tab w:val="left" w:pos="5670"/>
        </w:tabs>
        <w:bidi w:val="0"/>
        <w:spacing w:line="300" w:lineRule="exact"/>
        <w:jc w:val="both"/>
        <w:rPr>
          <w:rFonts w:asciiTheme="majorBidi" w:hAnsiTheme="majorBidi" w:cstheme="majorBidi"/>
        </w:rPr>
      </w:pPr>
      <w:r w:rsidRPr="0029688D">
        <w:rPr>
          <w:rFonts w:asciiTheme="majorBidi" w:hAnsiTheme="majorBidi" w:cstheme="majorBidi"/>
          <w:b/>
          <w:bCs/>
        </w:rPr>
        <w:t xml:space="preserve">The </w:t>
      </w:r>
      <w:r w:rsidR="006F52CC" w:rsidRPr="0029688D">
        <w:rPr>
          <w:rFonts w:asciiTheme="majorBidi" w:hAnsiTheme="majorBidi" w:cstheme="majorBidi"/>
          <w:b/>
          <w:bCs/>
        </w:rPr>
        <w:t>balance</w:t>
      </w:r>
      <w:r w:rsidRPr="0029688D">
        <w:rPr>
          <w:rFonts w:asciiTheme="majorBidi" w:hAnsiTheme="majorBidi" w:cstheme="majorBidi"/>
          <w:b/>
          <w:bCs/>
        </w:rPr>
        <w:t xml:space="preserve"> of asset</w:t>
      </w:r>
      <w:r w:rsidR="00A906B6" w:rsidRPr="0029688D">
        <w:rPr>
          <w:rFonts w:asciiTheme="majorBidi" w:hAnsiTheme="majorBidi" w:cstheme="majorBidi"/>
          <w:b/>
          <w:bCs/>
        </w:rPr>
        <w:t xml:space="preserve">s </w:t>
      </w:r>
      <w:r w:rsidRPr="0029688D">
        <w:rPr>
          <w:rFonts w:asciiTheme="majorBidi" w:hAnsiTheme="majorBidi" w:cstheme="majorBidi"/>
          <w:b/>
          <w:bCs/>
        </w:rPr>
        <w:t xml:space="preserve">managed by </w:t>
      </w:r>
      <w:r w:rsidR="00186701" w:rsidRPr="0029688D">
        <w:rPr>
          <w:rFonts w:asciiTheme="majorBidi" w:hAnsiTheme="majorBidi" w:cstheme="majorBidi"/>
          <w:b/>
          <w:bCs/>
        </w:rPr>
        <w:t xml:space="preserve">all </w:t>
      </w:r>
      <w:r w:rsidRPr="0029688D">
        <w:rPr>
          <w:rFonts w:asciiTheme="majorBidi" w:hAnsiTheme="majorBidi" w:cstheme="majorBidi"/>
          <w:b/>
          <w:bCs/>
        </w:rPr>
        <w:t>institutional investors</w:t>
      </w:r>
      <w:r w:rsidRPr="0029688D">
        <w:rPr>
          <w:rFonts w:asciiTheme="majorBidi" w:hAnsiTheme="majorBidi" w:cstheme="majorBidi"/>
        </w:rPr>
        <w:t xml:space="preserve"> </w:t>
      </w:r>
      <w:r w:rsidR="00211E5F" w:rsidRPr="0029688D">
        <w:rPr>
          <w:rFonts w:asciiTheme="majorBidi" w:hAnsiTheme="majorBidi" w:cstheme="majorBidi"/>
        </w:rPr>
        <w:t xml:space="preserve">increased </w:t>
      </w:r>
      <w:r w:rsidR="006A0C03" w:rsidRPr="0029688D">
        <w:rPr>
          <w:rFonts w:asciiTheme="majorBidi" w:hAnsiTheme="majorBidi" w:cstheme="majorBidi"/>
        </w:rPr>
        <w:t xml:space="preserve">in </w:t>
      </w:r>
      <w:r w:rsidR="00C8104F" w:rsidRPr="0029688D">
        <w:rPr>
          <w:rFonts w:asciiTheme="majorBidi" w:hAnsiTheme="majorBidi" w:cstheme="majorBidi"/>
        </w:rPr>
        <w:t xml:space="preserve">the </w:t>
      </w:r>
      <w:r w:rsidR="007D22AC">
        <w:rPr>
          <w:rFonts w:asciiTheme="majorBidi" w:hAnsiTheme="majorBidi" w:cstheme="majorBidi"/>
        </w:rPr>
        <w:t>fourth</w:t>
      </w:r>
      <w:r w:rsidR="004D35FB">
        <w:rPr>
          <w:rFonts w:asciiTheme="majorBidi" w:hAnsiTheme="majorBidi" w:cstheme="majorBidi"/>
        </w:rPr>
        <w:t xml:space="preserve"> quarter</w:t>
      </w:r>
      <w:r w:rsidR="00850C5D" w:rsidRPr="0029688D">
        <w:rPr>
          <w:rFonts w:asciiTheme="majorBidi" w:hAnsiTheme="majorBidi" w:cstheme="majorBidi"/>
        </w:rPr>
        <w:t xml:space="preserve"> </w:t>
      </w:r>
      <w:r w:rsidR="0015326A" w:rsidRPr="0029688D">
        <w:rPr>
          <w:rFonts w:asciiTheme="majorBidi" w:hAnsiTheme="majorBidi" w:cstheme="majorBidi"/>
        </w:rPr>
        <w:t xml:space="preserve">by about NIS </w:t>
      </w:r>
      <w:r w:rsidR="004B2494">
        <w:rPr>
          <w:rFonts w:asciiTheme="majorBidi" w:hAnsiTheme="majorBidi" w:cstheme="majorBidi"/>
        </w:rPr>
        <w:t>111</w:t>
      </w:r>
      <w:r w:rsidR="00F71C76" w:rsidRPr="0029688D">
        <w:rPr>
          <w:rFonts w:asciiTheme="majorBidi" w:hAnsiTheme="majorBidi" w:cstheme="majorBidi"/>
        </w:rPr>
        <w:t xml:space="preserve"> </w:t>
      </w:r>
      <w:r w:rsidR="001648C9" w:rsidRPr="0029688D">
        <w:rPr>
          <w:rFonts w:asciiTheme="majorBidi" w:hAnsiTheme="majorBidi" w:cstheme="majorBidi"/>
        </w:rPr>
        <w:t>billion</w:t>
      </w:r>
      <w:r w:rsidR="00CF4334" w:rsidRPr="0029688D">
        <w:rPr>
          <w:rFonts w:asciiTheme="majorBidi" w:hAnsiTheme="majorBidi" w:cstheme="majorBidi"/>
        </w:rPr>
        <w:t xml:space="preserve"> (</w:t>
      </w:r>
      <w:r w:rsidR="004B2494">
        <w:rPr>
          <w:rFonts w:asciiTheme="majorBidi" w:hAnsiTheme="majorBidi" w:cstheme="majorBidi"/>
        </w:rPr>
        <w:t xml:space="preserve">3.5 </w:t>
      </w:r>
      <w:r w:rsidR="00CF4334" w:rsidRPr="0029688D">
        <w:rPr>
          <w:rFonts w:asciiTheme="majorBidi" w:hAnsiTheme="majorBidi" w:cstheme="majorBidi"/>
        </w:rPr>
        <w:t>percent</w:t>
      </w:r>
      <w:r w:rsidR="00681F56" w:rsidRPr="0029688D">
        <w:rPr>
          <w:rFonts w:asciiTheme="majorBidi" w:hAnsiTheme="majorBidi" w:cstheme="majorBidi"/>
        </w:rPr>
        <w:t>)</w:t>
      </w:r>
      <w:r w:rsidR="008442B0" w:rsidRPr="0029688D">
        <w:rPr>
          <w:rFonts w:asciiTheme="majorBidi" w:hAnsiTheme="majorBidi" w:cstheme="majorBidi"/>
        </w:rPr>
        <w:t xml:space="preserve">, </w:t>
      </w:r>
      <w:r w:rsidR="0015326A" w:rsidRPr="0029688D">
        <w:rPr>
          <w:rFonts w:asciiTheme="majorBidi" w:hAnsiTheme="majorBidi" w:cstheme="majorBidi"/>
        </w:rPr>
        <w:t>to</w:t>
      </w:r>
      <w:r w:rsidR="002D746E" w:rsidRPr="0029688D">
        <w:rPr>
          <w:rFonts w:asciiTheme="majorBidi" w:hAnsiTheme="majorBidi" w:cstheme="majorBidi"/>
        </w:rPr>
        <w:t xml:space="preserve"> about</w:t>
      </w:r>
      <w:r w:rsidR="0015326A" w:rsidRPr="0029688D">
        <w:rPr>
          <w:rFonts w:asciiTheme="majorBidi" w:hAnsiTheme="majorBidi" w:cstheme="majorBidi"/>
        </w:rPr>
        <w:t xml:space="preserve"> NIS </w:t>
      </w:r>
      <w:r w:rsidR="00B4544C">
        <w:rPr>
          <w:rFonts w:asciiTheme="majorBidi" w:hAnsiTheme="majorBidi" w:cstheme="majorBidi"/>
        </w:rPr>
        <w:t>3.</w:t>
      </w:r>
      <w:r w:rsidR="004B2494">
        <w:rPr>
          <w:rFonts w:asciiTheme="majorBidi" w:hAnsiTheme="majorBidi" w:cstheme="majorBidi"/>
        </w:rPr>
        <w:t>3</w:t>
      </w:r>
      <w:r w:rsidR="00B4544C">
        <w:rPr>
          <w:rFonts w:asciiTheme="majorBidi" w:hAnsiTheme="majorBidi" w:cstheme="majorBidi"/>
        </w:rPr>
        <w:t xml:space="preserve"> </w:t>
      </w:r>
      <w:r w:rsidR="0015326A" w:rsidRPr="0029688D">
        <w:rPr>
          <w:rFonts w:asciiTheme="majorBidi" w:hAnsiTheme="majorBidi" w:cstheme="majorBidi"/>
        </w:rPr>
        <w:t>trillion</w:t>
      </w:r>
      <w:r w:rsidR="008D2F94" w:rsidRPr="0029688D">
        <w:rPr>
          <w:rFonts w:asciiTheme="majorBidi" w:hAnsiTheme="majorBidi" w:cstheme="majorBidi"/>
        </w:rPr>
        <w:t xml:space="preserve"> (</w:t>
      </w:r>
      <w:r w:rsidR="00C66406" w:rsidRPr="0029688D">
        <w:rPr>
          <w:rFonts w:asciiTheme="majorBidi" w:hAnsiTheme="majorBidi" w:cstheme="majorBidi"/>
        </w:rPr>
        <w:t xml:space="preserve">approximately </w:t>
      </w:r>
      <w:r w:rsidR="008D2F94" w:rsidRPr="0029688D">
        <w:rPr>
          <w:rFonts w:asciiTheme="majorBidi" w:hAnsiTheme="majorBidi" w:cstheme="majorBidi"/>
        </w:rPr>
        <w:t>4</w:t>
      </w:r>
      <w:r w:rsidR="007521C1" w:rsidRPr="0029688D">
        <w:rPr>
          <w:rFonts w:asciiTheme="majorBidi" w:hAnsiTheme="majorBidi" w:cstheme="majorBidi"/>
        </w:rPr>
        <w:t>6</w:t>
      </w:r>
      <w:r w:rsidR="008D2F94" w:rsidRPr="0029688D">
        <w:rPr>
          <w:rFonts w:asciiTheme="majorBidi" w:hAnsiTheme="majorBidi" w:cstheme="majorBidi"/>
        </w:rPr>
        <w:t xml:space="preserve"> percent of the public’s </w:t>
      </w:r>
      <w:r w:rsidR="00E34ED5" w:rsidRPr="0029688D">
        <w:rPr>
          <w:rFonts w:asciiTheme="majorBidi" w:hAnsiTheme="majorBidi" w:cstheme="majorBidi"/>
        </w:rPr>
        <w:t xml:space="preserve">total </w:t>
      </w:r>
      <w:r w:rsidR="008D2F94" w:rsidRPr="0029688D">
        <w:rPr>
          <w:rFonts w:asciiTheme="majorBidi" w:hAnsiTheme="majorBidi" w:cstheme="majorBidi"/>
        </w:rPr>
        <w:t>financial assets portfolio</w:t>
      </w:r>
      <w:r w:rsidR="003F5389" w:rsidRPr="0029688D">
        <w:rPr>
          <w:rFonts w:asciiTheme="majorBidi" w:hAnsiTheme="majorBidi" w:cstheme="majorBidi"/>
        </w:rPr>
        <w:t>)</w:t>
      </w:r>
      <w:r w:rsidR="0001714A" w:rsidRPr="0029688D">
        <w:rPr>
          <w:rFonts w:asciiTheme="majorBidi" w:hAnsiTheme="majorBidi" w:cstheme="majorBidi"/>
        </w:rPr>
        <w:t xml:space="preserve">. </w:t>
      </w:r>
      <w:r w:rsidR="00E542C6" w:rsidRPr="0029688D">
        <w:rPr>
          <w:rFonts w:asciiTheme="majorBidi" w:hAnsiTheme="majorBidi" w:cstheme="majorBidi"/>
        </w:rPr>
        <w:t xml:space="preserve">The increase in the balance of the managed portfolio during the quarter </w:t>
      </w:r>
      <w:r w:rsidR="002D746E" w:rsidRPr="0029688D">
        <w:rPr>
          <w:rFonts w:asciiTheme="majorBidi" w:hAnsiTheme="majorBidi" w:cstheme="majorBidi"/>
        </w:rPr>
        <w:t>was</w:t>
      </w:r>
      <w:r w:rsidR="00E542C6" w:rsidRPr="0029688D">
        <w:rPr>
          <w:rFonts w:asciiTheme="majorBidi" w:hAnsiTheme="majorBidi" w:cstheme="majorBidi"/>
        </w:rPr>
        <w:t xml:space="preserve"> </w:t>
      </w:r>
      <w:r w:rsidR="006418CA" w:rsidRPr="0029688D">
        <w:rPr>
          <w:rFonts w:asciiTheme="majorBidi" w:hAnsiTheme="majorBidi" w:cstheme="majorBidi"/>
        </w:rPr>
        <w:t>reflected in the following components:</w:t>
      </w:r>
      <w:r w:rsidR="006612FB">
        <w:rPr>
          <w:rFonts w:asciiTheme="majorBidi" w:hAnsiTheme="majorBidi" w:cstheme="majorBidi"/>
        </w:rPr>
        <w:t xml:space="preserve"> </w:t>
      </w:r>
      <w:r w:rsidR="009440BF" w:rsidRPr="0029688D">
        <w:rPr>
          <w:rFonts w:asciiTheme="majorBidi" w:hAnsiTheme="majorBidi" w:cstheme="majorBidi"/>
        </w:rPr>
        <w:t xml:space="preserve">equities in Israel—an increase of </w:t>
      </w:r>
      <w:r w:rsidR="0035213F">
        <w:rPr>
          <w:rFonts w:asciiTheme="majorBidi" w:hAnsiTheme="majorBidi" w:cstheme="majorBidi"/>
        </w:rPr>
        <w:t xml:space="preserve">about </w:t>
      </w:r>
      <w:r w:rsidR="009440BF" w:rsidRPr="0029688D">
        <w:rPr>
          <w:rFonts w:asciiTheme="majorBidi" w:hAnsiTheme="majorBidi" w:cstheme="majorBidi"/>
        </w:rPr>
        <w:t xml:space="preserve">NIS </w:t>
      </w:r>
      <w:r w:rsidR="004B2494">
        <w:rPr>
          <w:rFonts w:asciiTheme="majorBidi" w:hAnsiTheme="majorBidi" w:cstheme="majorBidi"/>
        </w:rPr>
        <w:t xml:space="preserve">47 </w:t>
      </w:r>
      <w:r w:rsidR="009440BF" w:rsidRPr="0029688D">
        <w:rPr>
          <w:rFonts w:asciiTheme="majorBidi" w:hAnsiTheme="majorBidi" w:cstheme="majorBidi"/>
        </w:rPr>
        <w:t>billion (</w:t>
      </w:r>
      <w:r w:rsidR="004B2494">
        <w:rPr>
          <w:rFonts w:asciiTheme="majorBidi" w:hAnsiTheme="majorBidi" w:cstheme="majorBidi"/>
        </w:rPr>
        <w:t xml:space="preserve">13.2 </w:t>
      </w:r>
      <w:r w:rsidR="009440BF" w:rsidRPr="0029688D">
        <w:rPr>
          <w:rFonts w:asciiTheme="majorBidi" w:hAnsiTheme="majorBidi" w:cstheme="majorBidi"/>
        </w:rPr>
        <w:t xml:space="preserve">percent) </w:t>
      </w:r>
      <w:r w:rsidR="004B2494">
        <w:rPr>
          <w:rFonts w:asciiTheme="majorBidi" w:hAnsiTheme="majorBidi" w:cstheme="majorBidi"/>
        </w:rPr>
        <w:t xml:space="preserve">mainly </w:t>
      </w:r>
      <w:r w:rsidR="009440BF" w:rsidRPr="0029688D">
        <w:rPr>
          <w:rFonts w:asciiTheme="majorBidi" w:hAnsiTheme="majorBidi" w:cstheme="majorBidi"/>
        </w:rPr>
        <w:t>in view of price increases;</w:t>
      </w:r>
      <w:r w:rsidR="0035213F">
        <w:rPr>
          <w:rFonts w:asciiTheme="majorBidi" w:hAnsiTheme="majorBidi" w:cstheme="majorBidi"/>
        </w:rPr>
        <w:t xml:space="preserve"> </w:t>
      </w:r>
      <w:r w:rsidR="004B2494">
        <w:rPr>
          <w:rFonts w:asciiTheme="majorBidi" w:hAnsiTheme="majorBidi" w:cstheme="majorBidi"/>
        </w:rPr>
        <w:t>cash and deposits in Israel—an increase of NIS 36 billion (10.9 percent); equities abroad—an increase of</w:t>
      </w:r>
      <w:r w:rsidR="00015FB5">
        <w:rPr>
          <w:rFonts w:asciiTheme="majorBidi" w:hAnsiTheme="majorBidi" w:cstheme="majorBidi"/>
        </w:rPr>
        <w:t xml:space="preserve"> </w:t>
      </w:r>
      <w:r w:rsidR="004B2494">
        <w:rPr>
          <w:rFonts w:asciiTheme="majorBidi" w:hAnsiTheme="majorBidi" w:cstheme="majorBidi"/>
        </w:rPr>
        <w:t xml:space="preserve">NIS 15 billion t (8.6 percent), a combination of </w:t>
      </w:r>
      <w:r w:rsidR="00015FB5">
        <w:rPr>
          <w:rFonts w:asciiTheme="majorBidi" w:hAnsiTheme="majorBidi" w:cstheme="majorBidi"/>
        </w:rPr>
        <w:t>p</w:t>
      </w:r>
      <w:r w:rsidR="004B2494">
        <w:rPr>
          <w:rFonts w:asciiTheme="majorBidi" w:hAnsiTheme="majorBidi" w:cstheme="majorBidi"/>
        </w:rPr>
        <w:t>rice increases and net investments.</w:t>
      </w:r>
    </w:p>
    <w:p w14:paraId="4A80E867" w14:textId="69C94F65" w:rsidR="00935E04" w:rsidRPr="00B228AF" w:rsidRDefault="00935E04" w:rsidP="007E422E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6A32BCD4" w14:textId="51856BD1" w:rsidR="00111C23" w:rsidRPr="0006727C" w:rsidRDefault="004F34CD" w:rsidP="007E422E">
      <w:pPr>
        <w:pStyle w:val="1"/>
        <w:jc w:val="left"/>
        <w:rPr>
          <w:rFonts w:asciiTheme="majorBidi" w:hAnsiTheme="majorBidi" w:cstheme="majorBidi"/>
        </w:rPr>
      </w:pPr>
      <w:r w:rsidRPr="0006727C">
        <w:rPr>
          <w:rFonts w:asciiTheme="majorBidi" w:hAnsiTheme="majorBidi" w:cstheme="majorBidi"/>
        </w:rPr>
        <w:t>4</w:t>
      </w:r>
      <w:r w:rsidR="00111C23" w:rsidRPr="0006727C">
        <w:rPr>
          <w:rFonts w:asciiTheme="majorBidi" w:hAnsiTheme="majorBidi" w:cstheme="majorBidi"/>
        </w:rPr>
        <w:t xml:space="preserve">. </w:t>
      </w:r>
      <w:r w:rsidR="008C0538" w:rsidRPr="0006727C">
        <w:rPr>
          <w:rFonts w:asciiTheme="majorBidi" w:hAnsiTheme="majorBidi" w:cstheme="majorBidi"/>
        </w:rPr>
        <w:t>The portfolio managed by m</w:t>
      </w:r>
      <w:r w:rsidR="00111C23" w:rsidRPr="0006727C">
        <w:rPr>
          <w:rFonts w:asciiTheme="majorBidi" w:hAnsiTheme="majorBidi" w:cstheme="majorBidi"/>
        </w:rPr>
        <w:t>utual funds</w:t>
      </w:r>
    </w:p>
    <w:p w14:paraId="3782F0C6" w14:textId="61E665CB" w:rsidR="00111C23" w:rsidRPr="0006727C" w:rsidRDefault="00111C23" w:rsidP="007E422E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355BBB04" w14:textId="7EF7F2D8" w:rsidR="002F55F2" w:rsidRPr="00B228AF" w:rsidRDefault="00111C23" w:rsidP="004B2494">
      <w:pPr>
        <w:bidi w:val="0"/>
        <w:spacing w:line="300" w:lineRule="exact"/>
        <w:jc w:val="both"/>
        <w:rPr>
          <w:rFonts w:asciiTheme="majorBidi" w:hAnsiTheme="majorBidi" w:cstheme="majorBidi"/>
        </w:rPr>
      </w:pPr>
      <w:r w:rsidRPr="0006727C">
        <w:rPr>
          <w:rFonts w:asciiTheme="majorBidi" w:hAnsiTheme="majorBidi" w:cstheme="majorBidi"/>
        </w:rPr>
        <w:t>The value of the portfolio managed by</w:t>
      </w:r>
      <w:r w:rsidR="00150DCF" w:rsidRPr="0006727C">
        <w:rPr>
          <w:rFonts w:asciiTheme="majorBidi" w:hAnsiTheme="majorBidi" w:cstheme="majorBidi"/>
        </w:rPr>
        <w:t xml:space="preserve"> Israeli </w:t>
      </w:r>
      <w:r w:rsidRPr="0006727C">
        <w:rPr>
          <w:rFonts w:asciiTheme="majorBidi" w:hAnsiTheme="majorBidi" w:cstheme="majorBidi"/>
        </w:rPr>
        <w:t xml:space="preserve">mutual funds </w:t>
      </w:r>
      <w:r w:rsidR="00A76DF8" w:rsidRPr="0006727C">
        <w:rPr>
          <w:rFonts w:asciiTheme="majorBidi" w:hAnsiTheme="majorBidi" w:cstheme="majorBidi"/>
        </w:rPr>
        <w:t>increased</w:t>
      </w:r>
      <w:r w:rsidR="005F1CA9" w:rsidRPr="0006727C">
        <w:rPr>
          <w:rFonts w:asciiTheme="majorBidi" w:hAnsiTheme="majorBidi" w:cstheme="majorBidi"/>
        </w:rPr>
        <w:t xml:space="preserve"> in the </w:t>
      </w:r>
      <w:r w:rsidR="007D22AC">
        <w:rPr>
          <w:rFonts w:asciiTheme="majorBidi" w:hAnsiTheme="majorBidi" w:cstheme="majorBidi"/>
        </w:rPr>
        <w:t>fourth</w:t>
      </w:r>
      <w:r w:rsidR="004D35FB">
        <w:rPr>
          <w:rFonts w:asciiTheme="majorBidi" w:hAnsiTheme="majorBidi" w:cstheme="majorBidi"/>
        </w:rPr>
        <w:t xml:space="preserve"> quarter</w:t>
      </w:r>
      <w:r w:rsidR="005F1CA9" w:rsidRPr="0006727C">
        <w:rPr>
          <w:rFonts w:asciiTheme="majorBidi" w:hAnsiTheme="majorBidi" w:cstheme="majorBidi"/>
        </w:rPr>
        <w:t xml:space="preserve"> by </w:t>
      </w:r>
      <w:r w:rsidR="00C66406" w:rsidRPr="00C66406">
        <w:rPr>
          <w:rFonts w:asciiTheme="majorBidi" w:hAnsiTheme="majorBidi" w:cstheme="majorBidi"/>
        </w:rPr>
        <w:t>approximately</w:t>
      </w:r>
      <w:r w:rsidR="00C66406">
        <w:rPr>
          <w:rFonts w:asciiTheme="majorBidi" w:hAnsiTheme="majorBidi" w:cstheme="majorBidi"/>
        </w:rPr>
        <w:t xml:space="preserve"> </w:t>
      </w:r>
      <w:r w:rsidR="00935E04" w:rsidRPr="0006727C">
        <w:rPr>
          <w:rFonts w:asciiTheme="majorBidi" w:hAnsiTheme="majorBidi" w:cstheme="majorBidi"/>
        </w:rPr>
        <w:t xml:space="preserve">NIS </w:t>
      </w:r>
      <w:r w:rsidR="004B2494">
        <w:rPr>
          <w:rFonts w:asciiTheme="majorBidi" w:hAnsiTheme="majorBidi" w:cstheme="majorBidi"/>
        </w:rPr>
        <w:t xml:space="preserve">33.6 </w:t>
      </w:r>
      <w:r w:rsidR="00935E04" w:rsidRPr="0006727C">
        <w:rPr>
          <w:rFonts w:asciiTheme="majorBidi" w:hAnsiTheme="majorBidi" w:cstheme="majorBidi"/>
        </w:rPr>
        <w:t>billion (</w:t>
      </w:r>
      <w:r w:rsidR="004B2494">
        <w:rPr>
          <w:rFonts w:asciiTheme="majorBidi" w:hAnsiTheme="majorBidi" w:cstheme="majorBidi"/>
        </w:rPr>
        <w:t xml:space="preserve">4.6 </w:t>
      </w:r>
      <w:r w:rsidR="00935E04" w:rsidRPr="0006727C">
        <w:rPr>
          <w:rFonts w:asciiTheme="majorBidi" w:hAnsiTheme="majorBidi" w:cstheme="majorBidi"/>
        </w:rPr>
        <w:t>percent), to</w:t>
      </w:r>
      <w:r w:rsidRPr="0006727C">
        <w:rPr>
          <w:rFonts w:asciiTheme="majorBidi" w:hAnsiTheme="majorBidi" w:cstheme="majorBidi"/>
        </w:rPr>
        <w:t xml:space="preserve"> </w:t>
      </w:r>
      <w:r w:rsidR="00A22FC4" w:rsidRPr="0006727C">
        <w:rPr>
          <w:rFonts w:asciiTheme="majorBidi" w:hAnsiTheme="majorBidi" w:cstheme="majorBidi"/>
        </w:rPr>
        <w:t xml:space="preserve">about </w:t>
      </w:r>
      <w:r w:rsidRPr="0006727C">
        <w:rPr>
          <w:rFonts w:asciiTheme="majorBidi" w:hAnsiTheme="majorBidi" w:cstheme="majorBidi"/>
        </w:rPr>
        <w:t xml:space="preserve">NIS </w:t>
      </w:r>
      <w:r w:rsidR="004B2494">
        <w:rPr>
          <w:rFonts w:asciiTheme="majorBidi" w:hAnsiTheme="majorBidi" w:cstheme="majorBidi"/>
        </w:rPr>
        <w:t>756</w:t>
      </w:r>
      <w:r w:rsidR="00A554B1">
        <w:rPr>
          <w:rFonts w:asciiTheme="majorBidi" w:hAnsiTheme="majorBidi" w:cstheme="majorBidi"/>
        </w:rPr>
        <w:t xml:space="preserve"> </w:t>
      </w:r>
      <w:r w:rsidRPr="0006727C">
        <w:rPr>
          <w:rFonts w:asciiTheme="majorBidi" w:hAnsiTheme="majorBidi" w:cstheme="majorBidi"/>
        </w:rPr>
        <w:t>billion</w:t>
      </w:r>
      <w:r w:rsidR="00330595">
        <w:rPr>
          <w:rFonts w:asciiTheme="majorBidi" w:hAnsiTheme="majorBidi" w:cstheme="majorBidi"/>
        </w:rPr>
        <w:t xml:space="preserve"> at the end of the quarter</w:t>
      </w:r>
      <w:r w:rsidR="000A2FAD" w:rsidRPr="0006727C">
        <w:rPr>
          <w:rFonts w:asciiTheme="majorBidi" w:hAnsiTheme="majorBidi" w:cstheme="majorBidi"/>
        </w:rPr>
        <w:t>,</w:t>
      </w:r>
      <w:r w:rsidRPr="0006727C">
        <w:rPr>
          <w:rFonts w:asciiTheme="majorBidi" w:hAnsiTheme="majorBidi" w:cstheme="majorBidi"/>
        </w:rPr>
        <w:t xml:space="preserve"> </w:t>
      </w:r>
      <w:r w:rsidR="004B2494">
        <w:rPr>
          <w:rFonts w:asciiTheme="majorBidi" w:hAnsiTheme="majorBidi" w:cstheme="majorBidi"/>
        </w:rPr>
        <w:t xml:space="preserve">making up </w:t>
      </w:r>
      <w:r w:rsidR="00E3433E" w:rsidRPr="0006727C">
        <w:rPr>
          <w:rFonts w:asciiTheme="majorBidi" w:hAnsiTheme="majorBidi" w:cstheme="majorBidi"/>
        </w:rPr>
        <w:t xml:space="preserve">about </w:t>
      </w:r>
      <w:r w:rsidR="004B2494">
        <w:rPr>
          <w:rFonts w:asciiTheme="majorBidi" w:hAnsiTheme="majorBidi" w:cstheme="majorBidi"/>
        </w:rPr>
        <w:t xml:space="preserve">11 </w:t>
      </w:r>
      <w:r w:rsidR="00E3433E" w:rsidRPr="0006727C">
        <w:rPr>
          <w:rFonts w:asciiTheme="majorBidi" w:hAnsiTheme="majorBidi" w:cstheme="majorBidi"/>
        </w:rPr>
        <w:t>percent of the public’s asset portfolio.</w:t>
      </w:r>
    </w:p>
    <w:p w14:paraId="1B224F30" w14:textId="03E54A14" w:rsidR="006704E6" w:rsidRPr="00B228AF" w:rsidRDefault="006704E6" w:rsidP="007E422E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7DE3F9E5" w14:textId="527F8070" w:rsidR="00A76DF8" w:rsidRDefault="006A3AF5" w:rsidP="00CD152C">
      <w:pPr>
        <w:bidi w:val="0"/>
        <w:spacing w:line="300" w:lineRule="exact"/>
        <w:jc w:val="both"/>
        <w:rPr>
          <w:rFonts w:asciiTheme="majorBidi" w:hAnsiTheme="majorBidi" w:cstheme="majorBidi"/>
        </w:rPr>
      </w:pPr>
      <w:r w:rsidRPr="00AF201C">
        <w:rPr>
          <w:rFonts w:asciiTheme="majorBidi" w:hAnsiTheme="majorBidi" w:cstheme="majorBidi"/>
        </w:rPr>
        <w:t xml:space="preserve">The </w:t>
      </w:r>
      <w:r w:rsidR="00A76DF8" w:rsidRPr="00AF201C">
        <w:rPr>
          <w:rFonts w:asciiTheme="majorBidi" w:hAnsiTheme="majorBidi" w:cstheme="majorBidi"/>
        </w:rPr>
        <w:t>increase</w:t>
      </w:r>
      <w:r w:rsidR="00EC215C" w:rsidRPr="00AF201C">
        <w:rPr>
          <w:rFonts w:asciiTheme="majorBidi" w:hAnsiTheme="majorBidi" w:cstheme="majorBidi"/>
        </w:rPr>
        <w:t xml:space="preserve"> in the </w:t>
      </w:r>
      <w:r w:rsidR="007D22AC">
        <w:rPr>
          <w:rFonts w:asciiTheme="majorBidi" w:hAnsiTheme="majorBidi" w:cstheme="majorBidi"/>
        </w:rPr>
        <w:t>fourth</w:t>
      </w:r>
      <w:r w:rsidR="004D35FB">
        <w:rPr>
          <w:rFonts w:asciiTheme="majorBidi" w:hAnsiTheme="majorBidi" w:cstheme="majorBidi"/>
        </w:rPr>
        <w:t xml:space="preserve"> quarter</w:t>
      </w:r>
      <w:r w:rsidRPr="00AF201C">
        <w:rPr>
          <w:rFonts w:asciiTheme="majorBidi" w:hAnsiTheme="majorBidi" w:cstheme="majorBidi"/>
        </w:rPr>
        <w:t xml:space="preserve"> </w:t>
      </w:r>
      <w:r w:rsidR="0035213F">
        <w:rPr>
          <w:rFonts w:asciiTheme="majorBidi" w:hAnsiTheme="majorBidi" w:cstheme="majorBidi"/>
        </w:rPr>
        <w:t>was mostly due to</w:t>
      </w:r>
      <w:r w:rsidR="004B2494">
        <w:rPr>
          <w:rFonts w:asciiTheme="majorBidi" w:hAnsiTheme="majorBidi" w:cstheme="majorBidi"/>
        </w:rPr>
        <w:t xml:space="preserve"> price increases and </w:t>
      </w:r>
      <w:r w:rsidR="00C01707">
        <w:rPr>
          <w:rFonts w:asciiTheme="majorBidi" w:hAnsiTheme="majorBidi" w:cstheme="majorBidi"/>
        </w:rPr>
        <w:t>net new investment</w:t>
      </w:r>
      <w:r w:rsidR="0035213F">
        <w:rPr>
          <w:rFonts w:asciiTheme="majorBidi" w:hAnsiTheme="majorBidi" w:cstheme="majorBidi"/>
        </w:rPr>
        <w:t>s</w:t>
      </w:r>
      <w:r w:rsidR="00C01707">
        <w:rPr>
          <w:rFonts w:asciiTheme="majorBidi" w:hAnsiTheme="majorBidi" w:cstheme="majorBidi"/>
        </w:rPr>
        <w:t xml:space="preserve"> </w:t>
      </w:r>
      <w:r w:rsidR="00CD152C">
        <w:rPr>
          <w:rFonts w:asciiTheme="majorBidi" w:hAnsiTheme="majorBidi" w:cstheme="majorBidi"/>
        </w:rPr>
        <w:t xml:space="preserve">in funds, </w:t>
      </w:r>
      <w:r w:rsidR="000833A6">
        <w:rPr>
          <w:rFonts w:asciiTheme="majorBidi" w:hAnsiTheme="majorBidi" w:cstheme="majorBidi"/>
        </w:rPr>
        <w:t xml:space="preserve">totaling NIS </w:t>
      </w:r>
      <w:r w:rsidR="004B2494">
        <w:rPr>
          <w:rFonts w:asciiTheme="majorBidi" w:hAnsiTheme="majorBidi" w:cstheme="majorBidi"/>
        </w:rPr>
        <w:t xml:space="preserve">12.6 </w:t>
      </w:r>
      <w:r w:rsidR="000833A6">
        <w:rPr>
          <w:rFonts w:asciiTheme="majorBidi" w:hAnsiTheme="majorBidi" w:cstheme="majorBidi"/>
        </w:rPr>
        <w:t>billion</w:t>
      </w:r>
      <w:r w:rsidR="006612FB">
        <w:rPr>
          <w:rFonts w:asciiTheme="majorBidi" w:hAnsiTheme="majorBidi" w:cstheme="majorBidi"/>
        </w:rPr>
        <w:t xml:space="preserve">. </w:t>
      </w:r>
      <w:r w:rsidR="00A76DF8" w:rsidRPr="00AF201C">
        <w:rPr>
          <w:rFonts w:asciiTheme="majorBidi" w:hAnsiTheme="majorBidi" w:cstheme="majorBidi"/>
        </w:rPr>
        <w:t xml:space="preserve">Most of the new </w:t>
      </w:r>
      <w:r w:rsidR="00BE0F6C" w:rsidRPr="00AF201C">
        <w:rPr>
          <w:rFonts w:asciiTheme="majorBidi" w:hAnsiTheme="majorBidi" w:cstheme="majorBidi"/>
        </w:rPr>
        <w:t xml:space="preserve">investment </w:t>
      </w:r>
      <w:r w:rsidR="00A76DF8" w:rsidRPr="00AF201C">
        <w:rPr>
          <w:rFonts w:asciiTheme="majorBidi" w:hAnsiTheme="majorBidi" w:cstheme="majorBidi"/>
        </w:rPr>
        <w:t xml:space="preserve">was </w:t>
      </w:r>
      <w:r w:rsidR="00C70440">
        <w:rPr>
          <w:rFonts w:asciiTheme="majorBidi" w:hAnsiTheme="majorBidi" w:cstheme="majorBidi"/>
        </w:rPr>
        <w:t xml:space="preserve">in </w:t>
      </w:r>
      <w:r w:rsidR="0035213F">
        <w:rPr>
          <w:rFonts w:asciiTheme="majorBidi" w:hAnsiTheme="majorBidi" w:cstheme="majorBidi"/>
        </w:rPr>
        <w:t xml:space="preserve">funds specializing in bonds in Israel (about NIS </w:t>
      </w:r>
      <w:r w:rsidR="004B2494">
        <w:rPr>
          <w:rFonts w:asciiTheme="majorBidi" w:hAnsiTheme="majorBidi" w:cstheme="majorBidi"/>
        </w:rPr>
        <w:t>10</w:t>
      </w:r>
      <w:r w:rsidR="0035213F">
        <w:rPr>
          <w:rFonts w:asciiTheme="majorBidi" w:hAnsiTheme="majorBidi" w:cstheme="majorBidi"/>
        </w:rPr>
        <w:t xml:space="preserve"> billion), </w:t>
      </w:r>
      <w:r w:rsidR="00A554B1">
        <w:rPr>
          <w:rFonts w:asciiTheme="majorBidi" w:hAnsiTheme="majorBidi" w:cstheme="majorBidi"/>
        </w:rPr>
        <w:t>and</w:t>
      </w:r>
      <w:r w:rsidR="00CD152C">
        <w:rPr>
          <w:rFonts w:asciiTheme="majorBidi" w:hAnsiTheme="majorBidi" w:cstheme="majorBidi"/>
        </w:rPr>
        <w:t xml:space="preserve"> in </w:t>
      </w:r>
      <w:r w:rsidR="00A554B1">
        <w:rPr>
          <w:rFonts w:asciiTheme="majorBidi" w:hAnsiTheme="majorBidi" w:cstheme="majorBidi"/>
        </w:rPr>
        <w:t xml:space="preserve">funds specializing </w:t>
      </w:r>
      <w:r w:rsidR="000B5559">
        <w:rPr>
          <w:rFonts w:asciiTheme="majorBidi" w:hAnsiTheme="majorBidi" w:cstheme="majorBidi"/>
        </w:rPr>
        <w:t xml:space="preserve">in equities </w:t>
      </w:r>
      <w:r w:rsidR="00005B0D">
        <w:rPr>
          <w:rFonts w:asciiTheme="majorBidi" w:hAnsiTheme="majorBidi" w:cstheme="majorBidi"/>
        </w:rPr>
        <w:t>in Israel</w:t>
      </w:r>
      <w:r w:rsidR="00C70440">
        <w:rPr>
          <w:rFonts w:asciiTheme="majorBidi" w:hAnsiTheme="majorBidi" w:cstheme="majorBidi"/>
        </w:rPr>
        <w:t xml:space="preserve"> (NIS </w:t>
      </w:r>
      <w:r w:rsidR="004B2494">
        <w:rPr>
          <w:rFonts w:asciiTheme="majorBidi" w:hAnsiTheme="majorBidi" w:cstheme="majorBidi"/>
        </w:rPr>
        <w:t xml:space="preserve">4.5 </w:t>
      </w:r>
      <w:r w:rsidR="00C70440">
        <w:rPr>
          <w:rFonts w:asciiTheme="majorBidi" w:hAnsiTheme="majorBidi" w:cstheme="majorBidi"/>
        </w:rPr>
        <w:t>billion)</w:t>
      </w:r>
      <w:r w:rsidR="005B1B69">
        <w:rPr>
          <w:rFonts w:asciiTheme="majorBidi" w:hAnsiTheme="majorBidi" w:cstheme="majorBidi"/>
        </w:rPr>
        <w:t>.</w:t>
      </w:r>
      <w:r w:rsidR="004B2494">
        <w:rPr>
          <w:rFonts w:asciiTheme="majorBidi" w:hAnsiTheme="majorBidi" w:cstheme="majorBidi"/>
        </w:rPr>
        <w:t xml:space="preserve"> </w:t>
      </w:r>
      <w:r w:rsidR="009C2B32">
        <w:rPr>
          <w:rFonts w:asciiTheme="majorBidi" w:hAnsiTheme="majorBidi" w:cstheme="majorBidi"/>
        </w:rPr>
        <w:t>I</w:t>
      </w:r>
      <w:r w:rsidR="004B2494">
        <w:rPr>
          <w:rFonts w:asciiTheme="majorBidi" w:hAnsiTheme="majorBidi" w:cstheme="majorBidi"/>
        </w:rPr>
        <w:t>n contrast, there were net withdrawals from shekel money marke</w:t>
      </w:r>
      <w:r w:rsidR="00AE0420">
        <w:rPr>
          <w:rFonts w:asciiTheme="majorBidi" w:hAnsiTheme="majorBidi" w:cstheme="majorBidi"/>
        </w:rPr>
        <w:t>t funds (about NIS 2.6 billion).</w:t>
      </w:r>
    </w:p>
    <w:p w14:paraId="65E797D9" w14:textId="24481A44" w:rsidR="00487311" w:rsidRDefault="00AE0420" w:rsidP="00487311">
      <w:pPr>
        <w:bidi w:val="0"/>
        <w:spacing w:line="300" w:lineRule="exac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80768" behindDoc="0" locked="0" layoutInCell="1" allowOverlap="1" wp14:anchorId="49BB38A3" wp14:editId="23D004BE">
            <wp:simplePos x="0" y="0"/>
            <wp:positionH relativeFrom="margin">
              <wp:posOffset>394335</wp:posOffset>
            </wp:positionH>
            <wp:positionV relativeFrom="paragraph">
              <wp:posOffset>159385</wp:posOffset>
            </wp:positionV>
            <wp:extent cx="5399405" cy="2077720"/>
            <wp:effectExtent l="0" t="0" r="0" b="0"/>
            <wp:wrapSquare wrapText="bothSides"/>
            <wp:docPr id="22" name="תמונה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207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A2BACC" w14:textId="5C863911" w:rsidR="00A8220C" w:rsidRDefault="00A8220C">
      <w:pPr>
        <w:bidi w:val="0"/>
        <w:rPr>
          <w:rFonts w:asciiTheme="majorBidi" w:hAnsiTheme="majorBidi" w:cstheme="majorBidi"/>
        </w:rPr>
      </w:pPr>
    </w:p>
    <w:p w14:paraId="31DEB3BA" w14:textId="04BD6F59" w:rsidR="00A76DF8" w:rsidRDefault="00A76DF8" w:rsidP="00A76DF8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7880433D" w14:textId="18040D19" w:rsidR="00F856FE" w:rsidRDefault="00F856FE" w:rsidP="007E422E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6E772782" w14:textId="6E2B4E60" w:rsidR="00AE0420" w:rsidRDefault="00AE0420" w:rsidP="00AE042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0E6AA4B3" w14:textId="0F37B641" w:rsidR="00AE0420" w:rsidRDefault="00AE0420" w:rsidP="00AE042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67579455" w14:textId="017738E8" w:rsidR="00AE0420" w:rsidRDefault="00AE0420" w:rsidP="00AE042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55CED05B" w14:textId="0D8600F5" w:rsidR="00AE0420" w:rsidRDefault="00AE0420" w:rsidP="00AE042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68DF5D5D" w14:textId="19F08CFC" w:rsidR="00AE0420" w:rsidRDefault="00AE0420" w:rsidP="00AE042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3C5D67DA" w14:textId="0C39C2D1" w:rsidR="00AE0420" w:rsidRDefault="00AE0420" w:rsidP="00AE042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08B1803C" w14:textId="007EF79E" w:rsidR="00AE0420" w:rsidRPr="00B228AF" w:rsidRDefault="00AE0420" w:rsidP="00AE042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4A1BB88E" w14:textId="216C35BF" w:rsidR="00030E0F" w:rsidRPr="00B228AF" w:rsidRDefault="00FA1969" w:rsidP="007E422E">
      <w:pPr>
        <w:pStyle w:val="regpar"/>
        <w:ind w:firstLine="0"/>
        <w:jc w:val="left"/>
        <w:outlineLvl w:val="0"/>
        <w:rPr>
          <w:rFonts w:asciiTheme="majorBidi" w:hAnsiTheme="majorBidi" w:cstheme="majorBidi"/>
          <w:b/>
          <w:bCs/>
        </w:rPr>
      </w:pPr>
      <w:r w:rsidRPr="00B228AF">
        <w:rPr>
          <w:rFonts w:asciiTheme="majorBidi" w:hAnsiTheme="majorBidi" w:cstheme="majorBidi"/>
          <w:b/>
          <w:bCs/>
        </w:rPr>
        <w:lastRenderedPageBreak/>
        <w:t>Further information and details:</w:t>
      </w:r>
    </w:p>
    <w:p w14:paraId="248400D8" w14:textId="7C3F819E" w:rsidR="00030E0F" w:rsidRPr="00B228AF" w:rsidRDefault="00030E0F" w:rsidP="007E422E">
      <w:pPr>
        <w:pStyle w:val="regpar"/>
        <w:ind w:firstLine="0"/>
        <w:jc w:val="left"/>
        <w:outlineLvl w:val="0"/>
        <w:rPr>
          <w:rFonts w:asciiTheme="majorBidi" w:hAnsiTheme="majorBidi" w:cstheme="majorBidi"/>
        </w:rPr>
      </w:pPr>
    </w:p>
    <w:p w14:paraId="77212F77" w14:textId="54CFFBFB" w:rsidR="00030E0F" w:rsidRPr="00B228AF" w:rsidRDefault="00030E0F" w:rsidP="007E422E">
      <w:pPr>
        <w:pStyle w:val="regpar"/>
        <w:ind w:firstLine="0"/>
        <w:jc w:val="left"/>
        <w:outlineLvl w:val="0"/>
        <w:rPr>
          <w:rFonts w:asciiTheme="majorBidi" w:hAnsiTheme="majorBidi" w:cstheme="majorBidi"/>
        </w:rPr>
      </w:pPr>
      <w:r w:rsidRPr="00B228AF">
        <w:rPr>
          <w:rFonts w:asciiTheme="majorBidi" w:hAnsiTheme="majorBidi" w:cstheme="majorBidi"/>
        </w:rPr>
        <w:t>Long-term tables on the asset portfolio are available here.</w:t>
      </w:r>
    </w:p>
    <w:p w14:paraId="4F26CFA2" w14:textId="47F0BA83" w:rsidR="00030E0F" w:rsidRPr="00B228AF" w:rsidRDefault="00030E0F" w:rsidP="007E422E">
      <w:pPr>
        <w:pStyle w:val="regpar"/>
        <w:ind w:firstLine="0"/>
        <w:jc w:val="left"/>
        <w:outlineLvl w:val="0"/>
        <w:rPr>
          <w:rFonts w:asciiTheme="majorBidi" w:hAnsiTheme="majorBidi" w:cstheme="majorBidi"/>
        </w:rPr>
      </w:pPr>
      <w:r w:rsidRPr="00B228AF">
        <w:rPr>
          <w:rFonts w:asciiTheme="majorBidi" w:hAnsiTheme="majorBidi" w:cstheme="majorBidi"/>
        </w:rPr>
        <w:t>Long-term tables on institutional investors’ exposure to foreign exchange and to foreign assets are available here.</w:t>
      </w:r>
    </w:p>
    <w:p w14:paraId="1EF846CE" w14:textId="7666C425" w:rsidR="00030E0F" w:rsidRPr="00B228AF" w:rsidRDefault="00030E0F" w:rsidP="007E422E">
      <w:pPr>
        <w:pStyle w:val="regpar"/>
        <w:ind w:firstLine="0"/>
        <w:jc w:val="left"/>
        <w:outlineLvl w:val="0"/>
        <w:rPr>
          <w:rFonts w:asciiTheme="majorBidi" w:hAnsiTheme="majorBidi" w:cstheme="majorBidi"/>
        </w:rPr>
      </w:pPr>
      <w:r w:rsidRPr="00B228AF">
        <w:rPr>
          <w:rFonts w:asciiTheme="majorBidi" w:hAnsiTheme="majorBidi" w:cstheme="majorBidi"/>
        </w:rPr>
        <w:t xml:space="preserve">Long-term tables on mutual funds are available </w:t>
      </w:r>
      <w:bookmarkStart w:id="0" w:name="_GoBack"/>
      <w:bookmarkEnd w:id="0"/>
      <w:r w:rsidRPr="00B228AF">
        <w:rPr>
          <w:rFonts w:asciiTheme="majorBidi" w:hAnsiTheme="majorBidi" w:cstheme="majorBidi"/>
        </w:rPr>
        <w:t>here.</w:t>
      </w:r>
      <w:r w:rsidR="00BE513C" w:rsidRPr="00B228AF">
        <w:rPr>
          <w:rFonts w:asciiTheme="majorBidi" w:hAnsiTheme="majorBidi" w:cstheme="majorBidi"/>
        </w:rPr>
        <w:t xml:space="preserve"> </w:t>
      </w:r>
    </w:p>
    <w:sectPr w:rsidR="00030E0F" w:rsidRPr="00B228AF" w:rsidSect="009E75D5"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2982A" w14:textId="77777777" w:rsidR="00E60FEA" w:rsidRDefault="00E60FEA">
      <w:r>
        <w:separator/>
      </w:r>
    </w:p>
  </w:endnote>
  <w:endnote w:type="continuationSeparator" w:id="0">
    <w:p w14:paraId="4941FA83" w14:textId="77777777" w:rsidR="00E60FEA" w:rsidRDefault="00E6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EC83F" w14:textId="5A781946" w:rsidR="00FA1969" w:rsidRPr="00FA1969" w:rsidRDefault="00EC4C48" w:rsidP="009440BF">
    <w:pPr>
      <w:bidi w:val="0"/>
      <w:spacing w:line="300" w:lineRule="exact"/>
      <w:rPr>
        <w:sz w:val="20"/>
        <w:szCs w:val="20"/>
        <w:rtl/>
        <w:cs/>
      </w:rPr>
    </w:pPr>
    <w:r>
      <w:rPr>
        <w:sz w:val="20"/>
        <w:szCs w:val="20"/>
      </w:rPr>
      <w:t xml:space="preserve">Bank of Israel – The Public’s Financial Assets Portfolio, </w:t>
    </w:r>
    <w:r w:rsidR="007D22AC">
      <w:rPr>
        <w:sz w:val="20"/>
        <w:szCs w:val="20"/>
      </w:rPr>
      <w:t>Fourth</w:t>
    </w:r>
    <w:r w:rsidR="004D35FB">
      <w:rPr>
        <w:sz w:val="20"/>
        <w:szCs w:val="20"/>
      </w:rPr>
      <w:t xml:space="preserve"> quarter</w:t>
    </w:r>
    <w:r>
      <w:rPr>
        <w:sz w:val="20"/>
        <w:szCs w:val="20"/>
      </w:rPr>
      <w:t xml:space="preserve"> of </w:t>
    </w:r>
    <w:r w:rsidR="00CA5907">
      <w:rPr>
        <w:sz w:val="20"/>
        <w:szCs w:val="20"/>
      </w:rPr>
      <w:t>2025</w:t>
    </w:r>
    <w:r>
      <w:rPr>
        <w:sz w:val="20"/>
        <w:szCs w:val="20"/>
      </w:rPr>
      <w:t>.</w:t>
    </w:r>
    <w:r w:rsidR="00FA1969">
      <w:rPr>
        <w:sz w:val="20"/>
        <w:szCs w:val="20"/>
      </w:rPr>
      <w:tab/>
    </w:r>
    <w:r w:rsidR="00FA1969">
      <w:rPr>
        <w:sz w:val="20"/>
        <w:szCs w:val="20"/>
      </w:rPr>
      <w:tab/>
    </w:r>
    <w:r w:rsidR="00FA1969">
      <w:rPr>
        <w:sz w:val="20"/>
        <w:szCs w:val="20"/>
      </w:rPr>
      <w:tab/>
    </w:r>
    <w:r w:rsidR="00FA1969" w:rsidRPr="00FA1969">
      <w:rPr>
        <w:sz w:val="20"/>
        <w:szCs w:val="20"/>
      </w:rPr>
      <w:t xml:space="preserve"> Page</w:t>
    </w:r>
    <w:r w:rsidR="00FA1969" w:rsidRPr="00FA1969">
      <w:rPr>
        <w:sz w:val="20"/>
        <w:szCs w:val="20"/>
        <w:rtl/>
        <w:cs/>
      </w:rPr>
      <w:t xml:space="preserve"> </w:t>
    </w:r>
    <w:r w:rsidR="00FA1969" w:rsidRPr="00FA1969">
      <w:rPr>
        <w:sz w:val="20"/>
        <w:szCs w:val="20"/>
      </w:rPr>
      <w:fldChar w:fldCharType="begin"/>
    </w:r>
    <w:r w:rsidR="00FA1969" w:rsidRPr="00FA1969">
      <w:rPr>
        <w:sz w:val="20"/>
        <w:szCs w:val="20"/>
        <w:rtl/>
        <w:cs/>
      </w:rPr>
      <w:instrText>PAGE</w:instrText>
    </w:r>
    <w:r w:rsidR="00FA1969" w:rsidRPr="00FA1969">
      <w:rPr>
        <w:sz w:val="20"/>
        <w:szCs w:val="20"/>
      </w:rPr>
      <w:fldChar w:fldCharType="separate"/>
    </w:r>
    <w:r w:rsidR="00BD4A95">
      <w:rPr>
        <w:noProof/>
        <w:sz w:val="20"/>
        <w:szCs w:val="20"/>
      </w:rPr>
      <w:t>5</w:t>
    </w:r>
    <w:r w:rsidR="00FA1969" w:rsidRPr="00FA1969">
      <w:rPr>
        <w:sz w:val="20"/>
        <w:szCs w:val="20"/>
      </w:rPr>
      <w:fldChar w:fldCharType="end"/>
    </w:r>
    <w:r w:rsidR="00FA1969" w:rsidRPr="00FA1969">
      <w:rPr>
        <w:sz w:val="20"/>
        <w:szCs w:val="20"/>
      </w:rPr>
      <w:t xml:space="preserve"> Of</w:t>
    </w:r>
    <w:r w:rsidR="00FA1969" w:rsidRPr="00FA1969">
      <w:rPr>
        <w:sz w:val="20"/>
        <w:szCs w:val="20"/>
        <w:rtl/>
        <w:cs/>
      </w:rPr>
      <w:t xml:space="preserve"> </w:t>
    </w:r>
    <w:r w:rsidR="00FA1969" w:rsidRPr="00FA1969">
      <w:rPr>
        <w:sz w:val="20"/>
        <w:szCs w:val="20"/>
      </w:rPr>
      <w:fldChar w:fldCharType="begin"/>
    </w:r>
    <w:r w:rsidR="00FA1969" w:rsidRPr="00FA1969">
      <w:rPr>
        <w:sz w:val="20"/>
        <w:szCs w:val="20"/>
        <w:rtl/>
        <w:cs/>
      </w:rPr>
      <w:instrText>NUMPAGES</w:instrText>
    </w:r>
    <w:r w:rsidR="00FA1969" w:rsidRPr="00FA1969">
      <w:rPr>
        <w:sz w:val="20"/>
        <w:szCs w:val="20"/>
      </w:rPr>
      <w:fldChar w:fldCharType="separate"/>
    </w:r>
    <w:r w:rsidR="00BD4A95">
      <w:rPr>
        <w:noProof/>
        <w:sz w:val="20"/>
        <w:szCs w:val="20"/>
      </w:rPr>
      <w:t>5</w:t>
    </w:r>
    <w:r w:rsidR="00FA1969" w:rsidRPr="00FA1969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86564" w14:textId="5F6921DD" w:rsidR="00FA1969" w:rsidRPr="00883CEC" w:rsidRDefault="00FA1969" w:rsidP="004D35FB">
    <w:pPr>
      <w:pStyle w:val="regpar"/>
      <w:jc w:val="left"/>
      <w:outlineLvl w:val="0"/>
      <w:rPr>
        <w:sz w:val="20"/>
        <w:szCs w:val="20"/>
        <w:rtl/>
        <w:cs/>
      </w:rPr>
    </w:pPr>
    <w:r>
      <w:rPr>
        <w:sz w:val="20"/>
        <w:szCs w:val="20"/>
      </w:rPr>
      <w:t xml:space="preserve">Bank of Israel </w:t>
    </w:r>
    <w:r w:rsidR="00BB70FB">
      <w:rPr>
        <w:sz w:val="20"/>
        <w:szCs w:val="20"/>
      </w:rPr>
      <w:t>–</w:t>
    </w:r>
    <w:r>
      <w:rPr>
        <w:sz w:val="20"/>
        <w:szCs w:val="20"/>
      </w:rPr>
      <w:t xml:space="preserve"> </w:t>
    </w:r>
    <w:r w:rsidR="00BB70FB">
      <w:rPr>
        <w:sz w:val="20"/>
        <w:szCs w:val="20"/>
      </w:rPr>
      <w:t xml:space="preserve">The </w:t>
    </w:r>
    <w:r w:rsidR="00644071">
      <w:rPr>
        <w:sz w:val="20"/>
        <w:szCs w:val="20"/>
      </w:rPr>
      <w:t>Public</w:t>
    </w:r>
    <w:r w:rsidR="00BB70FB">
      <w:rPr>
        <w:sz w:val="20"/>
        <w:szCs w:val="20"/>
      </w:rPr>
      <w:t>’s</w:t>
    </w:r>
    <w:r w:rsidR="00644071">
      <w:rPr>
        <w:sz w:val="20"/>
        <w:szCs w:val="20"/>
      </w:rPr>
      <w:t xml:space="preserve"> </w:t>
    </w:r>
    <w:r w:rsidR="00BB70FB">
      <w:rPr>
        <w:sz w:val="20"/>
        <w:szCs w:val="20"/>
      </w:rPr>
      <w:t xml:space="preserve">Financial </w:t>
    </w:r>
    <w:r w:rsidR="00644071">
      <w:rPr>
        <w:sz w:val="20"/>
        <w:szCs w:val="20"/>
      </w:rPr>
      <w:t>Asset</w:t>
    </w:r>
    <w:r w:rsidR="00BB70FB">
      <w:rPr>
        <w:sz w:val="20"/>
        <w:szCs w:val="20"/>
      </w:rPr>
      <w:t>s</w:t>
    </w:r>
    <w:r w:rsidR="00644071">
      <w:rPr>
        <w:sz w:val="20"/>
        <w:szCs w:val="20"/>
      </w:rPr>
      <w:t xml:space="preserve"> Portfolio, </w:t>
    </w:r>
    <w:r w:rsidR="007D22AC">
      <w:rPr>
        <w:sz w:val="20"/>
        <w:szCs w:val="20"/>
      </w:rPr>
      <w:t>Fourth</w:t>
    </w:r>
    <w:r w:rsidR="00BF367C">
      <w:rPr>
        <w:sz w:val="20"/>
        <w:szCs w:val="20"/>
      </w:rPr>
      <w:t xml:space="preserve"> </w:t>
    </w:r>
    <w:r w:rsidR="004C343B">
      <w:rPr>
        <w:sz w:val="20"/>
        <w:szCs w:val="20"/>
      </w:rPr>
      <w:t>Q</w:t>
    </w:r>
    <w:r w:rsidR="00BF367C">
      <w:rPr>
        <w:sz w:val="20"/>
        <w:szCs w:val="20"/>
      </w:rPr>
      <w:t xml:space="preserve">uarter </w:t>
    </w:r>
    <w:r w:rsidR="00B228AF">
      <w:rPr>
        <w:sz w:val="20"/>
        <w:szCs w:val="20"/>
      </w:rPr>
      <w:t>of</w:t>
    </w:r>
    <w:r w:rsidR="00644071">
      <w:rPr>
        <w:sz w:val="20"/>
        <w:szCs w:val="20"/>
      </w:rPr>
      <w:t xml:space="preserve"> </w:t>
    </w:r>
    <w:r w:rsidR="00CA5907">
      <w:rPr>
        <w:sz w:val="20"/>
        <w:szCs w:val="20"/>
      </w:rPr>
      <w:t>2025</w:t>
    </w:r>
    <w:r w:rsidR="00BB70FB">
      <w:rPr>
        <w:sz w:val="20"/>
        <w:szCs w:val="20"/>
      </w:rPr>
      <w:t>.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B96022">
      <w:rPr>
        <w:sz w:val="20"/>
        <w:szCs w:val="20"/>
      </w:rPr>
      <w:t>Page</w:t>
    </w:r>
    <w:r w:rsidRPr="00883CEC">
      <w:rPr>
        <w:sz w:val="20"/>
        <w:szCs w:val="20"/>
        <w:rtl/>
        <w:cs/>
      </w:rPr>
      <w:t xml:space="preserve"> </w:t>
    </w:r>
    <w:r w:rsidRPr="00883CEC">
      <w:rPr>
        <w:sz w:val="20"/>
        <w:szCs w:val="20"/>
      </w:rPr>
      <w:fldChar w:fldCharType="begin"/>
    </w:r>
    <w:r w:rsidRPr="00883CEC">
      <w:rPr>
        <w:sz w:val="20"/>
        <w:szCs w:val="20"/>
        <w:rtl/>
        <w:cs/>
      </w:rPr>
      <w:instrText>PAGE</w:instrText>
    </w:r>
    <w:r w:rsidRPr="00883CEC">
      <w:rPr>
        <w:sz w:val="20"/>
        <w:szCs w:val="20"/>
      </w:rPr>
      <w:fldChar w:fldCharType="separate"/>
    </w:r>
    <w:r w:rsidR="00BD4A95">
      <w:rPr>
        <w:noProof/>
        <w:sz w:val="20"/>
        <w:szCs w:val="20"/>
      </w:rPr>
      <w:t>1</w:t>
    </w:r>
    <w:r w:rsidRPr="00883CEC">
      <w:rPr>
        <w:sz w:val="20"/>
        <w:szCs w:val="20"/>
      </w:rPr>
      <w:fldChar w:fldCharType="end"/>
    </w:r>
    <w:r w:rsidRPr="00B96022">
      <w:rPr>
        <w:sz w:val="20"/>
        <w:szCs w:val="20"/>
      </w:rPr>
      <w:t xml:space="preserve"> Of</w:t>
    </w:r>
    <w:r w:rsidRPr="00883CEC">
      <w:rPr>
        <w:sz w:val="20"/>
        <w:szCs w:val="20"/>
        <w:rtl/>
        <w:cs/>
      </w:rPr>
      <w:t xml:space="preserve"> </w:t>
    </w:r>
    <w:r w:rsidRPr="00883CEC">
      <w:rPr>
        <w:sz w:val="20"/>
        <w:szCs w:val="20"/>
      </w:rPr>
      <w:fldChar w:fldCharType="begin"/>
    </w:r>
    <w:r w:rsidRPr="00883CEC">
      <w:rPr>
        <w:sz w:val="20"/>
        <w:szCs w:val="20"/>
        <w:rtl/>
        <w:cs/>
      </w:rPr>
      <w:instrText>NUMPAGES</w:instrText>
    </w:r>
    <w:r w:rsidRPr="00883CEC">
      <w:rPr>
        <w:sz w:val="20"/>
        <w:szCs w:val="20"/>
      </w:rPr>
      <w:fldChar w:fldCharType="separate"/>
    </w:r>
    <w:r w:rsidR="00BD4A95">
      <w:rPr>
        <w:noProof/>
        <w:sz w:val="20"/>
        <w:szCs w:val="20"/>
      </w:rPr>
      <w:t>5</w:t>
    </w:r>
    <w:r w:rsidRPr="00883CEC">
      <w:rPr>
        <w:sz w:val="20"/>
        <w:szCs w:val="20"/>
      </w:rPr>
      <w:fldChar w:fldCharType="end"/>
    </w:r>
  </w:p>
  <w:p w14:paraId="1706978B" w14:textId="77777777" w:rsidR="00527385" w:rsidRPr="00FA1969" w:rsidRDefault="00527385" w:rsidP="00FA1969">
    <w:pPr>
      <w:pStyle w:val="a4"/>
      <w:rPr>
        <w:rtl/>
        <w:lang w:bidi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132CA" w14:textId="77777777" w:rsidR="00E60FEA" w:rsidRDefault="00E60FEA">
      <w:r>
        <w:separator/>
      </w:r>
    </w:p>
  </w:footnote>
  <w:footnote w:type="continuationSeparator" w:id="0">
    <w:p w14:paraId="5F1F6B6A" w14:textId="77777777" w:rsidR="00E60FEA" w:rsidRDefault="00E60FEA">
      <w:r>
        <w:continuationSeparator/>
      </w:r>
    </w:p>
  </w:footnote>
  <w:footnote w:id="1">
    <w:p w14:paraId="28D7B6E0" w14:textId="77777777" w:rsidR="00DF0119" w:rsidRDefault="00DF0119" w:rsidP="00DF0119">
      <w:pPr>
        <w:pStyle w:val="a7"/>
        <w:bidi w:val="0"/>
      </w:pPr>
      <w:r>
        <w:rPr>
          <w:rStyle w:val="a8"/>
        </w:rPr>
        <w:footnoteRef/>
      </w:r>
      <w:r>
        <w:t xml:space="preserve"> Excluding mutual funds.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650F0" w14:textId="77777777" w:rsidR="009E75D5" w:rsidRDefault="009E75D5" w:rsidP="009E75D5">
    <w:pPr>
      <w:bidi w:val="0"/>
      <w:jc w:val="center"/>
    </w:pPr>
    <w:r>
      <w:rPr>
        <w:noProof/>
        <w:rtl/>
      </w:rPr>
      <w:drawing>
        <wp:anchor distT="0" distB="0" distL="114300" distR="114300" simplePos="0" relativeHeight="251659264" behindDoc="0" locked="0" layoutInCell="1" allowOverlap="1" wp14:anchorId="4C8D6A98" wp14:editId="683F20A8">
          <wp:simplePos x="0" y="0"/>
          <wp:positionH relativeFrom="margin">
            <wp:posOffset>-443230</wp:posOffset>
          </wp:positionH>
          <wp:positionV relativeFrom="paragraph">
            <wp:posOffset>-76883</wp:posOffset>
          </wp:positionV>
          <wp:extent cx="7082155" cy="671831"/>
          <wp:effectExtent l="0" t="0" r="4445" b="0"/>
          <wp:wrapNone/>
          <wp:docPr id="4" name="תמונה 4" descr="BOI Header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I Header A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2155" cy="671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7BF842" w14:textId="77777777" w:rsidR="009E75D5" w:rsidRPr="00E8008F" w:rsidRDefault="009E75D5" w:rsidP="009E75D5">
    <w:pPr>
      <w:bidi w:val="0"/>
      <w:jc w:val="center"/>
      <w:rPr>
        <w:rtl/>
      </w:rPr>
    </w:pPr>
  </w:p>
  <w:p w14:paraId="16EFB334" w14:textId="77777777" w:rsidR="009E75D5" w:rsidRDefault="009E75D5" w:rsidP="009E75D5">
    <w:pPr>
      <w:pStyle w:val="LetterheadBOI"/>
    </w:pPr>
  </w:p>
  <w:p w14:paraId="04BA805A" w14:textId="77777777" w:rsidR="009E75D5" w:rsidRDefault="009E75D5" w:rsidP="009E75D5">
    <w:pPr>
      <w:pStyle w:val="LetterheadBOI"/>
    </w:pPr>
  </w:p>
  <w:p w14:paraId="01DAA17D" w14:textId="77777777" w:rsidR="009E75D5" w:rsidRDefault="009E75D5" w:rsidP="009E75D5">
    <w:pPr>
      <w:pStyle w:val="LetterheadBOI"/>
    </w:pPr>
  </w:p>
  <w:p w14:paraId="3B71F301" w14:textId="77777777" w:rsidR="009E75D5" w:rsidRPr="007055DF" w:rsidRDefault="009E75D5" w:rsidP="009E75D5">
    <w:pPr>
      <w:pStyle w:val="LetterheadBOI"/>
    </w:pPr>
    <w:r w:rsidRPr="007055DF">
      <w:t>BANK OF ISRAEL</w:t>
    </w:r>
  </w:p>
  <w:p w14:paraId="00FE8D93" w14:textId="659360BE" w:rsidR="009E75D5" w:rsidRDefault="009E75D5" w:rsidP="009E75D5">
    <w:pPr>
      <w:pStyle w:val="Letterhead2"/>
      <w:rPr>
        <w:rtl/>
      </w:rPr>
    </w:pPr>
    <w:r w:rsidRPr="007055DF">
      <w:t>Office of the Spokesperson and Economic Information</w:t>
    </w:r>
  </w:p>
  <w:p w14:paraId="61F34405" w14:textId="77777777" w:rsidR="009E75D5" w:rsidRPr="009E75D5" w:rsidRDefault="009E75D5" w:rsidP="009E75D5">
    <w:pPr>
      <w:pStyle w:val="Letterhead2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0D1B"/>
    <w:multiLevelType w:val="hybridMultilevel"/>
    <w:tmpl w:val="CFEAE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90A0C"/>
    <w:multiLevelType w:val="hybridMultilevel"/>
    <w:tmpl w:val="1C124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976DF"/>
    <w:multiLevelType w:val="hybridMultilevel"/>
    <w:tmpl w:val="2A148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FF2751"/>
    <w:multiLevelType w:val="hybridMultilevel"/>
    <w:tmpl w:val="0DEEE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803CB"/>
    <w:multiLevelType w:val="hybridMultilevel"/>
    <w:tmpl w:val="4A9A770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6605F3"/>
    <w:multiLevelType w:val="hybridMultilevel"/>
    <w:tmpl w:val="B30C4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94805"/>
    <w:multiLevelType w:val="hybridMultilevel"/>
    <w:tmpl w:val="A8BC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A3B03"/>
    <w:multiLevelType w:val="multilevel"/>
    <w:tmpl w:val="A4E44050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61592"/>
    <w:multiLevelType w:val="hybridMultilevel"/>
    <w:tmpl w:val="47BEB7D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745DF"/>
    <w:multiLevelType w:val="hybridMultilevel"/>
    <w:tmpl w:val="6018DF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27C0C"/>
    <w:multiLevelType w:val="hybridMultilevel"/>
    <w:tmpl w:val="5B88046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7A46D6"/>
    <w:multiLevelType w:val="hybridMultilevel"/>
    <w:tmpl w:val="75F83FFC"/>
    <w:lvl w:ilvl="0" w:tplc="DB888D32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40138"/>
    <w:multiLevelType w:val="hybridMultilevel"/>
    <w:tmpl w:val="8FE6CDB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427E5E"/>
    <w:multiLevelType w:val="hybridMultilevel"/>
    <w:tmpl w:val="B40844E8"/>
    <w:lvl w:ilvl="0" w:tplc="82020CE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A3A5F80"/>
    <w:multiLevelType w:val="hybridMultilevel"/>
    <w:tmpl w:val="1E8C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A0AB1"/>
    <w:multiLevelType w:val="hybridMultilevel"/>
    <w:tmpl w:val="0B4A8B5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495A6B"/>
    <w:multiLevelType w:val="hybridMultilevel"/>
    <w:tmpl w:val="5F8CFB4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721EA"/>
    <w:multiLevelType w:val="hybridMultilevel"/>
    <w:tmpl w:val="A4E44050"/>
    <w:lvl w:ilvl="0" w:tplc="4B12868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34EF0"/>
    <w:multiLevelType w:val="hybridMultilevel"/>
    <w:tmpl w:val="15442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067F0E"/>
    <w:multiLevelType w:val="hybridMultilevel"/>
    <w:tmpl w:val="3B941A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969B0"/>
    <w:multiLevelType w:val="hybridMultilevel"/>
    <w:tmpl w:val="331E9492"/>
    <w:lvl w:ilvl="0" w:tplc="C45ED432">
      <w:start w:val="1"/>
      <w:numFmt w:val="decimal"/>
      <w:lvlText w:val="%1."/>
      <w:lvlJc w:val="left"/>
      <w:pPr>
        <w:tabs>
          <w:tab w:val="num" w:pos="3120"/>
        </w:tabs>
        <w:ind w:left="3120" w:hanging="27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E37DDA"/>
    <w:multiLevelType w:val="multilevel"/>
    <w:tmpl w:val="E758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B5E70"/>
    <w:multiLevelType w:val="hybridMultilevel"/>
    <w:tmpl w:val="182003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450E37"/>
    <w:multiLevelType w:val="hybridMultilevel"/>
    <w:tmpl w:val="162E62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F6054"/>
    <w:multiLevelType w:val="hybridMultilevel"/>
    <w:tmpl w:val="9CB69E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4"/>
  </w:num>
  <w:num w:numId="4">
    <w:abstractNumId w:val="12"/>
  </w:num>
  <w:num w:numId="5">
    <w:abstractNumId w:val="22"/>
  </w:num>
  <w:num w:numId="6">
    <w:abstractNumId w:val="11"/>
  </w:num>
  <w:num w:numId="7">
    <w:abstractNumId w:val="19"/>
  </w:num>
  <w:num w:numId="8">
    <w:abstractNumId w:val="13"/>
  </w:num>
  <w:num w:numId="9">
    <w:abstractNumId w:val="0"/>
  </w:num>
  <w:num w:numId="10">
    <w:abstractNumId w:val="21"/>
  </w:num>
  <w:num w:numId="11">
    <w:abstractNumId w:val="23"/>
  </w:num>
  <w:num w:numId="12">
    <w:abstractNumId w:val="24"/>
  </w:num>
  <w:num w:numId="13">
    <w:abstractNumId w:val="9"/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7"/>
  </w:num>
  <w:num w:numId="17">
    <w:abstractNumId w:val="10"/>
  </w:num>
  <w:num w:numId="18">
    <w:abstractNumId w:val="8"/>
  </w:num>
  <w:num w:numId="19">
    <w:abstractNumId w:val="16"/>
  </w:num>
  <w:num w:numId="20">
    <w:abstractNumId w:val="14"/>
  </w:num>
  <w:num w:numId="21">
    <w:abstractNumId w:val="1"/>
  </w:num>
  <w:num w:numId="22">
    <w:abstractNumId w:val="6"/>
  </w:num>
  <w:num w:numId="23">
    <w:abstractNumId w:val="3"/>
  </w:num>
  <w:num w:numId="24">
    <w:abstractNumId w:val="5"/>
  </w:num>
  <w:num w:numId="25">
    <w:abstractNumId w:val="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53"/>
    <w:rsid w:val="00001639"/>
    <w:rsid w:val="00002378"/>
    <w:rsid w:val="000029D9"/>
    <w:rsid w:val="00004DEE"/>
    <w:rsid w:val="00005B0D"/>
    <w:rsid w:val="00005F13"/>
    <w:rsid w:val="00007023"/>
    <w:rsid w:val="00007712"/>
    <w:rsid w:val="00007ABC"/>
    <w:rsid w:val="00007CFD"/>
    <w:rsid w:val="00010E5B"/>
    <w:rsid w:val="00010E6D"/>
    <w:rsid w:val="00011480"/>
    <w:rsid w:val="0001230C"/>
    <w:rsid w:val="00012BEC"/>
    <w:rsid w:val="000130F6"/>
    <w:rsid w:val="000131ED"/>
    <w:rsid w:val="0001349E"/>
    <w:rsid w:val="00014CF7"/>
    <w:rsid w:val="00015F2B"/>
    <w:rsid w:val="00015FB5"/>
    <w:rsid w:val="0001611E"/>
    <w:rsid w:val="00016AAE"/>
    <w:rsid w:val="0001714A"/>
    <w:rsid w:val="0001757B"/>
    <w:rsid w:val="00021226"/>
    <w:rsid w:val="00021906"/>
    <w:rsid w:val="00021A26"/>
    <w:rsid w:val="00022CED"/>
    <w:rsid w:val="00023598"/>
    <w:rsid w:val="0002460E"/>
    <w:rsid w:val="0002558A"/>
    <w:rsid w:val="00025A61"/>
    <w:rsid w:val="00026495"/>
    <w:rsid w:val="00026948"/>
    <w:rsid w:val="00027156"/>
    <w:rsid w:val="000303AD"/>
    <w:rsid w:val="00030937"/>
    <w:rsid w:val="00030C47"/>
    <w:rsid w:val="00030E0F"/>
    <w:rsid w:val="00031A70"/>
    <w:rsid w:val="00032B80"/>
    <w:rsid w:val="00034BDA"/>
    <w:rsid w:val="00037EA5"/>
    <w:rsid w:val="00040161"/>
    <w:rsid w:val="00040334"/>
    <w:rsid w:val="00042656"/>
    <w:rsid w:val="00042EBE"/>
    <w:rsid w:val="0004373E"/>
    <w:rsid w:val="00044203"/>
    <w:rsid w:val="000451FC"/>
    <w:rsid w:val="0004599E"/>
    <w:rsid w:val="00046071"/>
    <w:rsid w:val="00046636"/>
    <w:rsid w:val="00046B0A"/>
    <w:rsid w:val="00046FFC"/>
    <w:rsid w:val="000515C2"/>
    <w:rsid w:val="000534FA"/>
    <w:rsid w:val="00055574"/>
    <w:rsid w:val="000555D2"/>
    <w:rsid w:val="000568B1"/>
    <w:rsid w:val="00056985"/>
    <w:rsid w:val="00056FD7"/>
    <w:rsid w:val="00060F3C"/>
    <w:rsid w:val="00061279"/>
    <w:rsid w:val="0006161F"/>
    <w:rsid w:val="00061E54"/>
    <w:rsid w:val="00062BC0"/>
    <w:rsid w:val="00064B14"/>
    <w:rsid w:val="00064B4F"/>
    <w:rsid w:val="00064CB3"/>
    <w:rsid w:val="00065A05"/>
    <w:rsid w:val="00066BE2"/>
    <w:rsid w:val="0006727C"/>
    <w:rsid w:val="00071569"/>
    <w:rsid w:val="00071706"/>
    <w:rsid w:val="00072650"/>
    <w:rsid w:val="00072BC5"/>
    <w:rsid w:val="000730F5"/>
    <w:rsid w:val="000733F6"/>
    <w:rsid w:val="00073536"/>
    <w:rsid w:val="00073A52"/>
    <w:rsid w:val="000742EC"/>
    <w:rsid w:val="00074A88"/>
    <w:rsid w:val="000750AA"/>
    <w:rsid w:val="000755B1"/>
    <w:rsid w:val="00075628"/>
    <w:rsid w:val="0007598C"/>
    <w:rsid w:val="00076E8B"/>
    <w:rsid w:val="000770C2"/>
    <w:rsid w:val="00077374"/>
    <w:rsid w:val="00077422"/>
    <w:rsid w:val="0007769E"/>
    <w:rsid w:val="000778F6"/>
    <w:rsid w:val="00077ABB"/>
    <w:rsid w:val="00077D45"/>
    <w:rsid w:val="00080272"/>
    <w:rsid w:val="00080D87"/>
    <w:rsid w:val="00082726"/>
    <w:rsid w:val="000827F1"/>
    <w:rsid w:val="000833A6"/>
    <w:rsid w:val="000836B8"/>
    <w:rsid w:val="00083D7F"/>
    <w:rsid w:val="00083FB0"/>
    <w:rsid w:val="00084032"/>
    <w:rsid w:val="00084081"/>
    <w:rsid w:val="0008433F"/>
    <w:rsid w:val="00084AD9"/>
    <w:rsid w:val="00085E6A"/>
    <w:rsid w:val="00087197"/>
    <w:rsid w:val="00087B82"/>
    <w:rsid w:val="00087F9E"/>
    <w:rsid w:val="00090B9D"/>
    <w:rsid w:val="00090F04"/>
    <w:rsid w:val="000913E8"/>
    <w:rsid w:val="00096B23"/>
    <w:rsid w:val="00096BCA"/>
    <w:rsid w:val="00097762"/>
    <w:rsid w:val="000979C4"/>
    <w:rsid w:val="000A0574"/>
    <w:rsid w:val="000A05C1"/>
    <w:rsid w:val="000A09BF"/>
    <w:rsid w:val="000A0B1D"/>
    <w:rsid w:val="000A0DC3"/>
    <w:rsid w:val="000A28FD"/>
    <w:rsid w:val="000A2FAD"/>
    <w:rsid w:val="000A5131"/>
    <w:rsid w:val="000A5497"/>
    <w:rsid w:val="000A5596"/>
    <w:rsid w:val="000A616C"/>
    <w:rsid w:val="000A6565"/>
    <w:rsid w:val="000A794F"/>
    <w:rsid w:val="000A7A78"/>
    <w:rsid w:val="000A7F6F"/>
    <w:rsid w:val="000B19BE"/>
    <w:rsid w:val="000B3856"/>
    <w:rsid w:val="000B38F4"/>
    <w:rsid w:val="000B5559"/>
    <w:rsid w:val="000C000E"/>
    <w:rsid w:val="000C21A7"/>
    <w:rsid w:val="000C2857"/>
    <w:rsid w:val="000D08A7"/>
    <w:rsid w:val="000D1297"/>
    <w:rsid w:val="000D193E"/>
    <w:rsid w:val="000D1D64"/>
    <w:rsid w:val="000D1F69"/>
    <w:rsid w:val="000D1FF2"/>
    <w:rsid w:val="000D283A"/>
    <w:rsid w:val="000D28C8"/>
    <w:rsid w:val="000D2D34"/>
    <w:rsid w:val="000D2F56"/>
    <w:rsid w:val="000D2F8B"/>
    <w:rsid w:val="000D4E1C"/>
    <w:rsid w:val="000D5FCD"/>
    <w:rsid w:val="000D6056"/>
    <w:rsid w:val="000D63F7"/>
    <w:rsid w:val="000D6826"/>
    <w:rsid w:val="000D6F91"/>
    <w:rsid w:val="000E15B9"/>
    <w:rsid w:val="000E1E65"/>
    <w:rsid w:val="000E1EBF"/>
    <w:rsid w:val="000E3BB6"/>
    <w:rsid w:val="000E3F59"/>
    <w:rsid w:val="000F008D"/>
    <w:rsid w:val="000F0704"/>
    <w:rsid w:val="000F09CF"/>
    <w:rsid w:val="000F1279"/>
    <w:rsid w:val="000F3911"/>
    <w:rsid w:val="000F4E29"/>
    <w:rsid w:val="000F5D12"/>
    <w:rsid w:val="000F5E04"/>
    <w:rsid w:val="00100829"/>
    <w:rsid w:val="00100BAC"/>
    <w:rsid w:val="00101E40"/>
    <w:rsid w:val="001028F7"/>
    <w:rsid w:val="001037DF"/>
    <w:rsid w:val="0010395A"/>
    <w:rsid w:val="001041D2"/>
    <w:rsid w:val="0010469E"/>
    <w:rsid w:val="00105992"/>
    <w:rsid w:val="00105A05"/>
    <w:rsid w:val="00106B14"/>
    <w:rsid w:val="00110A0B"/>
    <w:rsid w:val="00110A6B"/>
    <w:rsid w:val="00110F2B"/>
    <w:rsid w:val="00111379"/>
    <w:rsid w:val="00111C23"/>
    <w:rsid w:val="00112DFA"/>
    <w:rsid w:val="00113852"/>
    <w:rsid w:val="00115CB3"/>
    <w:rsid w:val="00116727"/>
    <w:rsid w:val="00116E63"/>
    <w:rsid w:val="00117240"/>
    <w:rsid w:val="00117349"/>
    <w:rsid w:val="00117C88"/>
    <w:rsid w:val="00117EA8"/>
    <w:rsid w:val="001212BC"/>
    <w:rsid w:val="00121863"/>
    <w:rsid w:val="00121AD1"/>
    <w:rsid w:val="001225C6"/>
    <w:rsid w:val="00122677"/>
    <w:rsid w:val="00123403"/>
    <w:rsid w:val="00123F47"/>
    <w:rsid w:val="00123FB2"/>
    <w:rsid w:val="00125BC4"/>
    <w:rsid w:val="00126B0A"/>
    <w:rsid w:val="001277E0"/>
    <w:rsid w:val="00130432"/>
    <w:rsid w:val="00131BF1"/>
    <w:rsid w:val="00131BFB"/>
    <w:rsid w:val="00132090"/>
    <w:rsid w:val="00132AD5"/>
    <w:rsid w:val="001345F3"/>
    <w:rsid w:val="00134B93"/>
    <w:rsid w:val="00134BBB"/>
    <w:rsid w:val="001361FB"/>
    <w:rsid w:val="001368EE"/>
    <w:rsid w:val="00137F23"/>
    <w:rsid w:val="00141D4A"/>
    <w:rsid w:val="00142F66"/>
    <w:rsid w:val="00143081"/>
    <w:rsid w:val="00150DCF"/>
    <w:rsid w:val="00152DB5"/>
    <w:rsid w:val="0015326A"/>
    <w:rsid w:val="00153693"/>
    <w:rsid w:val="00153B8E"/>
    <w:rsid w:val="00153E56"/>
    <w:rsid w:val="00153E5E"/>
    <w:rsid w:val="001559DF"/>
    <w:rsid w:val="00155A7B"/>
    <w:rsid w:val="00155FC7"/>
    <w:rsid w:val="00156076"/>
    <w:rsid w:val="0015643E"/>
    <w:rsid w:val="00156775"/>
    <w:rsid w:val="00157086"/>
    <w:rsid w:val="00160252"/>
    <w:rsid w:val="00160FD3"/>
    <w:rsid w:val="001617F7"/>
    <w:rsid w:val="001621C9"/>
    <w:rsid w:val="00162C08"/>
    <w:rsid w:val="00164265"/>
    <w:rsid w:val="001648C9"/>
    <w:rsid w:val="00164F0B"/>
    <w:rsid w:val="001656BF"/>
    <w:rsid w:val="00166FAD"/>
    <w:rsid w:val="00167663"/>
    <w:rsid w:val="00173CD7"/>
    <w:rsid w:val="0017463C"/>
    <w:rsid w:val="00175845"/>
    <w:rsid w:val="0017625D"/>
    <w:rsid w:val="001777E8"/>
    <w:rsid w:val="00177B46"/>
    <w:rsid w:val="0018084E"/>
    <w:rsid w:val="001809B7"/>
    <w:rsid w:val="00180F85"/>
    <w:rsid w:val="00181CB0"/>
    <w:rsid w:val="0018249C"/>
    <w:rsid w:val="001825F8"/>
    <w:rsid w:val="001829FC"/>
    <w:rsid w:val="00182C7D"/>
    <w:rsid w:val="001849E7"/>
    <w:rsid w:val="001862E3"/>
    <w:rsid w:val="00186591"/>
    <w:rsid w:val="00186701"/>
    <w:rsid w:val="001903DA"/>
    <w:rsid w:val="001904AF"/>
    <w:rsid w:val="00190880"/>
    <w:rsid w:val="00190956"/>
    <w:rsid w:val="00190B50"/>
    <w:rsid w:val="001910E4"/>
    <w:rsid w:val="00192FE0"/>
    <w:rsid w:val="0019307C"/>
    <w:rsid w:val="0019378C"/>
    <w:rsid w:val="00193AC4"/>
    <w:rsid w:val="0019572A"/>
    <w:rsid w:val="00195C3E"/>
    <w:rsid w:val="00195E75"/>
    <w:rsid w:val="00196353"/>
    <w:rsid w:val="00197D9E"/>
    <w:rsid w:val="001A0B4E"/>
    <w:rsid w:val="001A0F65"/>
    <w:rsid w:val="001A1082"/>
    <w:rsid w:val="001A17D0"/>
    <w:rsid w:val="001A1983"/>
    <w:rsid w:val="001A3180"/>
    <w:rsid w:val="001A3A99"/>
    <w:rsid w:val="001A3B35"/>
    <w:rsid w:val="001A3EBE"/>
    <w:rsid w:val="001A5804"/>
    <w:rsid w:val="001A620F"/>
    <w:rsid w:val="001A76C1"/>
    <w:rsid w:val="001B0802"/>
    <w:rsid w:val="001B155A"/>
    <w:rsid w:val="001B275A"/>
    <w:rsid w:val="001B42A1"/>
    <w:rsid w:val="001B4C79"/>
    <w:rsid w:val="001B4FF0"/>
    <w:rsid w:val="001B6F1C"/>
    <w:rsid w:val="001B7792"/>
    <w:rsid w:val="001B7AE4"/>
    <w:rsid w:val="001B7C95"/>
    <w:rsid w:val="001C09C8"/>
    <w:rsid w:val="001C10D5"/>
    <w:rsid w:val="001C13BF"/>
    <w:rsid w:val="001C17FB"/>
    <w:rsid w:val="001C1C22"/>
    <w:rsid w:val="001C2666"/>
    <w:rsid w:val="001C2C91"/>
    <w:rsid w:val="001C3794"/>
    <w:rsid w:val="001C40EE"/>
    <w:rsid w:val="001C4D07"/>
    <w:rsid w:val="001C5AAF"/>
    <w:rsid w:val="001C7BA1"/>
    <w:rsid w:val="001C7F86"/>
    <w:rsid w:val="001D03E7"/>
    <w:rsid w:val="001D2255"/>
    <w:rsid w:val="001D672B"/>
    <w:rsid w:val="001D680D"/>
    <w:rsid w:val="001D72B6"/>
    <w:rsid w:val="001D73FB"/>
    <w:rsid w:val="001D7666"/>
    <w:rsid w:val="001E01B6"/>
    <w:rsid w:val="001E03F4"/>
    <w:rsid w:val="001E0BB4"/>
    <w:rsid w:val="001E1450"/>
    <w:rsid w:val="001E2710"/>
    <w:rsid w:val="001E4860"/>
    <w:rsid w:val="001E6BC1"/>
    <w:rsid w:val="001E6EEE"/>
    <w:rsid w:val="001E74E0"/>
    <w:rsid w:val="001E7841"/>
    <w:rsid w:val="001E78EB"/>
    <w:rsid w:val="001E7E8F"/>
    <w:rsid w:val="001F07D8"/>
    <w:rsid w:val="001F25C6"/>
    <w:rsid w:val="001F2773"/>
    <w:rsid w:val="001F294B"/>
    <w:rsid w:val="001F47EA"/>
    <w:rsid w:val="001F4FC4"/>
    <w:rsid w:val="001F5034"/>
    <w:rsid w:val="001F55BF"/>
    <w:rsid w:val="001F5920"/>
    <w:rsid w:val="00202426"/>
    <w:rsid w:val="00202565"/>
    <w:rsid w:val="002026ED"/>
    <w:rsid w:val="00202B01"/>
    <w:rsid w:val="00202C1F"/>
    <w:rsid w:val="002035D1"/>
    <w:rsid w:val="00203777"/>
    <w:rsid w:val="00203997"/>
    <w:rsid w:val="00203A86"/>
    <w:rsid w:val="00204632"/>
    <w:rsid w:val="00204BED"/>
    <w:rsid w:val="002058CF"/>
    <w:rsid w:val="00205985"/>
    <w:rsid w:val="00206068"/>
    <w:rsid w:val="00206719"/>
    <w:rsid w:val="0020691A"/>
    <w:rsid w:val="002069A1"/>
    <w:rsid w:val="00207390"/>
    <w:rsid w:val="00207524"/>
    <w:rsid w:val="00210190"/>
    <w:rsid w:val="00210A74"/>
    <w:rsid w:val="00211069"/>
    <w:rsid w:val="00211075"/>
    <w:rsid w:val="0021142F"/>
    <w:rsid w:val="0021170F"/>
    <w:rsid w:val="00211E5F"/>
    <w:rsid w:val="00212971"/>
    <w:rsid w:val="002134F9"/>
    <w:rsid w:val="00214F11"/>
    <w:rsid w:val="00215694"/>
    <w:rsid w:val="0021590B"/>
    <w:rsid w:val="00215D14"/>
    <w:rsid w:val="0021612F"/>
    <w:rsid w:val="002165A4"/>
    <w:rsid w:val="00216917"/>
    <w:rsid w:val="002169A7"/>
    <w:rsid w:val="00216BA0"/>
    <w:rsid w:val="00216C54"/>
    <w:rsid w:val="00221532"/>
    <w:rsid w:val="00221663"/>
    <w:rsid w:val="002234B0"/>
    <w:rsid w:val="00223E46"/>
    <w:rsid w:val="00226B34"/>
    <w:rsid w:val="002274B2"/>
    <w:rsid w:val="00227817"/>
    <w:rsid w:val="002279C5"/>
    <w:rsid w:val="002322C4"/>
    <w:rsid w:val="002336E8"/>
    <w:rsid w:val="00233E6F"/>
    <w:rsid w:val="00234629"/>
    <w:rsid w:val="002348A9"/>
    <w:rsid w:val="00236044"/>
    <w:rsid w:val="00240305"/>
    <w:rsid w:val="00240F5E"/>
    <w:rsid w:val="00242EEC"/>
    <w:rsid w:val="00243B18"/>
    <w:rsid w:val="00243D62"/>
    <w:rsid w:val="002446CA"/>
    <w:rsid w:val="00244AA4"/>
    <w:rsid w:val="00244B90"/>
    <w:rsid w:val="00245041"/>
    <w:rsid w:val="00245B79"/>
    <w:rsid w:val="00245C37"/>
    <w:rsid w:val="00245F1B"/>
    <w:rsid w:val="002468D7"/>
    <w:rsid w:val="00247F90"/>
    <w:rsid w:val="00250BA8"/>
    <w:rsid w:val="00251701"/>
    <w:rsid w:val="00251E96"/>
    <w:rsid w:val="0025230A"/>
    <w:rsid w:val="002527B1"/>
    <w:rsid w:val="00253115"/>
    <w:rsid w:val="00254125"/>
    <w:rsid w:val="00254AAB"/>
    <w:rsid w:val="00255454"/>
    <w:rsid w:val="0025558D"/>
    <w:rsid w:val="002559A8"/>
    <w:rsid w:val="00257E01"/>
    <w:rsid w:val="00257E2A"/>
    <w:rsid w:val="00260AB9"/>
    <w:rsid w:val="00260AFC"/>
    <w:rsid w:val="00260FE7"/>
    <w:rsid w:val="00261B22"/>
    <w:rsid w:val="00262435"/>
    <w:rsid w:val="00262464"/>
    <w:rsid w:val="0026287A"/>
    <w:rsid w:val="00262B04"/>
    <w:rsid w:val="002632E1"/>
    <w:rsid w:val="002643E0"/>
    <w:rsid w:val="00264B82"/>
    <w:rsid w:val="00265935"/>
    <w:rsid w:val="00265E31"/>
    <w:rsid w:val="002666F2"/>
    <w:rsid w:val="00267C4D"/>
    <w:rsid w:val="00267E9D"/>
    <w:rsid w:val="00270181"/>
    <w:rsid w:val="0027082F"/>
    <w:rsid w:val="00270C3E"/>
    <w:rsid w:val="00270F3E"/>
    <w:rsid w:val="002720DA"/>
    <w:rsid w:val="00272BD1"/>
    <w:rsid w:val="00272EB6"/>
    <w:rsid w:val="00272F0C"/>
    <w:rsid w:val="002749DD"/>
    <w:rsid w:val="00274DE1"/>
    <w:rsid w:val="002763E8"/>
    <w:rsid w:val="002804F4"/>
    <w:rsid w:val="00280D05"/>
    <w:rsid w:val="00281187"/>
    <w:rsid w:val="00281D1F"/>
    <w:rsid w:val="002825DC"/>
    <w:rsid w:val="002830B3"/>
    <w:rsid w:val="002837E1"/>
    <w:rsid w:val="00283948"/>
    <w:rsid w:val="00284325"/>
    <w:rsid w:val="002854F4"/>
    <w:rsid w:val="00285C6E"/>
    <w:rsid w:val="00285FCB"/>
    <w:rsid w:val="002861D9"/>
    <w:rsid w:val="002862C7"/>
    <w:rsid w:val="00287183"/>
    <w:rsid w:val="0028784B"/>
    <w:rsid w:val="002910A7"/>
    <w:rsid w:val="00291F87"/>
    <w:rsid w:val="00292F62"/>
    <w:rsid w:val="00293A2B"/>
    <w:rsid w:val="002940E9"/>
    <w:rsid w:val="00294ED7"/>
    <w:rsid w:val="002956DF"/>
    <w:rsid w:val="00295E21"/>
    <w:rsid w:val="0029626E"/>
    <w:rsid w:val="0029688D"/>
    <w:rsid w:val="00296C0D"/>
    <w:rsid w:val="002A0A29"/>
    <w:rsid w:val="002A1069"/>
    <w:rsid w:val="002A1F90"/>
    <w:rsid w:val="002A2584"/>
    <w:rsid w:val="002A4A6D"/>
    <w:rsid w:val="002A5618"/>
    <w:rsid w:val="002A6A02"/>
    <w:rsid w:val="002A79DB"/>
    <w:rsid w:val="002A7A79"/>
    <w:rsid w:val="002A7F2D"/>
    <w:rsid w:val="002B03AC"/>
    <w:rsid w:val="002B0735"/>
    <w:rsid w:val="002B0BD0"/>
    <w:rsid w:val="002B0EA2"/>
    <w:rsid w:val="002B111B"/>
    <w:rsid w:val="002B132F"/>
    <w:rsid w:val="002B146C"/>
    <w:rsid w:val="002B1629"/>
    <w:rsid w:val="002B1956"/>
    <w:rsid w:val="002B20B9"/>
    <w:rsid w:val="002B36CA"/>
    <w:rsid w:val="002B41EA"/>
    <w:rsid w:val="002B4397"/>
    <w:rsid w:val="002B4AD7"/>
    <w:rsid w:val="002C1606"/>
    <w:rsid w:val="002C40ED"/>
    <w:rsid w:val="002C4278"/>
    <w:rsid w:val="002C4625"/>
    <w:rsid w:val="002C46ED"/>
    <w:rsid w:val="002C5BC5"/>
    <w:rsid w:val="002C6355"/>
    <w:rsid w:val="002C6588"/>
    <w:rsid w:val="002C6776"/>
    <w:rsid w:val="002C77A3"/>
    <w:rsid w:val="002D0722"/>
    <w:rsid w:val="002D0953"/>
    <w:rsid w:val="002D09EE"/>
    <w:rsid w:val="002D17EE"/>
    <w:rsid w:val="002D1BB3"/>
    <w:rsid w:val="002D1DB1"/>
    <w:rsid w:val="002D21DA"/>
    <w:rsid w:val="002D3AFA"/>
    <w:rsid w:val="002D43A1"/>
    <w:rsid w:val="002D4AF7"/>
    <w:rsid w:val="002D4F52"/>
    <w:rsid w:val="002D670F"/>
    <w:rsid w:val="002D6929"/>
    <w:rsid w:val="002D6B8A"/>
    <w:rsid w:val="002D7028"/>
    <w:rsid w:val="002D746E"/>
    <w:rsid w:val="002E1F22"/>
    <w:rsid w:val="002E269A"/>
    <w:rsid w:val="002E347D"/>
    <w:rsid w:val="002E3A4D"/>
    <w:rsid w:val="002E579F"/>
    <w:rsid w:val="002E5D3E"/>
    <w:rsid w:val="002E63B3"/>
    <w:rsid w:val="002F0FD5"/>
    <w:rsid w:val="002F1A50"/>
    <w:rsid w:val="002F1D64"/>
    <w:rsid w:val="002F348F"/>
    <w:rsid w:val="002F3824"/>
    <w:rsid w:val="002F426A"/>
    <w:rsid w:val="002F456F"/>
    <w:rsid w:val="002F55F2"/>
    <w:rsid w:val="002F57E5"/>
    <w:rsid w:val="002F6063"/>
    <w:rsid w:val="002F660B"/>
    <w:rsid w:val="0030076F"/>
    <w:rsid w:val="0030084A"/>
    <w:rsid w:val="00300932"/>
    <w:rsid w:val="00300B42"/>
    <w:rsid w:val="0030109B"/>
    <w:rsid w:val="003013B7"/>
    <w:rsid w:val="00301495"/>
    <w:rsid w:val="00301814"/>
    <w:rsid w:val="00303BE4"/>
    <w:rsid w:val="00304403"/>
    <w:rsid w:val="00304614"/>
    <w:rsid w:val="00304E14"/>
    <w:rsid w:val="003060EE"/>
    <w:rsid w:val="00306B10"/>
    <w:rsid w:val="00306DD1"/>
    <w:rsid w:val="00307A36"/>
    <w:rsid w:val="0031159F"/>
    <w:rsid w:val="00311BB9"/>
    <w:rsid w:val="0031228A"/>
    <w:rsid w:val="00314470"/>
    <w:rsid w:val="00314A18"/>
    <w:rsid w:val="00314B1E"/>
    <w:rsid w:val="00314CFD"/>
    <w:rsid w:val="0031513A"/>
    <w:rsid w:val="00316F2B"/>
    <w:rsid w:val="0031760F"/>
    <w:rsid w:val="003220F2"/>
    <w:rsid w:val="0032250E"/>
    <w:rsid w:val="003229AF"/>
    <w:rsid w:val="0032497A"/>
    <w:rsid w:val="00327D6F"/>
    <w:rsid w:val="00330595"/>
    <w:rsid w:val="00331310"/>
    <w:rsid w:val="003316A5"/>
    <w:rsid w:val="00331BC4"/>
    <w:rsid w:val="00332036"/>
    <w:rsid w:val="00332140"/>
    <w:rsid w:val="00332339"/>
    <w:rsid w:val="0033260A"/>
    <w:rsid w:val="00332FA1"/>
    <w:rsid w:val="00333D4A"/>
    <w:rsid w:val="00333E56"/>
    <w:rsid w:val="003341B1"/>
    <w:rsid w:val="00334B4B"/>
    <w:rsid w:val="003352A9"/>
    <w:rsid w:val="003362E9"/>
    <w:rsid w:val="003364AD"/>
    <w:rsid w:val="00340064"/>
    <w:rsid w:val="00342578"/>
    <w:rsid w:val="003432BF"/>
    <w:rsid w:val="00343557"/>
    <w:rsid w:val="00343B20"/>
    <w:rsid w:val="003464F1"/>
    <w:rsid w:val="003472F7"/>
    <w:rsid w:val="00347A26"/>
    <w:rsid w:val="00347D8B"/>
    <w:rsid w:val="00347DED"/>
    <w:rsid w:val="00347E88"/>
    <w:rsid w:val="0035064D"/>
    <w:rsid w:val="0035079C"/>
    <w:rsid w:val="00350A32"/>
    <w:rsid w:val="00350CB8"/>
    <w:rsid w:val="0035213F"/>
    <w:rsid w:val="00352B3C"/>
    <w:rsid w:val="00355784"/>
    <w:rsid w:val="00355822"/>
    <w:rsid w:val="0035617A"/>
    <w:rsid w:val="00356331"/>
    <w:rsid w:val="003564F1"/>
    <w:rsid w:val="003568DF"/>
    <w:rsid w:val="0036192B"/>
    <w:rsid w:val="003619A6"/>
    <w:rsid w:val="003619D5"/>
    <w:rsid w:val="00364581"/>
    <w:rsid w:val="00364A9A"/>
    <w:rsid w:val="00365255"/>
    <w:rsid w:val="00365CCC"/>
    <w:rsid w:val="00367017"/>
    <w:rsid w:val="00370133"/>
    <w:rsid w:val="0037140F"/>
    <w:rsid w:val="00372C60"/>
    <w:rsid w:val="00372D42"/>
    <w:rsid w:val="00380CE9"/>
    <w:rsid w:val="0038136B"/>
    <w:rsid w:val="003814BD"/>
    <w:rsid w:val="00382839"/>
    <w:rsid w:val="00383726"/>
    <w:rsid w:val="0038374A"/>
    <w:rsid w:val="0038469B"/>
    <w:rsid w:val="00384AF4"/>
    <w:rsid w:val="00384D46"/>
    <w:rsid w:val="003866F0"/>
    <w:rsid w:val="0038756A"/>
    <w:rsid w:val="00390134"/>
    <w:rsid w:val="0039069F"/>
    <w:rsid w:val="00391815"/>
    <w:rsid w:val="0039305B"/>
    <w:rsid w:val="00393091"/>
    <w:rsid w:val="00394B7C"/>
    <w:rsid w:val="00395476"/>
    <w:rsid w:val="003966E0"/>
    <w:rsid w:val="00396A86"/>
    <w:rsid w:val="00396F9B"/>
    <w:rsid w:val="003A171E"/>
    <w:rsid w:val="003A1B2E"/>
    <w:rsid w:val="003A292D"/>
    <w:rsid w:val="003A2D09"/>
    <w:rsid w:val="003A2F59"/>
    <w:rsid w:val="003A336D"/>
    <w:rsid w:val="003A3AB2"/>
    <w:rsid w:val="003A3E05"/>
    <w:rsid w:val="003A4A56"/>
    <w:rsid w:val="003A4CC3"/>
    <w:rsid w:val="003A5AE4"/>
    <w:rsid w:val="003A5B8D"/>
    <w:rsid w:val="003A613B"/>
    <w:rsid w:val="003A6D75"/>
    <w:rsid w:val="003A7404"/>
    <w:rsid w:val="003B1261"/>
    <w:rsid w:val="003B1FA5"/>
    <w:rsid w:val="003B2166"/>
    <w:rsid w:val="003B3509"/>
    <w:rsid w:val="003B3F9A"/>
    <w:rsid w:val="003B4B09"/>
    <w:rsid w:val="003B545B"/>
    <w:rsid w:val="003B5666"/>
    <w:rsid w:val="003B693D"/>
    <w:rsid w:val="003B6B7E"/>
    <w:rsid w:val="003B7065"/>
    <w:rsid w:val="003C0136"/>
    <w:rsid w:val="003C2229"/>
    <w:rsid w:val="003C2952"/>
    <w:rsid w:val="003C2F9D"/>
    <w:rsid w:val="003C3E71"/>
    <w:rsid w:val="003C4BEC"/>
    <w:rsid w:val="003D008A"/>
    <w:rsid w:val="003D03CF"/>
    <w:rsid w:val="003D14D9"/>
    <w:rsid w:val="003D2DB4"/>
    <w:rsid w:val="003D2F2A"/>
    <w:rsid w:val="003D31DD"/>
    <w:rsid w:val="003D3B74"/>
    <w:rsid w:val="003D4469"/>
    <w:rsid w:val="003D4FC6"/>
    <w:rsid w:val="003D5519"/>
    <w:rsid w:val="003D5846"/>
    <w:rsid w:val="003D677F"/>
    <w:rsid w:val="003D6D53"/>
    <w:rsid w:val="003D7C1F"/>
    <w:rsid w:val="003D7F26"/>
    <w:rsid w:val="003E017C"/>
    <w:rsid w:val="003E02FC"/>
    <w:rsid w:val="003E0FF4"/>
    <w:rsid w:val="003E103A"/>
    <w:rsid w:val="003E2295"/>
    <w:rsid w:val="003E25CB"/>
    <w:rsid w:val="003E3084"/>
    <w:rsid w:val="003E32B0"/>
    <w:rsid w:val="003E56C0"/>
    <w:rsid w:val="003E5F37"/>
    <w:rsid w:val="003E613D"/>
    <w:rsid w:val="003E6527"/>
    <w:rsid w:val="003E656B"/>
    <w:rsid w:val="003E71DE"/>
    <w:rsid w:val="003E77F7"/>
    <w:rsid w:val="003F1446"/>
    <w:rsid w:val="003F1BB8"/>
    <w:rsid w:val="003F1DF8"/>
    <w:rsid w:val="003F3161"/>
    <w:rsid w:val="003F457B"/>
    <w:rsid w:val="003F5389"/>
    <w:rsid w:val="003F56A0"/>
    <w:rsid w:val="003F58C6"/>
    <w:rsid w:val="003F6B6D"/>
    <w:rsid w:val="003F718B"/>
    <w:rsid w:val="004001F6"/>
    <w:rsid w:val="004004B8"/>
    <w:rsid w:val="004012F0"/>
    <w:rsid w:val="0040273E"/>
    <w:rsid w:val="004027A7"/>
    <w:rsid w:val="004048D0"/>
    <w:rsid w:val="00404E58"/>
    <w:rsid w:val="00405DAB"/>
    <w:rsid w:val="00406531"/>
    <w:rsid w:val="00406BA6"/>
    <w:rsid w:val="00407B1E"/>
    <w:rsid w:val="00410D14"/>
    <w:rsid w:val="004110C5"/>
    <w:rsid w:val="004121F0"/>
    <w:rsid w:val="00413395"/>
    <w:rsid w:val="004144FD"/>
    <w:rsid w:val="00414638"/>
    <w:rsid w:val="00415701"/>
    <w:rsid w:val="004179FC"/>
    <w:rsid w:val="00417F90"/>
    <w:rsid w:val="00420603"/>
    <w:rsid w:val="00420BC3"/>
    <w:rsid w:val="00422354"/>
    <w:rsid w:val="00423C29"/>
    <w:rsid w:val="00426567"/>
    <w:rsid w:val="00427B96"/>
    <w:rsid w:val="00427E1D"/>
    <w:rsid w:val="00432340"/>
    <w:rsid w:val="0043361B"/>
    <w:rsid w:val="00435548"/>
    <w:rsid w:val="004355BE"/>
    <w:rsid w:val="00436A27"/>
    <w:rsid w:val="0044010B"/>
    <w:rsid w:val="00441550"/>
    <w:rsid w:val="00441CC4"/>
    <w:rsid w:val="00442B1C"/>
    <w:rsid w:val="00442D5A"/>
    <w:rsid w:val="004432EF"/>
    <w:rsid w:val="00443AE1"/>
    <w:rsid w:val="00445287"/>
    <w:rsid w:val="004473DA"/>
    <w:rsid w:val="004477AF"/>
    <w:rsid w:val="00447D06"/>
    <w:rsid w:val="00447E57"/>
    <w:rsid w:val="00450271"/>
    <w:rsid w:val="0045049D"/>
    <w:rsid w:val="00450B95"/>
    <w:rsid w:val="00450D5F"/>
    <w:rsid w:val="00451008"/>
    <w:rsid w:val="00451598"/>
    <w:rsid w:val="00452759"/>
    <w:rsid w:val="00452EFF"/>
    <w:rsid w:val="004548B3"/>
    <w:rsid w:val="00454A9D"/>
    <w:rsid w:val="00455E2B"/>
    <w:rsid w:val="00456ADF"/>
    <w:rsid w:val="0045793A"/>
    <w:rsid w:val="00461247"/>
    <w:rsid w:val="004614B4"/>
    <w:rsid w:val="00463E31"/>
    <w:rsid w:val="0046505D"/>
    <w:rsid w:val="00465820"/>
    <w:rsid w:val="00465B91"/>
    <w:rsid w:val="00465C25"/>
    <w:rsid w:val="00465C9F"/>
    <w:rsid w:val="00466098"/>
    <w:rsid w:val="00466D57"/>
    <w:rsid w:val="00467EA1"/>
    <w:rsid w:val="004723F7"/>
    <w:rsid w:val="00473A15"/>
    <w:rsid w:val="0047420A"/>
    <w:rsid w:val="0047470A"/>
    <w:rsid w:val="0047471D"/>
    <w:rsid w:val="004750F0"/>
    <w:rsid w:val="00475E93"/>
    <w:rsid w:val="004769B0"/>
    <w:rsid w:val="00476B88"/>
    <w:rsid w:val="00476D5E"/>
    <w:rsid w:val="0048255E"/>
    <w:rsid w:val="004828F9"/>
    <w:rsid w:val="00484071"/>
    <w:rsid w:val="00484250"/>
    <w:rsid w:val="00484C72"/>
    <w:rsid w:val="00487311"/>
    <w:rsid w:val="0048738A"/>
    <w:rsid w:val="0048761D"/>
    <w:rsid w:val="004877C1"/>
    <w:rsid w:val="00487B02"/>
    <w:rsid w:val="004900B1"/>
    <w:rsid w:val="004905B5"/>
    <w:rsid w:val="0049064A"/>
    <w:rsid w:val="00490B94"/>
    <w:rsid w:val="0049133F"/>
    <w:rsid w:val="004917A5"/>
    <w:rsid w:val="0049194E"/>
    <w:rsid w:val="00496384"/>
    <w:rsid w:val="0049671C"/>
    <w:rsid w:val="00496808"/>
    <w:rsid w:val="004968D4"/>
    <w:rsid w:val="00497370"/>
    <w:rsid w:val="004A034A"/>
    <w:rsid w:val="004A1436"/>
    <w:rsid w:val="004A24ED"/>
    <w:rsid w:val="004A28DA"/>
    <w:rsid w:val="004A2AF4"/>
    <w:rsid w:val="004A2CFC"/>
    <w:rsid w:val="004A36D0"/>
    <w:rsid w:val="004A3FEE"/>
    <w:rsid w:val="004A407B"/>
    <w:rsid w:val="004A4FEC"/>
    <w:rsid w:val="004A582B"/>
    <w:rsid w:val="004A603B"/>
    <w:rsid w:val="004A6864"/>
    <w:rsid w:val="004A700F"/>
    <w:rsid w:val="004A7A18"/>
    <w:rsid w:val="004B0A46"/>
    <w:rsid w:val="004B0B9B"/>
    <w:rsid w:val="004B1208"/>
    <w:rsid w:val="004B1404"/>
    <w:rsid w:val="004B1FF8"/>
    <w:rsid w:val="004B2494"/>
    <w:rsid w:val="004B27F2"/>
    <w:rsid w:val="004B2B27"/>
    <w:rsid w:val="004B2C68"/>
    <w:rsid w:val="004B2D26"/>
    <w:rsid w:val="004B301C"/>
    <w:rsid w:val="004B4733"/>
    <w:rsid w:val="004B4F42"/>
    <w:rsid w:val="004B500B"/>
    <w:rsid w:val="004B6368"/>
    <w:rsid w:val="004B7D72"/>
    <w:rsid w:val="004B7E92"/>
    <w:rsid w:val="004C05B2"/>
    <w:rsid w:val="004C0CE7"/>
    <w:rsid w:val="004C25E5"/>
    <w:rsid w:val="004C343B"/>
    <w:rsid w:val="004C41AF"/>
    <w:rsid w:val="004C459F"/>
    <w:rsid w:val="004C5D57"/>
    <w:rsid w:val="004C610B"/>
    <w:rsid w:val="004C62AF"/>
    <w:rsid w:val="004C644A"/>
    <w:rsid w:val="004C6845"/>
    <w:rsid w:val="004C6B47"/>
    <w:rsid w:val="004C7181"/>
    <w:rsid w:val="004C7879"/>
    <w:rsid w:val="004C7F25"/>
    <w:rsid w:val="004D0393"/>
    <w:rsid w:val="004D074E"/>
    <w:rsid w:val="004D20FF"/>
    <w:rsid w:val="004D2C0E"/>
    <w:rsid w:val="004D2F40"/>
    <w:rsid w:val="004D35FB"/>
    <w:rsid w:val="004D3901"/>
    <w:rsid w:val="004D446A"/>
    <w:rsid w:val="004D53F8"/>
    <w:rsid w:val="004D6523"/>
    <w:rsid w:val="004D700B"/>
    <w:rsid w:val="004D7118"/>
    <w:rsid w:val="004D7DFB"/>
    <w:rsid w:val="004E2907"/>
    <w:rsid w:val="004E3447"/>
    <w:rsid w:val="004E37A4"/>
    <w:rsid w:val="004E4419"/>
    <w:rsid w:val="004E5A18"/>
    <w:rsid w:val="004F1539"/>
    <w:rsid w:val="004F1F78"/>
    <w:rsid w:val="004F26C6"/>
    <w:rsid w:val="004F34CD"/>
    <w:rsid w:val="004F472B"/>
    <w:rsid w:val="004F5256"/>
    <w:rsid w:val="004F6146"/>
    <w:rsid w:val="004F6F2D"/>
    <w:rsid w:val="004F7FFD"/>
    <w:rsid w:val="0050004E"/>
    <w:rsid w:val="00500E54"/>
    <w:rsid w:val="005011FE"/>
    <w:rsid w:val="00502BC8"/>
    <w:rsid w:val="00502DFD"/>
    <w:rsid w:val="005034F5"/>
    <w:rsid w:val="0050420E"/>
    <w:rsid w:val="0050429F"/>
    <w:rsid w:val="00504C4B"/>
    <w:rsid w:val="00505128"/>
    <w:rsid w:val="00505893"/>
    <w:rsid w:val="0050623C"/>
    <w:rsid w:val="00506636"/>
    <w:rsid w:val="0050748D"/>
    <w:rsid w:val="00510000"/>
    <w:rsid w:val="0051030E"/>
    <w:rsid w:val="00510728"/>
    <w:rsid w:val="00511523"/>
    <w:rsid w:val="00511CFF"/>
    <w:rsid w:val="0051226E"/>
    <w:rsid w:val="005125D4"/>
    <w:rsid w:val="00512D49"/>
    <w:rsid w:val="00513C6B"/>
    <w:rsid w:val="00514DD8"/>
    <w:rsid w:val="00515115"/>
    <w:rsid w:val="00515118"/>
    <w:rsid w:val="00515342"/>
    <w:rsid w:val="0051650E"/>
    <w:rsid w:val="0051690D"/>
    <w:rsid w:val="00516F34"/>
    <w:rsid w:val="00517377"/>
    <w:rsid w:val="00517389"/>
    <w:rsid w:val="0051741F"/>
    <w:rsid w:val="005175F3"/>
    <w:rsid w:val="00517971"/>
    <w:rsid w:val="00517B78"/>
    <w:rsid w:val="00517D39"/>
    <w:rsid w:val="00517E67"/>
    <w:rsid w:val="00517F66"/>
    <w:rsid w:val="00520686"/>
    <w:rsid w:val="005218E7"/>
    <w:rsid w:val="00522134"/>
    <w:rsid w:val="005226D3"/>
    <w:rsid w:val="005229FB"/>
    <w:rsid w:val="00522B01"/>
    <w:rsid w:val="0052314F"/>
    <w:rsid w:val="00523846"/>
    <w:rsid w:val="005243CF"/>
    <w:rsid w:val="00524C45"/>
    <w:rsid w:val="0052524C"/>
    <w:rsid w:val="0052690C"/>
    <w:rsid w:val="00526DCA"/>
    <w:rsid w:val="00527385"/>
    <w:rsid w:val="0053056A"/>
    <w:rsid w:val="00530D53"/>
    <w:rsid w:val="00531E72"/>
    <w:rsid w:val="00531E88"/>
    <w:rsid w:val="0053230B"/>
    <w:rsid w:val="00532518"/>
    <w:rsid w:val="00532F90"/>
    <w:rsid w:val="0053439A"/>
    <w:rsid w:val="00535119"/>
    <w:rsid w:val="0053542D"/>
    <w:rsid w:val="00536471"/>
    <w:rsid w:val="00536959"/>
    <w:rsid w:val="00536C99"/>
    <w:rsid w:val="005401D4"/>
    <w:rsid w:val="00540CA5"/>
    <w:rsid w:val="005415D4"/>
    <w:rsid w:val="005428A9"/>
    <w:rsid w:val="005434A3"/>
    <w:rsid w:val="0054358D"/>
    <w:rsid w:val="00543C15"/>
    <w:rsid w:val="0054497E"/>
    <w:rsid w:val="0054568D"/>
    <w:rsid w:val="00545910"/>
    <w:rsid w:val="005466CA"/>
    <w:rsid w:val="00546C44"/>
    <w:rsid w:val="00547AE7"/>
    <w:rsid w:val="00550603"/>
    <w:rsid w:val="00550BC8"/>
    <w:rsid w:val="00551061"/>
    <w:rsid w:val="00551888"/>
    <w:rsid w:val="00551F8F"/>
    <w:rsid w:val="005525D7"/>
    <w:rsid w:val="00552EE3"/>
    <w:rsid w:val="00553C92"/>
    <w:rsid w:val="00554944"/>
    <w:rsid w:val="005572AB"/>
    <w:rsid w:val="00557500"/>
    <w:rsid w:val="00557FE0"/>
    <w:rsid w:val="005604CC"/>
    <w:rsid w:val="0056052D"/>
    <w:rsid w:val="00560E9A"/>
    <w:rsid w:val="00561DC3"/>
    <w:rsid w:val="00561E95"/>
    <w:rsid w:val="005620AD"/>
    <w:rsid w:val="00562F0E"/>
    <w:rsid w:val="0056459E"/>
    <w:rsid w:val="00564CE1"/>
    <w:rsid w:val="00566740"/>
    <w:rsid w:val="0057079B"/>
    <w:rsid w:val="00571362"/>
    <w:rsid w:val="005734B9"/>
    <w:rsid w:val="00573D81"/>
    <w:rsid w:val="00574E4C"/>
    <w:rsid w:val="00575ED5"/>
    <w:rsid w:val="0057653C"/>
    <w:rsid w:val="005769DB"/>
    <w:rsid w:val="00576D60"/>
    <w:rsid w:val="00576F10"/>
    <w:rsid w:val="005800FE"/>
    <w:rsid w:val="00581726"/>
    <w:rsid w:val="00582971"/>
    <w:rsid w:val="00582B78"/>
    <w:rsid w:val="0058335D"/>
    <w:rsid w:val="00583559"/>
    <w:rsid w:val="00584C12"/>
    <w:rsid w:val="00585C8E"/>
    <w:rsid w:val="00586094"/>
    <w:rsid w:val="00586228"/>
    <w:rsid w:val="0059046F"/>
    <w:rsid w:val="00591E4E"/>
    <w:rsid w:val="0059241D"/>
    <w:rsid w:val="0059265F"/>
    <w:rsid w:val="005941C4"/>
    <w:rsid w:val="00594D2B"/>
    <w:rsid w:val="005951C9"/>
    <w:rsid w:val="005956BD"/>
    <w:rsid w:val="00595986"/>
    <w:rsid w:val="00597C34"/>
    <w:rsid w:val="00597D68"/>
    <w:rsid w:val="005A087D"/>
    <w:rsid w:val="005A3C44"/>
    <w:rsid w:val="005A43E3"/>
    <w:rsid w:val="005A5172"/>
    <w:rsid w:val="005A5250"/>
    <w:rsid w:val="005A67E7"/>
    <w:rsid w:val="005A6CCA"/>
    <w:rsid w:val="005A7C9A"/>
    <w:rsid w:val="005B1B69"/>
    <w:rsid w:val="005B3433"/>
    <w:rsid w:val="005B4143"/>
    <w:rsid w:val="005B48BE"/>
    <w:rsid w:val="005B52DB"/>
    <w:rsid w:val="005B58FC"/>
    <w:rsid w:val="005B5D81"/>
    <w:rsid w:val="005B6C67"/>
    <w:rsid w:val="005C00C2"/>
    <w:rsid w:val="005C0357"/>
    <w:rsid w:val="005C1C7B"/>
    <w:rsid w:val="005C3F17"/>
    <w:rsid w:val="005C54E9"/>
    <w:rsid w:val="005C7B98"/>
    <w:rsid w:val="005D0063"/>
    <w:rsid w:val="005D1209"/>
    <w:rsid w:val="005D15BE"/>
    <w:rsid w:val="005D40B8"/>
    <w:rsid w:val="005D431A"/>
    <w:rsid w:val="005D6B12"/>
    <w:rsid w:val="005D72F4"/>
    <w:rsid w:val="005D786E"/>
    <w:rsid w:val="005E0530"/>
    <w:rsid w:val="005E057B"/>
    <w:rsid w:val="005E13FB"/>
    <w:rsid w:val="005E246B"/>
    <w:rsid w:val="005E42AB"/>
    <w:rsid w:val="005E4CF0"/>
    <w:rsid w:val="005E5075"/>
    <w:rsid w:val="005E6A08"/>
    <w:rsid w:val="005E7523"/>
    <w:rsid w:val="005F103C"/>
    <w:rsid w:val="005F10C2"/>
    <w:rsid w:val="005F189F"/>
    <w:rsid w:val="005F1CA9"/>
    <w:rsid w:val="005F2CDF"/>
    <w:rsid w:val="005F36DF"/>
    <w:rsid w:val="005F4F97"/>
    <w:rsid w:val="005F513B"/>
    <w:rsid w:val="005F5632"/>
    <w:rsid w:val="005F60A7"/>
    <w:rsid w:val="005F7982"/>
    <w:rsid w:val="006003FC"/>
    <w:rsid w:val="006019A6"/>
    <w:rsid w:val="00602DE6"/>
    <w:rsid w:val="006047FE"/>
    <w:rsid w:val="006048C6"/>
    <w:rsid w:val="00606AEE"/>
    <w:rsid w:val="00612CEF"/>
    <w:rsid w:val="00612D3F"/>
    <w:rsid w:val="006133D1"/>
    <w:rsid w:val="00613C32"/>
    <w:rsid w:val="00615D14"/>
    <w:rsid w:val="00616069"/>
    <w:rsid w:val="006163C1"/>
    <w:rsid w:val="00616DFC"/>
    <w:rsid w:val="00616EC6"/>
    <w:rsid w:val="00617676"/>
    <w:rsid w:val="00620048"/>
    <w:rsid w:val="0062245B"/>
    <w:rsid w:val="006245C9"/>
    <w:rsid w:val="00624FD4"/>
    <w:rsid w:val="0062610C"/>
    <w:rsid w:val="00626EC4"/>
    <w:rsid w:val="00632B5D"/>
    <w:rsid w:val="00633277"/>
    <w:rsid w:val="0063417E"/>
    <w:rsid w:val="006347FE"/>
    <w:rsid w:val="00635BDA"/>
    <w:rsid w:val="006400C7"/>
    <w:rsid w:val="00640C52"/>
    <w:rsid w:val="00641337"/>
    <w:rsid w:val="006418CA"/>
    <w:rsid w:val="00643C08"/>
    <w:rsid w:val="00644071"/>
    <w:rsid w:val="00644211"/>
    <w:rsid w:val="006443DF"/>
    <w:rsid w:val="00644498"/>
    <w:rsid w:val="00644622"/>
    <w:rsid w:val="006448E2"/>
    <w:rsid w:val="00645379"/>
    <w:rsid w:val="00646A8C"/>
    <w:rsid w:val="00646FBD"/>
    <w:rsid w:val="006479BB"/>
    <w:rsid w:val="00650141"/>
    <w:rsid w:val="006505A5"/>
    <w:rsid w:val="00650CE5"/>
    <w:rsid w:val="00651D36"/>
    <w:rsid w:val="00652F5A"/>
    <w:rsid w:val="006540B7"/>
    <w:rsid w:val="00654374"/>
    <w:rsid w:val="00654EC6"/>
    <w:rsid w:val="00655244"/>
    <w:rsid w:val="00657D1A"/>
    <w:rsid w:val="006612FB"/>
    <w:rsid w:val="006614F3"/>
    <w:rsid w:val="0066169D"/>
    <w:rsid w:val="0066317F"/>
    <w:rsid w:val="00663FA3"/>
    <w:rsid w:val="00664042"/>
    <w:rsid w:val="00664212"/>
    <w:rsid w:val="006655A3"/>
    <w:rsid w:val="00665B3A"/>
    <w:rsid w:val="00665B96"/>
    <w:rsid w:val="006660A7"/>
    <w:rsid w:val="0066680B"/>
    <w:rsid w:val="006704E6"/>
    <w:rsid w:val="006705B4"/>
    <w:rsid w:val="00671268"/>
    <w:rsid w:val="00671805"/>
    <w:rsid w:val="00672724"/>
    <w:rsid w:val="00673481"/>
    <w:rsid w:val="006737E5"/>
    <w:rsid w:val="00673858"/>
    <w:rsid w:val="006747AD"/>
    <w:rsid w:val="00674AB1"/>
    <w:rsid w:val="00677750"/>
    <w:rsid w:val="00680665"/>
    <w:rsid w:val="00681F56"/>
    <w:rsid w:val="00682436"/>
    <w:rsid w:val="00682981"/>
    <w:rsid w:val="00683395"/>
    <w:rsid w:val="006843F7"/>
    <w:rsid w:val="00684D56"/>
    <w:rsid w:val="00685E23"/>
    <w:rsid w:val="00686AA2"/>
    <w:rsid w:val="00690025"/>
    <w:rsid w:val="00690B65"/>
    <w:rsid w:val="006914A2"/>
    <w:rsid w:val="006919D1"/>
    <w:rsid w:val="006926B8"/>
    <w:rsid w:val="00692ADB"/>
    <w:rsid w:val="006937DD"/>
    <w:rsid w:val="00694333"/>
    <w:rsid w:val="00695646"/>
    <w:rsid w:val="00696C1B"/>
    <w:rsid w:val="00696D75"/>
    <w:rsid w:val="00696E05"/>
    <w:rsid w:val="006A0C03"/>
    <w:rsid w:val="006A0F06"/>
    <w:rsid w:val="006A10A7"/>
    <w:rsid w:val="006A1B7B"/>
    <w:rsid w:val="006A374C"/>
    <w:rsid w:val="006A3AF5"/>
    <w:rsid w:val="006A3FDB"/>
    <w:rsid w:val="006A494B"/>
    <w:rsid w:val="006A62AC"/>
    <w:rsid w:val="006A6F00"/>
    <w:rsid w:val="006A7EAE"/>
    <w:rsid w:val="006B08E4"/>
    <w:rsid w:val="006B097B"/>
    <w:rsid w:val="006B0D61"/>
    <w:rsid w:val="006B170E"/>
    <w:rsid w:val="006B19D7"/>
    <w:rsid w:val="006B2627"/>
    <w:rsid w:val="006B285E"/>
    <w:rsid w:val="006B3099"/>
    <w:rsid w:val="006B32D0"/>
    <w:rsid w:val="006B331A"/>
    <w:rsid w:val="006B4489"/>
    <w:rsid w:val="006B547A"/>
    <w:rsid w:val="006B61CC"/>
    <w:rsid w:val="006C03B7"/>
    <w:rsid w:val="006C0799"/>
    <w:rsid w:val="006C0FD1"/>
    <w:rsid w:val="006C2A2E"/>
    <w:rsid w:val="006C2B04"/>
    <w:rsid w:val="006C32FA"/>
    <w:rsid w:val="006C34DA"/>
    <w:rsid w:val="006C44C6"/>
    <w:rsid w:val="006C524E"/>
    <w:rsid w:val="006C7BE0"/>
    <w:rsid w:val="006D0ADE"/>
    <w:rsid w:val="006D0E11"/>
    <w:rsid w:val="006D5767"/>
    <w:rsid w:val="006D607B"/>
    <w:rsid w:val="006E01EF"/>
    <w:rsid w:val="006E1594"/>
    <w:rsid w:val="006E170F"/>
    <w:rsid w:val="006E1E27"/>
    <w:rsid w:val="006E229C"/>
    <w:rsid w:val="006E668A"/>
    <w:rsid w:val="006E672F"/>
    <w:rsid w:val="006E6A28"/>
    <w:rsid w:val="006E6C74"/>
    <w:rsid w:val="006E6EB8"/>
    <w:rsid w:val="006E73A8"/>
    <w:rsid w:val="006E74A6"/>
    <w:rsid w:val="006F0772"/>
    <w:rsid w:val="006F1458"/>
    <w:rsid w:val="006F4150"/>
    <w:rsid w:val="006F44F1"/>
    <w:rsid w:val="006F497B"/>
    <w:rsid w:val="006F4A77"/>
    <w:rsid w:val="006F4D0B"/>
    <w:rsid w:val="006F52CC"/>
    <w:rsid w:val="006F55D1"/>
    <w:rsid w:val="006F6344"/>
    <w:rsid w:val="006F66EF"/>
    <w:rsid w:val="006F7BDD"/>
    <w:rsid w:val="00700924"/>
    <w:rsid w:val="00701055"/>
    <w:rsid w:val="00702707"/>
    <w:rsid w:val="00702E5E"/>
    <w:rsid w:val="00702F3D"/>
    <w:rsid w:val="0070358D"/>
    <w:rsid w:val="00703DC5"/>
    <w:rsid w:val="00703E6E"/>
    <w:rsid w:val="00703E74"/>
    <w:rsid w:val="007043F0"/>
    <w:rsid w:val="00704D2C"/>
    <w:rsid w:val="00704EF4"/>
    <w:rsid w:val="00705A2E"/>
    <w:rsid w:val="0070654C"/>
    <w:rsid w:val="00706604"/>
    <w:rsid w:val="00707FB9"/>
    <w:rsid w:val="0071108D"/>
    <w:rsid w:val="007114C4"/>
    <w:rsid w:val="00711F1A"/>
    <w:rsid w:val="007123E1"/>
    <w:rsid w:val="00712571"/>
    <w:rsid w:val="00714D14"/>
    <w:rsid w:val="00715A66"/>
    <w:rsid w:val="00716CC9"/>
    <w:rsid w:val="00717D97"/>
    <w:rsid w:val="00721156"/>
    <w:rsid w:val="00721AE9"/>
    <w:rsid w:val="007226D8"/>
    <w:rsid w:val="00722DC0"/>
    <w:rsid w:val="007233D0"/>
    <w:rsid w:val="0072429C"/>
    <w:rsid w:val="00724A1F"/>
    <w:rsid w:val="00725CE7"/>
    <w:rsid w:val="007261A7"/>
    <w:rsid w:val="00727457"/>
    <w:rsid w:val="00727F8B"/>
    <w:rsid w:val="00734510"/>
    <w:rsid w:val="007352B7"/>
    <w:rsid w:val="00736312"/>
    <w:rsid w:val="00737595"/>
    <w:rsid w:val="00737EE4"/>
    <w:rsid w:val="00740B14"/>
    <w:rsid w:val="007416B0"/>
    <w:rsid w:val="00741E9C"/>
    <w:rsid w:val="00742176"/>
    <w:rsid w:val="0074349B"/>
    <w:rsid w:val="00744096"/>
    <w:rsid w:val="0074589B"/>
    <w:rsid w:val="00745FEE"/>
    <w:rsid w:val="0074640A"/>
    <w:rsid w:val="00746B90"/>
    <w:rsid w:val="007519F5"/>
    <w:rsid w:val="007521C1"/>
    <w:rsid w:val="007522DE"/>
    <w:rsid w:val="00753F88"/>
    <w:rsid w:val="007540AD"/>
    <w:rsid w:val="00754340"/>
    <w:rsid w:val="007543D9"/>
    <w:rsid w:val="00754E11"/>
    <w:rsid w:val="00755014"/>
    <w:rsid w:val="00755348"/>
    <w:rsid w:val="00756981"/>
    <w:rsid w:val="00757830"/>
    <w:rsid w:val="00757CBE"/>
    <w:rsid w:val="0076012E"/>
    <w:rsid w:val="00760323"/>
    <w:rsid w:val="00760CD2"/>
    <w:rsid w:val="00760E29"/>
    <w:rsid w:val="00762518"/>
    <w:rsid w:val="0076377C"/>
    <w:rsid w:val="00766451"/>
    <w:rsid w:val="007667AD"/>
    <w:rsid w:val="00766AD6"/>
    <w:rsid w:val="00767508"/>
    <w:rsid w:val="00770889"/>
    <w:rsid w:val="00770DA6"/>
    <w:rsid w:val="00771AA6"/>
    <w:rsid w:val="00772567"/>
    <w:rsid w:val="007727A3"/>
    <w:rsid w:val="007745DC"/>
    <w:rsid w:val="00774B19"/>
    <w:rsid w:val="007763A9"/>
    <w:rsid w:val="007803B4"/>
    <w:rsid w:val="0078052A"/>
    <w:rsid w:val="00780704"/>
    <w:rsid w:val="00780B06"/>
    <w:rsid w:val="00780B52"/>
    <w:rsid w:val="00781BF4"/>
    <w:rsid w:val="00782EA5"/>
    <w:rsid w:val="007835E5"/>
    <w:rsid w:val="007844B9"/>
    <w:rsid w:val="00785BC0"/>
    <w:rsid w:val="00785DDB"/>
    <w:rsid w:val="007866C0"/>
    <w:rsid w:val="007905B5"/>
    <w:rsid w:val="00790FA5"/>
    <w:rsid w:val="0079181B"/>
    <w:rsid w:val="007969B0"/>
    <w:rsid w:val="00797E86"/>
    <w:rsid w:val="007A09FA"/>
    <w:rsid w:val="007A09FF"/>
    <w:rsid w:val="007A1373"/>
    <w:rsid w:val="007A19EC"/>
    <w:rsid w:val="007A1B83"/>
    <w:rsid w:val="007A30DE"/>
    <w:rsid w:val="007A4048"/>
    <w:rsid w:val="007A49D9"/>
    <w:rsid w:val="007A4A25"/>
    <w:rsid w:val="007A4E9B"/>
    <w:rsid w:val="007A543D"/>
    <w:rsid w:val="007A5503"/>
    <w:rsid w:val="007A565D"/>
    <w:rsid w:val="007A5CFB"/>
    <w:rsid w:val="007B05EF"/>
    <w:rsid w:val="007B0BD9"/>
    <w:rsid w:val="007B0CB8"/>
    <w:rsid w:val="007B6403"/>
    <w:rsid w:val="007B757B"/>
    <w:rsid w:val="007C0E51"/>
    <w:rsid w:val="007C298F"/>
    <w:rsid w:val="007C3898"/>
    <w:rsid w:val="007C42CA"/>
    <w:rsid w:val="007C4B42"/>
    <w:rsid w:val="007C57F6"/>
    <w:rsid w:val="007C59A0"/>
    <w:rsid w:val="007C5C97"/>
    <w:rsid w:val="007C5F21"/>
    <w:rsid w:val="007D054E"/>
    <w:rsid w:val="007D0D02"/>
    <w:rsid w:val="007D22AC"/>
    <w:rsid w:val="007D2943"/>
    <w:rsid w:val="007D37A6"/>
    <w:rsid w:val="007D3FC1"/>
    <w:rsid w:val="007D40DE"/>
    <w:rsid w:val="007D4AAF"/>
    <w:rsid w:val="007D4C14"/>
    <w:rsid w:val="007D5767"/>
    <w:rsid w:val="007D7606"/>
    <w:rsid w:val="007E3701"/>
    <w:rsid w:val="007E404C"/>
    <w:rsid w:val="007E41FC"/>
    <w:rsid w:val="007E422E"/>
    <w:rsid w:val="007E5190"/>
    <w:rsid w:val="007E529F"/>
    <w:rsid w:val="007E616C"/>
    <w:rsid w:val="007E7961"/>
    <w:rsid w:val="007E7CBF"/>
    <w:rsid w:val="007E7E6A"/>
    <w:rsid w:val="007F0B00"/>
    <w:rsid w:val="007F11D9"/>
    <w:rsid w:val="007F23D5"/>
    <w:rsid w:val="007F38C5"/>
    <w:rsid w:val="007F4D5F"/>
    <w:rsid w:val="007F5574"/>
    <w:rsid w:val="007F63E1"/>
    <w:rsid w:val="007F69A1"/>
    <w:rsid w:val="007F6D41"/>
    <w:rsid w:val="007F791B"/>
    <w:rsid w:val="00801E32"/>
    <w:rsid w:val="00802530"/>
    <w:rsid w:val="00803217"/>
    <w:rsid w:val="008033B3"/>
    <w:rsid w:val="008046DD"/>
    <w:rsid w:val="00804A2B"/>
    <w:rsid w:val="00805544"/>
    <w:rsid w:val="0080634F"/>
    <w:rsid w:val="0080668F"/>
    <w:rsid w:val="00810F0A"/>
    <w:rsid w:val="00811044"/>
    <w:rsid w:val="00812A30"/>
    <w:rsid w:val="00812EFD"/>
    <w:rsid w:val="00813539"/>
    <w:rsid w:val="00822D47"/>
    <w:rsid w:val="00824AAA"/>
    <w:rsid w:val="0082518A"/>
    <w:rsid w:val="00825FC7"/>
    <w:rsid w:val="008261A0"/>
    <w:rsid w:val="00830265"/>
    <w:rsid w:val="00830B7A"/>
    <w:rsid w:val="0083134F"/>
    <w:rsid w:val="0083151F"/>
    <w:rsid w:val="0083165E"/>
    <w:rsid w:val="00831FB9"/>
    <w:rsid w:val="00832105"/>
    <w:rsid w:val="00832C83"/>
    <w:rsid w:val="00833BC1"/>
    <w:rsid w:val="008344AC"/>
    <w:rsid w:val="008359A8"/>
    <w:rsid w:val="00835D18"/>
    <w:rsid w:val="00835EB3"/>
    <w:rsid w:val="00835F93"/>
    <w:rsid w:val="0083716E"/>
    <w:rsid w:val="00837EEB"/>
    <w:rsid w:val="00840E20"/>
    <w:rsid w:val="00840E98"/>
    <w:rsid w:val="0084133D"/>
    <w:rsid w:val="008413EC"/>
    <w:rsid w:val="008422B1"/>
    <w:rsid w:val="00842463"/>
    <w:rsid w:val="00842C0D"/>
    <w:rsid w:val="00842C38"/>
    <w:rsid w:val="00842F1C"/>
    <w:rsid w:val="008436D5"/>
    <w:rsid w:val="0084400C"/>
    <w:rsid w:val="00844089"/>
    <w:rsid w:val="00844105"/>
    <w:rsid w:val="008442B0"/>
    <w:rsid w:val="008445C8"/>
    <w:rsid w:val="008448D2"/>
    <w:rsid w:val="008452FF"/>
    <w:rsid w:val="00845B49"/>
    <w:rsid w:val="00845D48"/>
    <w:rsid w:val="00845DCA"/>
    <w:rsid w:val="008473C0"/>
    <w:rsid w:val="00847A61"/>
    <w:rsid w:val="00850C5D"/>
    <w:rsid w:val="00851DFC"/>
    <w:rsid w:val="00853D37"/>
    <w:rsid w:val="00854396"/>
    <w:rsid w:val="00854764"/>
    <w:rsid w:val="008548B1"/>
    <w:rsid w:val="008554EB"/>
    <w:rsid w:val="008562FD"/>
    <w:rsid w:val="00857CF3"/>
    <w:rsid w:val="00861E0E"/>
    <w:rsid w:val="008620C1"/>
    <w:rsid w:val="008625DE"/>
    <w:rsid w:val="00863F2A"/>
    <w:rsid w:val="008648C4"/>
    <w:rsid w:val="00865278"/>
    <w:rsid w:val="00865D55"/>
    <w:rsid w:val="0086646E"/>
    <w:rsid w:val="00866D7A"/>
    <w:rsid w:val="00867008"/>
    <w:rsid w:val="00867A17"/>
    <w:rsid w:val="00871AF5"/>
    <w:rsid w:val="0087214C"/>
    <w:rsid w:val="00872846"/>
    <w:rsid w:val="00872A79"/>
    <w:rsid w:val="00872D92"/>
    <w:rsid w:val="0087332E"/>
    <w:rsid w:val="00873619"/>
    <w:rsid w:val="008756BE"/>
    <w:rsid w:val="00875B26"/>
    <w:rsid w:val="00875C82"/>
    <w:rsid w:val="00876D40"/>
    <w:rsid w:val="00881220"/>
    <w:rsid w:val="0088133C"/>
    <w:rsid w:val="00881BF1"/>
    <w:rsid w:val="00881D08"/>
    <w:rsid w:val="00881DEE"/>
    <w:rsid w:val="00882F30"/>
    <w:rsid w:val="00885071"/>
    <w:rsid w:val="008851C5"/>
    <w:rsid w:val="00885B9F"/>
    <w:rsid w:val="008903F8"/>
    <w:rsid w:val="0089090C"/>
    <w:rsid w:val="00890D30"/>
    <w:rsid w:val="008910AD"/>
    <w:rsid w:val="008915E2"/>
    <w:rsid w:val="008929B6"/>
    <w:rsid w:val="00892D46"/>
    <w:rsid w:val="008950F0"/>
    <w:rsid w:val="008955A5"/>
    <w:rsid w:val="0089700D"/>
    <w:rsid w:val="008973F2"/>
    <w:rsid w:val="008A0D6B"/>
    <w:rsid w:val="008A1BC5"/>
    <w:rsid w:val="008A225D"/>
    <w:rsid w:val="008A2902"/>
    <w:rsid w:val="008A3704"/>
    <w:rsid w:val="008A40F3"/>
    <w:rsid w:val="008A4A4D"/>
    <w:rsid w:val="008A5583"/>
    <w:rsid w:val="008A666E"/>
    <w:rsid w:val="008A7274"/>
    <w:rsid w:val="008A78F2"/>
    <w:rsid w:val="008B1707"/>
    <w:rsid w:val="008B2220"/>
    <w:rsid w:val="008B2B82"/>
    <w:rsid w:val="008B2F3F"/>
    <w:rsid w:val="008B309B"/>
    <w:rsid w:val="008B3BF4"/>
    <w:rsid w:val="008B7040"/>
    <w:rsid w:val="008B792F"/>
    <w:rsid w:val="008C0538"/>
    <w:rsid w:val="008C06EF"/>
    <w:rsid w:val="008C0DB0"/>
    <w:rsid w:val="008C2C15"/>
    <w:rsid w:val="008C3A03"/>
    <w:rsid w:val="008C3F48"/>
    <w:rsid w:val="008C5A24"/>
    <w:rsid w:val="008C6503"/>
    <w:rsid w:val="008C71C4"/>
    <w:rsid w:val="008C72E9"/>
    <w:rsid w:val="008C78E9"/>
    <w:rsid w:val="008C7B48"/>
    <w:rsid w:val="008D08E9"/>
    <w:rsid w:val="008D2F94"/>
    <w:rsid w:val="008D3D19"/>
    <w:rsid w:val="008D43DB"/>
    <w:rsid w:val="008D4B98"/>
    <w:rsid w:val="008D62DF"/>
    <w:rsid w:val="008D76D3"/>
    <w:rsid w:val="008E0DEA"/>
    <w:rsid w:val="008E0E54"/>
    <w:rsid w:val="008E0F22"/>
    <w:rsid w:val="008E15B3"/>
    <w:rsid w:val="008E1629"/>
    <w:rsid w:val="008E1ADC"/>
    <w:rsid w:val="008E278E"/>
    <w:rsid w:val="008E4A2E"/>
    <w:rsid w:val="008E4AA7"/>
    <w:rsid w:val="008E4D2E"/>
    <w:rsid w:val="008E5AED"/>
    <w:rsid w:val="008E673F"/>
    <w:rsid w:val="008E6C41"/>
    <w:rsid w:val="008F0323"/>
    <w:rsid w:val="008F19A1"/>
    <w:rsid w:val="008F1CCE"/>
    <w:rsid w:val="008F321C"/>
    <w:rsid w:val="008F365E"/>
    <w:rsid w:val="008F50FD"/>
    <w:rsid w:val="008F5631"/>
    <w:rsid w:val="008F6700"/>
    <w:rsid w:val="008F720F"/>
    <w:rsid w:val="00900029"/>
    <w:rsid w:val="009010AE"/>
    <w:rsid w:val="0090374C"/>
    <w:rsid w:val="00903CBE"/>
    <w:rsid w:val="009056FB"/>
    <w:rsid w:val="00905D74"/>
    <w:rsid w:val="0090623E"/>
    <w:rsid w:val="00907152"/>
    <w:rsid w:val="0090739F"/>
    <w:rsid w:val="009076EE"/>
    <w:rsid w:val="00910D7D"/>
    <w:rsid w:val="009118F8"/>
    <w:rsid w:val="00911F97"/>
    <w:rsid w:val="00913B5E"/>
    <w:rsid w:val="00913C07"/>
    <w:rsid w:val="00913F8E"/>
    <w:rsid w:val="00914272"/>
    <w:rsid w:val="00914E66"/>
    <w:rsid w:val="00915E5B"/>
    <w:rsid w:val="0091622F"/>
    <w:rsid w:val="009167AA"/>
    <w:rsid w:val="00917120"/>
    <w:rsid w:val="009171EC"/>
    <w:rsid w:val="00917418"/>
    <w:rsid w:val="00917882"/>
    <w:rsid w:val="009205A6"/>
    <w:rsid w:val="00920D89"/>
    <w:rsid w:val="009212FE"/>
    <w:rsid w:val="00921E0E"/>
    <w:rsid w:val="00922E56"/>
    <w:rsid w:val="00924257"/>
    <w:rsid w:val="00924D8B"/>
    <w:rsid w:val="00924E7C"/>
    <w:rsid w:val="0092572E"/>
    <w:rsid w:val="00927D48"/>
    <w:rsid w:val="00930FC9"/>
    <w:rsid w:val="009321A6"/>
    <w:rsid w:val="00932202"/>
    <w:rsid w:val="00932800"/>
    <w:rsid w:val="0093282E"/>
    <w:rsid w:val="00933507"/>
    <w:rsid w:val="00933DBE"/>
    <w:rsid w:val="00934CCE"/>
    <w:rsid w:val="0093535B"/>
    <w:rsid w:val="00935E04"/>
    <w:rsid w:val="00936863"/>
    <w:rsid w:val="00936E8D"/>
    <w:rsid w:val="00937177"/>
    <w:rsid w:val="009376DD"/>
    <w:rsid w:val="0093776C"/>
    <w:rsid w:val="009400B2"/>
    <w:rsid w:val="00940B64"/>
    <w:rsid w:val="00940E4D"/>
    <w:rsid w:val="0094361C"/>
    <w:rsid w:val="009440BF"/>
    <w:rsid w:val="00945ABC"/>
    <w:rsid w:val="009464D5"/>
    <w:rsid w:val="00946657"/>
    <w:rsid w:val="00947B89"/>
    <w:rsid w:val="009502CD"/>
    <w:rsid w:val="009507EE"/>
    <w:rsid w:val="009512C2"/>
    <w:rsid w:val="0095137B"/>
    <w:rsid w:val="009518B0"/>
    <w:rsid w:val="00951E4B"/>
    <w:rsid w:val="0095248C"/>
    <w:rsid w:val="00955437"/>
    <w:rsid w:val="00955E3A"/>
    <w:rsid w:val="009574E5"/>
    <w:rsid w:val="009600C1"/>
    <w:rsid w:val="009603C1"/>
    <w:rsid w:val="009611EB"/>
    <w:rsid w:val="009619C8"/>
    <w:rsid w:val="009624DA"/>
    <w:rsid w:val="00962759"/>
    <w:rsid w:val="00963A03"/>
    <w:rsid w:val="00964A03"/>
    <w:rsid w:val="00964B4C"/>
    <w:rsid w:val="00964D39"/>
    <w:rsid w:val="009659F2"/>
    <w:rsid w:val="0096670E"/>
    <w:rsid w:val="00966ACF"/>
    <w:rsid w:val="00967058"/>
    <w:rsid w:val="00967F9C"/>
    <w:rsid w:val="00967FBF"/>
    <w:rsid w:val="00972AC7"/>
    <w:rsid w:val="009733F7"/>
    <w:rsid w:val="00973C9F"/>
    <w:rsid w:val="00973DC2"/>
    <w:rsid w:val="009761E3"/>
    <w:rsid w:val="0097758D"/>
    <w:rsid w:val="00980348"/>
    <w:rsid w:val="00980E8C"/>
    <w:rsid w:val="00982246"/>
    <w:rsid w:val="0098482A"/>
    <w:rsid w:val="00985792"/>
    <w:rsid w:val="00985CEB"/>
    <w:rsid w:val="00986431"/>
    <w:rsid w:val="00986A31"/>
    <w:rsid w:val="00986E05"/>
    <w:rsid w:val="0098703F"/>
    <w:rsid w:val="009875E4"/>
    <w:rsid w:val="009876C3"/>
    <w:rsid w:val="00991445"/>
    <w:rsid w:val="0099173F"/>
    <w:rsid w:val="00992167"/>
    <w:rsid w:val="00992FAC"/>
    <w:rsid w:val="00993DBB"/>
    <w:rsid w:val="009944C0"/>
    <w:rsid w:val="0099474B"/>
    <w:rsid w:val="00994CE3"/>
    <w:rsid w:val="0099582F"/>
    <w:rsid w:val="0099743A"/>
    <w:rsid w:val="0099796C"/>
    <w:rsid w:val="009A0F0E"/>
    <w:rsid w:val="009A2151"/>
    <w:rsid w:val="009A22E0"/>
    <w:rsid w:val="009A2766"/>
    <w:rsid w:val="009A386B"/>
    <w:rsid w:val="009A548F"/>
    <w:rsid w:val="009A569D"/>
    <w:rsid w:val="009A7644"/>
    <w:rsid w:val="009A7F01"/>
    <w:rsid w:val="009B1D75"/>
    <w:rsid w:val="009B1ED8"/>
    <w:rsid w:val="009B2B6B"/>
    <w:rsid w:val="009B5880"/>
    <w:rsid w:val="009B6028"/>
    <w:rsid w:val="009C042F"/>
    <w:rsid w:val="009C1C08"/>
    <w:rsid w:val="009C20F0"/>
    <w:rsid w:val="009C2B32"/>
    <w:rsid w:val="009C332E"/>
    <w:rsid w:val="009C3491"/>
    <w:rsid w:val="009C3830"/>
    <w:rsid w:val="009C38E8"/>
    <w:rsid w:val="009C53C5"/>
    <w:rsid w:val="009C6117"/>
    <w:rsid w:val="009C690F"/>
    <w:rsid w:val="009C7907"/>
    <w:rsid w:val="009D00F8"/>
    <w:rsid w:val="009D0B68"/>
    <w:rsid w:val="009D1E7F"/>
    <w:rsid w:val="009D21FB"/>
    <w:rsid w:val="009D33AF"/>
    <w:rsid w:val="009D3518"/>
    <w:rsid w:val="009D40DD"/>
    <w:rsid w:val="009D47D8"/>
    <w:rsid w:val="009D7F6F"/>
    <w:rsid w:val="009E076D"/>
    <w:rsid w:val="009E24DD"/>
    <w:rsid w:val="009E2980"/>
    <w:rsid w:val="009E2D6A"/>
    <w:rsid w:val="009E4AF8"/>
    <w:rsid w:val="009E4EF3"/>
    <w:rsid w:val="009E5259"/>
    <w:rsid w:val="009E5F7D"/>
    <w:rsid w:val="009E6643"/>
    <w:rsid w:val="009E6A35"/>
    <w:rsid w:val="009E75D5"/>
    <w:rsid w:val="009E7703"/>
    <w:rsid w:val="009F0D6F"/>
    <w:rsid w:val="009F1863"/>
    <w:rsid w:val="009F21D1"/>
    <w:rsid w:val="009F259C"/>
    <w:rsid w:val="009F2625"/>
    <w:rsid w:val="009F2B00"/>
    <w:rsid w:val="009F30C3"/>
    <w:rsid w:val="009F352F"/>
    <w:rsid w:val="009F358E"/>
    <w:rsid w:val="009F3C28"/>
    <w:rsid w:val="009F68FC"/>
    <w:rsid w:val="009F73B2"/>
    <w:rsid w:val="00A0146C"/>
    <w:rsid w:val="00A017DF"/>
    <w:rsid w:val="00A01F37"/>
    <w:rsid w:val="00A03B9B"/>
    <w:rsid w:val="00A0569D"/>
    <w:rsid w:val="00A05C05"/>
    <w:rsid w:val="00A070B1"/>
    <w:rsid w:val="00A10210"/>
    <w:rsid w:val="00A10F11"/>
    <w:rsid w:val="00A118BD"/>
    <w:rsid w:val="00A118E7"/>
    <w:rsid w:val="00A11BAB"/>
    <w:rsid w:val="00A127B4"/>
    <w:rsid w:val="00A12EDF"/>
    <w:rsid w:val="00A13156"/>
    <w:rsid w:val="00A13794"/>
    <w:rsid w:val="00A156D1"/>
    <w:rsid w:val="00A15D73"/>
    <w:rsid w:val="00A17BC3"/>
    <w:rsid w:val="00A20014"/>
    <w:rsid w:val="00A20E2C"/>
    <w:rsid w:val="00A2193F"/>
    <w:rsid w:val="00A21EDF"/>
    <w:rsid w:val="00A2266D"/>
    <w:rsid w:val="00A22FC4"/>
    <w:rsid w:val="00A2304D"/>
    <w:rsid w:val="00A24D55"/>
    <w:rsid w:val="00A255CD"/>
    <w:rsid w:val="00A259E8"/>
    <w:rsid w:val="00A26597"/>
    <w:rsid w:val="00A30001"/>
    <w:rsid w:val="00A30F43"/>
    <w:rsid w:val="00A31558"/>
    <w:rsid w:val="00A31D44"/>
    <w:rsid w:val="00A31EEB"/>
    <w:rsid w:val="00A32ECA"/>
    <w:rsid w:val="00A33B68"/>
    <w:rsid w:val="00A33BAB"/>
    <w:rsid w:val="00A34079"/>
    <w:rsid w:val="00A34185"/>
    <w:rsid w:val="00A34C08"/>
    <w:rsid w:val="00A35554"/>
    <w:rsid w:val="00A35C46"/>
    <w:rsid w:val="00A35DF3"/>
    <w:rsid w:val="00A35F02"/>
    <w:rsid w:val="00A36FE7"/>
    <w:rsid w:val="00A37B04"/>
    <w:rsid w:val="00A40A6D"/>
    <w:rsid w:val="00A4158E"/>
    <w:rsid w:val="00A418D2"/>
    <w:rsid w:val="00A4321B"/>
    <w:rsid w:val="00A432FD"/>
    <w:rsid w:val="00A4383B"/>
    <w:rsid w:val="00A446B5"/>
    <w:rsid w:val="00A44C32"/>
    <w:rsid w:val="00A45010"/>
    <w:rsid w:val="00A4505C"/>
    <w:rsid w:val="00A4506E"/>
    <w:rsid w:val="00A4651A"/>
    <w:rsid w:val="00A473BD"/>
    <w:rsid w:val="00A47C87"/>
    <w:rsid w:val="00A5014B"/>
    <w:rsid w:val="00A50216"/>
    <w:rsid w:val="00A50808"/>
    <w:rsid w:val="00A51089"/>
    <w:rsid w:val="00A51D81"/>
    <w:rsid w:val="00A525FB"/>
    <w:rsid w:val="00A535BE"/>
    <w:rsid w:val="00A53626"/>
    <w:rsid w:val="00A554B1"/>
    <w:rsid w:val="00A55592"/>
    <w:rsid w:val="00A608BE"/>
    <w:rsid w:val="00A6097C"/>
    <w:rsid w:val="00A60CCF"/>
    <w:rsid w:val="00A63123"/>
    <w:rsid w:val="00A64E2C"/>
    <w:rsid w:val="00A6594B"/>
    <w:rsid w:val="00A6739D"/>
    <w:rsid w:val="00A71261"/>
    <w:rsid w:val="00A7302F"/>
    <w:rsid w:val="00A7534B"/>
    <w:rsid w:val="00A75727"/>
    <w:rsid w:val="00A76B70"/>
    <w:rsid w:val="00A76DF8"/>
    <w:rsid w:val="00A8065D"/>
    <w:rsid w:val="00A80F5B"/>
    <w:rsid w:val="00A820A3"/>
    <w:rsid w:val="00A8220C"/>
    <w:rsid w:val="00A82428"/>
    <w:rsid w:val="00A82A65"/>
    <w:rsid w:val="00A83C1B"/>
    <w:rsid w:val="00A84BDB"/>
    <w:rsid w:val="00A851AB"/>
    <w:rsid w:val="00A85686"/>
    <w:rsid w:val="00A85EF0"/>
    <w:rsid w:val="00A861CB"/>
    <w:rsid w:val="00A87F7C"/>
    <w:rsid w:val="00A905EE"/>
    <w:rsid w:val="00A906B6"/>
    <w:rsid w:val="00A90A17"/>
    <w:rsid w:val="00A925EB"/>
    <w:rsid w:val="00A9574E"/>
    <w:rsid w:val="00A95D7E"/>
    <w:rsid w:val="00A96169"/>
    <w:rsid w:val="00A971EC"/>
    <w:rsid w:val="00A97200"/>
    <w:rsid w:val="00A97228"/>
    <w:rsid w:val="00AA2086"/>
    <w:rsid w:val="00AA2F35"/>
    <w:rsid w:val="00AA3DD5"/>
    <w:rsid w:val="00AA44C5"/>
    <w:rsid w:val="00AA4A50"/>
    <w:rsid w:val="00AA4CBD"/>
    <w:rsid w:val="00AA4DFA"/>
    <w:rsid w:val="00AA5423"/>
    <w:rsid w:val="00AA631F"/>
    <w:rsid w:val="00AA7994"/>
    <w:rsid w:val="00AB1B28"/>
    <w:rsid w:val="00AB1BBD"/>
    <w:rsid w:val="00AB1F73"/>
    <w:rsid w:val="00AB2F7D"/>
    <w:rsid w:val="00AB42EB"/>
    <w:rsid w:val="00AB4BA7"/>
    <w:rsid w:val="00AB4E44"/>
    <w:rsid w:val="00AB4EF3"/>
    <w:rsid w:val="00AB5089"/>
    <w:rsid w:val="00AB5A45"/>
    <w:rsid w:val="00AB5C61"/>
    <w:rsid w:val="00AB652F"/>
    <w:rsid w:val="00AC0438"/>
    <w:rsid w:val="00AC0CB7"/>
    <w:rsid w:val="00AC0D9A"/>
    <w:rsid w:val="00AC0F62"/>
    <w:rsid w:val="00AC10A8"/>
    <w:rsid w:val="00AC12BA"/>
    <w:rsid w:val="00AC1871"/>
    <w:rsid w:val="00AC1E32"/>
    <w:rsid w:val="00AC3451"/>
    <w:rsid w:val="00AC3545"/>
    <w:rsid w:val="00AC38B3"/>
    <w:rsid w:val="00AC446A"/>
    <w:rsid w:val="00AC4DE1"/>
    <w:rsid w:val="00AC6AF3"/>
    <w:rsid w:val="00AC6CCE"/>
    <w:rsid w:val="00AC7D82"/>
    <w:rsid w:val="00AD022E"/>
    <w:rsid w:val="00AD1054"/>
    <w:rsid w:val="00AD12FC"/>
    <w:rsid w:val="00AD18EF"/>
    <w:rsid w:val="00AD230D"/>
    <w:rsid w:val="00AD28EB"/>
    <w:rsid w:val="00AD3E34"/>
    <w:rsid w:val="00AD4108"/>
    <w:rsid w:val="00AD4B7E"/>
    <w:rsid w:val="00AD4F19"/>
    <w:rsid w:val="00AD71E5"/>
    <w:rsid w:val="00AD7782"/>
    <w:rsid w:val="00AD78AF"/>
    <w:rsid w:val="00AD7B0C"/>
    <w:rsid w:val="00AE0383"/>
    <w:rsid w:val="00AE0420"/>
    <w:rsid w:val="00AE0970"/>
    <w:rsid w:val="00AE128C"/>
    <w:rsid w:val="00AE1D46"/>
    <w:rsid w:val="00AE2C51"/>
    <w:rsid w:val="00AE448A"/>
    <w:rsid w:val="00AE6D05"/>
    <w:rsid w:val="00AE7464"/>
    <w:rsid w:val="00AE7887"/>
    <w:rsid w:val="00AE7BD9"/>
    <w:rsid w:val="00AE7CD3"/>
    <w:rsid w:val="00AF061A"/>
    <w:rsid w:val="00AF0627"/>
    <w:rsid w:val="00AF1C2A"/>
    <w:rsid w:val="00AF201C"/>
    <w:rsid w:val="00AF21BC"/>
    <w:rsid w:val="00AF311E"/>
    <w:rsid w:val="00AF3A7E"/>
    <w:rsid w:val="00AF405A"/>
    <w:rsid w:val="00AF43CD"/>
    <w:rsid w:val="00AF4E15"/>
    <w:rsid w:val="00AF5372"/>
    <w:rsid w:val="00AF5635"/>
    <w:rsid w:val="00AF59BA"/>
    <w:rsid w:val="00B008E3"/>
    <w:rsid w:val="00B0147E"/>
    <w:rsid w:val="00B0186C"/>
    <w:rsid w:val="00B02265"/>
    <w:rsid w:val="00B02EE0"/>
    <w:rsid w:val="00B02F7E"/>
    <w:rsid w:val="00B030E9"/>
    <w:rsid w:val="00B03C3B"/>
    <w:rsid w:val="00B03FC4"/>
    <w:rsid w:val="00B04049"/>
    <w:rsid w:val="00B04898"/>
    <w:rsid w:val="00B0797F"/>
    <w:rsid w:val="00B07E9E"/>
    <w:rsid w:val="00B11F0F"/>
    <w:rsid w:val="00B120AC"/>
    <w:rsid w:val="00B125FE"/>
    <w:rsid w:val="00B1262D"/>
    <w:rsid w:val="00B1313A"/>
    <w:rsid w:val="00B13166"/>
    <w:rsid w:val="00B13E2E"/>
    <w:rsid w:val="00B140AE"/>
    <w:rsid w:val="00B1442B"/>
    <w:rsid w:val="00B14963"/>
    <w:rsid w:val="00B14A17"/>
    <w:rsid w:val="00B14A7E"/>
    <w:rsid w:val="00B15341"/>
    <w:rsid w:val="00B15DA2"/>
    <w:rsid w:val="00B1702C"/>
    <w:rsid w:val="00B17705"/>
    <w:rsid w:val="00B20148"/>
    <w:rsid w:val="00B20E67"/>
    <w:rsid w:val="00B213F4"/>
    <w:rsid w:val="00B21A6E"/>
    <w:rsid w:val="00B228AF"/>
    <w:rsid w:val="00B24526"/>
    <w:rsid w:val="00B25A96"/>
    <w:rsid w:val="00B27059"/>
    <w:rsid w:val="00B2797F"/>
    <w:rsid w:val="00B30710"/>
    <w:rsid w:val="00B3072E"/>
    <w:rsid w:val="00B308D6"/>
    <w:rsid w:val="00B31D19"/>
    <w:rsid w:val="00B31F6D"/>
    <w:rsid w:val="00B3201D"/>
    <w:rsid w:val="00B33270"/>
    <w:rsid w:val="00B332FE"/>
    <w:rsid w:val="00B348C8"/>
    <w:rsid w:val="00B358F4"/>
    <w:rsid w:val="00B36E03"/>
    <w:rsid w:val="00B40A32"/>
    <w:rsid w:val="00B40F65"/>
    <w:rsid w:val="00B41683"/>
    <w:rsid w:val="00B41798"/>
    <w:rsid w:val="00B42A20"/>
    <w:rsid w:val="00B42AE5"/>
    <w:rsid w:val="00B4389B"/>
    <w:rsid w:val="00B438C4"/>
    <w:rsid w:val="00B43AA3"/>
    <w:rsid w:val="00B44B06"/>
    <w:rsid w:val="00B451AE"/>
    <w:rsid w:val="00B45209"/>
    <w:rsid w:val="00B4544C"/>
    <w:rsid w:val="00B4554C"/>
    <w:rsid w:val="00B45C54"/>
    <w:rsid w:val="00B46EB5"/>
    <w:rsid w:val="00B47889"/>
    <w:rsid w:val="00B502B8"/>
    <w:rsid w:val="00B50370"/>
    <w:rsid w:val="00B54AAD"/>
    <w:rsid w:val="00B552E5"/>
    <w:rsid w:val="00B56B8C"/>
    <w:rsid w:val="00B56CDB"/>
    <w:rsid w:val="00B57938"/>
    <w:rsid w:val="00B57B35"/>
    <w:rsid w:val="00B62D55"/>
    <w:rsid w:val="00B62DAF"/>
    <w:rsid w:val="00B64FEC"/>
    <w:rsid w:val="00B67877"/>
    <w:rsid w:val="00B706BE"/>
    <w:rsid w:val="00B710D1"/>
    <w:rsid w:val="00B71B06"/>
    <w:rsid w:val="00B71DBD"/>
    <w:rsid w:val="00B72F48"/>
    <w:rsid w:val="00B7341E"/>
    <w:rsid w:val="00B73E88"/>
    <w:rsid w:val="00B74104"/>
    <w:rsid w:val="00B75420"/>
    <w:rsid w:val="00B7616C"/>
    <w:rsid w:val="00B76B44"/>
    <w:rsid w:val="00B77A35"/>
    <w:rsid w:val="00B8035A"/>
    <w:rsid w:val="00B808F7"/>
    <w:rsid w:val="00B80991"/>
    <w:rsid w:val="00B80FE3"/>
    <w:rsid w:val="00B81B2B"/>
    <w:rsid w:val="00B84509"/>
    <w:rsid w:val="00B84EFF"/>
    <w:rsid w:val="00B8715B"/>
    <w:rsid w:val="00B901F9"/>
    <w:rsid w:val="00B90756"/>
    <w:rsid w:val="00B92F44"/>
    <w:rsid w:val="00B93974"/>
    <w:rsid w:val="00B93E17"/>
    <w:rsid w:val="00B949C9"/>
    <w:rsid w:val="00B965E5"/>
    <w:rsid w:val="00B96FD4"/>
    <w:rsid w:val="00B972F7"/>
    <w:rsid w:val="00B97A4D"/>
    <w:rsid w:val="00BA1007"/>
    <w:rsid w:val="00BA2A4F"/>
    <w:rsid w:val="00BA2AE3"/>
    <w:rsid w:val="00BA325F"/>
    <w:rsid w:val="00BA37AD"/>
    <w:rsid w:val="00BA3FFF"/>
    <w:rsid w:val="00BA45FE"/>
    <w:rsid w:val="00BA591D"/>
    <w:rsid w:val="00BA67B6"/>
    <w:rsid w:val="00BA6F96"/>
    <w:rsid w:val="00BB1291"/>
    <w:rsid w:val="00BB3948"/>
    <w:rsid w:val="00BB4BE0"/>
    <w:rsid w:val="00BB5486"/>
    <w:rsid w:val="00BB5A5B"/>
    <w:rsid w:val="00BB6F4A"/>
    <w:rsid w:val="00BB70FB"/>
    <w:rsid w:val="00BB77F8"/>
    <w:rsid w:val="00BB79C7"/>
    <w:rsid w:val="00BB7C1A"/>
    <w:rsid w:val="00BC0417"/>
    <w:rsid w:val="00BC30BC"/>
    <w:rsid w:val="00BD0AAD"/>
    <w:rsid w:val="00BD1066"/>
    <w:rsid w:val="00BD139A"/>
    <w:rsid w:val="00BD218E"/>
    <w:rsid w:val="00BD25B2"/>
    <w:rsid w:val="00BD3350"/>
    <w:rsid w:val="00BD4A95"/>
    <w:rsid w:val="00BD5E2D"/>
    <w:rsid w:val="00BD73B9"/>
    <w:rsid w:val="00BD7B9D"/>
    <w:rsid w:val="00BD7CA4"/>
    <w:rsid w:val="00BD7F6B"/>
    <w:rsid w:val="00BE0058"/>
    <w:rsid w:val="00BE02B2"/>
    <w:rsid w:val="00BE0641"/>
    <w:rsid w:val="00BE0F6C"/>
    <w:rsid w:val="00BE0FB1"/>
    <w:rsid w:val="00BE12BF"/>
    <w:rsid w:val="00BE1B75"/>
    <w:rsid w:val="00BE513C"/>
    <w:rsid w:val="00BE524A"/>
    <w:rsid w:val="00BE5AA8"/>
    <w:rsid w:val="00BF0504"/>
    <w:rsid w:val="00BF0C4B"/>
    <w:rsid w:val="00BF0D19"/>
    <w:rsid w:val="00BF154A"/>
    <w:rsid w:val="00BF24DA"/>
    <w:rsid w:val="00BF3080"/>
    <w:rsid w:val="00BF367C"/>
    <w:rsid w:val="00BF3B74"/>
    <w:rsid w:val="00BF5352"/>
    <w:rsid w:val="00BF56A0"/>
    <w:rsid w:val="00BF6403"/>
    <w:rsid w:val="00BF725E"/>
    <w:rsid w:val="00C006EC"/>
    <w:rsid w:val="00C01214"/>
    <w:rsid w:val="00C01707"/>
    <w:rsid w:val="00C01AC9"/>
    <w:rsid w:val="00C02810"/>
    <w:rsid w:val="00C02A67"/>
    <w:rsid w:val="00C02F4B"/>
    <w:rsid w:val="00C03D0F"/>
    <w:rsid w:val="00C04924"/>
    <w:rsid w:val="00C04D49"/>
    <w:rsid w:val="00C074A9"/>
    <w:rsid w:val="00C07A18"/>
    <w:rsid w:val="00C13C37"/>
    <w:rsid w:val="00C14C5D"/>
    <w:rsid w:val="00C14D26"/>
    <w:rsid w:val="00C160A3"/>
    <w:rsid w:val="00C16CFF"/>
    <w:rsid w:val="00C16DFE"/>
    <w:rsid w:val="00C16F31"/>
    <w:rsid w:val="00C20153"/>
    <w:rsid w:val="00C2101F"/>
    <w:rsid w:val="00C21895"/>
    <w:rsid w:val="00C23319"/>
    <w:rsid w:val="00C23494"/>
    <w:rsid w:val="00C23BC3"/>
    <w:rsid w:val="00C23CDD"/>
    <w:rsid w:val="00C25158"/>
    <w:rsid w:val="00C26D77"/>
    <w:rsid w:val="00C319A5"/>
    <w:rsid w:val="00C3216D"/>
    <w:rsid w:val="00C32D37"/>
    <w:rsid w:val="00C330A1"/>
    <w:rsid w:val="00C3320B"/>
    <w:rsid w:val="00C34224"/>
    <w:rsid w:val="00C348EE"/>
    <w:rsid w:val="00C34D1F"/>
    <w:rsid w:val="00C351DF"/>
    <w:rsid w:val="00C3553B"/>
    <w:rsid w:val="00C3556A"/>
    <w:rsid w:val="00C35EDB"/>
    <w:rsid w:val="00C36A60"/>
    <w:rsid w:val="00C36ED1"/>
    <w:rsid w:val="00C37AF8"/>
    <w:rsid w:val="00C37BC0"/>
    <w:rsid w:val="00C402EE"/>
    <w:rsid w:val="00C4059D"/>
    <w:rsid w:val="00C40626"/>
    <w:rsid w:val="00C418EB"/>
    <w:rsid w:val="00C43603"/>
    <w:rsid w:val="00C437A2"/>
    <w:rsid w:val="00C45C1D"/>
    <w:rsid w:val="00C472D1"/>
    <w:rsid w:val="00C476FC"/>
    <w:rsid w:val="00C47A7B"/>
    <w:rsid w:val="00C47D12"/>
    <w:rsid w:val="00C50BCA"/>
    <w:rsid w:val="00C50D05"/>
    <w:rsid w:val="00C50EA4"/>
    <w:rsid w:val="00C52E6D"/>
    <w:rsid w:val="00C55547"/>
    <w:rsid w:val="00C56756"/>
    <w:rsid w:val="00C575DB"/>
    <w:rsid w:val="00C6070A"/>
    <w:rsid w:val="00C611A1"/>
    <w:rsid w:val="00C61570"/>
    <w:rsid w:val="00C61EC0"/>
    <w:rsid w:val="00C6332F"/>
    <w:rsid w:val="00C63DC2"/>
    <w:rsid w:val="00C65F88"/>
    <w:rsid w:val="00C66380"/>
    <w:rsid w:val="00C66406"/>
    <w:rsid w:val="00C6645B"/>
    <w:rsid w:val="00C66947"/>
    <w:rsid w:val="00C67064"/>
    <w:rsid w:val="00C670FB"/>
    <w:rsid w:val="00C70440"/>
    <w:rsid w:val="00C705F1"/>
    <w:rsid w:val="00C7071E"/>
    <w:rsid w:val="00C71092"/>
    <w:rsid w:val="00C723FD"/>
    <w:rsid w:val="00C72CDB"/>
    <w:rsid w:val="00C7411F"/>
    <w:rsid w:val="00C7499B"/>
    <w:rsid w:val="00C754B1"/>
    <w:rsid w:val="00C75E8C"/>
    <w:rsid w:val="00C77279"/>
    <w:rsid w:val="00C8104F"/>
    <w:rsid w:val="00C82CDF"/>
    <w:rsid w:val="00C82F8F"/>
    <w:rsid w:val="00C8452B"/>
    <w:rsid w:val="00C8495D"/>
    <w:rsid w:val="00C8518C"/>
    <w:rsid w:val="00C856B4"/>
    <w:rsid w:val="00C87086"/>
    <w:rsid w:val="00C901C2"/>
    <w:rsid w:val="00C90F6D"/>
    <w:rsid w:val="00C9104D"/>
    <w:rsid w:val="00C91206"/>
    <w:rsid w:val="00C91E94"/>
    <w:rsid w:val="00C935C0"/>
    <w:rsid w:val="00C9432C"/>
    <w:rsid w:val="00C97431"/>
    <w:rsid w:val="00C97695"/>
    <w:rsid w:val="00CA012C"/>
    <w:rsid w:val="00CA0417"/>
    <w:rsid w:val="00CA0D62"/>
    <w:rsid w:val="00CA33F4"/>
    <w:rsid w:val="00CA5907"/>
    <w:rsid w:val="00CA6C90"/>
    <w:rsid w:val="00CB0861"/>
    <w:rsid w:val="00CB1075"/>
    <w:rsid w:val="00CB3DAD"/>
    <w:rsid w:val="00CB3E59"/>
    <w:rsid w:val="00CB3EE6"/>
    <w:rsid w:val="00CB408E"/>
    <w:rsid w:val="00CB542F"/>
    <w:rsid w:val="00CB56FA"/>
    <w:rsid w:val="00CB598D"/>
    <w:rsid w:val="00CB696D"/>
    <w:rsid w:val="00CC0574"/>
    <w:rsid w:val="00CC072B"/>
    <w:rsid w:val="00CC0DA3"/>
    <w:rsid w:val="00CC1271"/>
    <w:rsid w:val="00CC17C8"/>
    <w:rsid w:val="00CC17E7"/>
    <w:rsid w:val="00CC3CA0"/>
    <w:rsid w:val="00CC3E60"/>
    <w:rsid w:val="00CC535C"/>
    <w:rsid w:val="00CC6D21"/>
    <w:rsid w:val="00CC7795"/>
    <w:rsid w:val="00CC79C8"/>
    <w:rsid w:val="00CD152C"/>
    <w:rsid w:val="00CD193D"/>
    <w:rsid w:val="00CD2D49"/>
    <w:rsid w:val="00CD48F9"/>
    <w:rsid w:val="00CD50C9"/>
    <w:rsid w:val="00CD623F"/>
    <w:rsid w:val="00CD67A6"/>
    <w:rsid w:val="00CD79DC"/>
    <w:rsid w:val="00CE0729"/>
    <w:rsid w:val="00CE0856"/>
    <w:rsid w:val="00CE0CFB"/>
    <w:rsid w:val="00CE11C4"/>
    <w:rsid w:val="00CE18F5"/>
    <w:rsid w:val="00CE3580"/>
    <w:rsid w:val="00CE4893"/>
    <w:rsid w:val="00CE4D28"/>
    <w:rsid w:val="00CE5054"/>
    <w:rsid w:val="00CE6DDA"/>
    <w:rsid w:val="00CE7D82"/>
    <w:rsid w:val="00CF0180"/>
    <w:rsid w:val="00CF0623"/>
    <w:rsid w:val="00CF22FA"/>
    <w:rsid w:val="00CF3578"/>
    <w:rsid w:val="00CF3CDD"/>
    <w:rsid w:val="00CF4334"/>
    <w:rsid w:val="00CF6E2B"/>
    <w:rsid w:val="00CF6F55"/>
    <w:rsid w:val="00CF7862"/>
    <w:rsid w:val="00D013B4"/>
    <w:rsid w:val="00D01785"/>
    <w:rsid w:val="00D020BD"/>
    <w:rsid w:val="00D0312C"/>
    <w:rsid w:val="00D03F36"/>
    <w:rsid w:val="00D05CA4"/>
    <w:rsid w:val="00D05DEF"/>
    <w:rsid w:val="00D06578"/>
    <w:rsid w:val="00D0787F"/>
    <w:rsid w:val="00D10037"/>
    <w:rsid w:val="00D104EE"/>
    <w:rsid w:val="00D1085D"/>
    <w:rsid w:val="00D11078"/>
    <w:rsid w:val="00D112C9"/>
    <w:rsid w:val="00D13712"/>
    <w:rsid w:val="00D13BCE"/>
    <w:rsid w:val="00D14275"/>
    <w:rsid w:val="00D14953"/>
    <w:rsid w:val="00D14AEA"/>
    <w:rsid w:val="00D14CBA"/>
    <w:rsid w:val="00D14D9A"/>
    <w:rsid w:val="00D15E31"/>
    <w:rsid w:val="00D178F1"/>
    <w:rsid w:val="00D214AF"/>
    <w:rsid w:val="00D21779"/>
    <w:rsid w:val="00D223DE"/>
    <w:rsid w:val="00D224FB"/>
    <w:rsid w:val="00D23833"/>
    <w:rsid w:val="00D25089"/>
    <w:rsid w:val="00D25FA1"/>
    <w:rsid w:val="00D30203"/>
    <w:rsid w:val="00D308D1"/>
    <w:rsid w:val="00D32657"/>
    <w:rsid w:val="00D348FD"/>
    <w:rsid w:val="00D35BB5"/>
    <w:rsid w:val="00D3669B"/>
    <w:rsid w:val="00D375A1"/>
    <w:rsid w:val="00D376B4"/>
    <w:rsid w:val="00D376BF"/>
    <w:rsid w:val="00D37A86"/>
    <w:rsid w:val="00D40CFD"/>
    <w:rsid w:val="00D41081"/>
    <w:rsid w:val="00D429D2"/>
    <w:rsid w:val="00D42F1B"/>
    <w:rsid w:val="00D4405E"/>
    <w:rsid w:val="00D44B1C"/>
    <w:rsid w:val="00D45083"/>
    <w:rsid w:val="00D45A04"/>
    <w:rsid w:val="00D46357"/>
    <w:rsid w:val="00D478BA"/>
    <w:rsid w:val="00D50A29"/>
    <w:rsid w:val="00D51209"/>
    <w:rsid w:val="00D52D0D"/>
    <w:rsid w:val="00D52DB8"/>
    <w:rsid w:val="00D53678"/>
    <w:rsid w:val="00D53721"/>
    <w:rsid w:val="00D55BF8"/>
    <w:rsid w:val="00D568EA"/>
    <w:rsid w:val="00D56DC8"/>
    <w:rsid w:val="00D57902"/>
    <w:rsid w:val="00D57DAE"/>
    <w:rsid w:val="00D606F9"/>
    <w:rsid w:val="00D6148A"/>
    <w:rsid w:val="00D6178A"/>
    <w:rsid w:val="00D61D15"/>
    <w:rsid w:val="00D628F9"/>
    <w:rsid w:val="00D64596"/>
    <w:rsid w:val="00D6615F"/>
    <w:rsid w:val="00D67107"/>
    <w:rsid w:val="00D67569"/>
    <w:rsid w:val="00D67BDF"/>
    <w:rsid w:val="00D67DCE"/>
    <w:rsid w:val="00D700E5"/>
    <w:rsid w:val="00D71B0C"/>
    <w:rsid w:val="00D73649"/>
    <w:rsid w:val="00D737C0"/>
    <w:rsid w:val="00D7473F"/>
    <w:rsid w:val="00D749B6"/>
    <w:rsid w:val="00D74B97"/>
    <w:rsid w:val="00D76A8F"/>
    <w:rsid w:val="00D772B2"/>
    <w:rsid w:val="00D77D83"/>
    <w:rsid w:val="00D81248"/>
    <w:rsid w:val="00D8221C"/>
    <w:rsid w:val="00D82DF3"/>
    <w:rsid w:val="00D84BFF"/>
    <w:rsid w:val="00D85097"/>
    <w:rsid w:val="00D85391"/>
    <w:rsid w:val="00D8569E"/>
    <w:rsid w:val="00D879B5"/>
    <w:rsid w:val="00D928BE"/>
    <w:rsid w:val="00D936FC"/>
    <w:rsid w:val="00D93F47"/>
    <w:rsid w:val="00D9433D"/>
    <w:rsid w:val="00D952A5"/>
    <w:rsid w:val="00D95ADC"/>
    <w:rsid w:val="00D96523"/>
    <w:rsid w:val="00D96A9A"/>
    <w:rsid w:val="00D973C6"/>
    <w:rsid w:val="00D9792F"/>
    <w:rsid w:val="00D97C44"/>
    <w:rsid w:val="00DA1602"/>
    <w:rsid w:val="00DA1799"/>
    <w:rsid w:val="00DA277F"/>
    <w:rsid w:val="00DA34CA"/>
    <w:rsid w:val="00DA479C"/>
    <w:rsid w:val="00DA5034"/>
    <w:rsid w:val="00DA55A3"/>
    <w:rsid w:val="00DA5ADA"/>
    <w:rsid w:val="00DA718F"/>
    <w:rsid w:val="00DB1BB3"/>
    <w:rsid w:val="00DB1C7A"/>
    <w:rsid w:val="00DB4896"/>
    <w:rsid w:val="00DB5EBF"/>
    <w:rsid w:val="00DB7C68"/>
    <w:rsid w:val="00DC18AE"/>
    <w:rsid w:val="00DC284B"/>
    <w:rsid w:val="00DC4D6A"/>
    <w:rsid w:val="00DC570C"/>
    <w:rsid w:val="00DC69B9"/>
    <w:rsid w:val="00DC72DC"/>
    <w:rsid w:val="00DC74B6"/>
    <w:rsid w:val="00DD076A"/>
    <w:rsid w:val="00DD191D"/>
    <w:rsid w:val="00DD2239"/>
    <w:rsid w:val="00DD27F2"/>
    <w:rsid w:val="00DD2FAD"/>
    <w:rsid w:val="00DD4ED1"/>
    <w:rsid w:val="00DD5C7E"/>
    <w:rsid w:val="00DD6CED"/>
    <w:rsid w:val="00DD7414"/>
    <w:rsid w:val="00DD7886"/>
    <w:rsid w:val="00DE0467"/>
    <w:rsid w:val="00DE0AAE"/>
    <w:rsid w:val="00DE247E"/>
    <w:rsid w:val="00DE33E4"/>
    <w:rsid w:val="00DE6869"/>
    <w:rsid w:val="00DE705E"/>
    <w:rsid w:val="00DE7DEE"/>
    <w:rsid w:val="00DF0119"/>
    <w:rsid w:val="00DF05DD"/>
    <w:rsid w:val="00DF170B"/>
    <w:rsid w:val="00DF3532"/>
    <w:rsid w:val="00DF35B5"/>
    <w:rsid w:val="00DF48FC"/>
    <w:rsid w:val="00DF4AEA"/>
    <w:rsid w:val="00DF612C"/>
    <w:rsid w:val="00DF619E"/>
    <w:rsid w:val="00DF67D1"/>
    <w:rsid w:val="00DF75D1"/>
    <w:rsid w:val="00DF7964"/>
    <w:rsid w:val="00DF7EB2"/>
    <w:rsid w:val="00E029C2"/>
    <w:rsid w:val="00E02A56"/>
    <w:rsid w:val="00E03CB3"/>
    <w:rsid w:val="00E03F3D"/>
    <w:rsid w:val="00E0417C"/>
    <w:rsid w:val="00E04503"/>
    <w:rsid w:val="00E04A0B"/>
    <w:rsid w:val="00E04B4A"/>
    <w:rsid w:val="00E05EE5"/>
    <w:rsid w:val="00E07A19"/>
    <w:rsid w:val="00E1001C"/>
    <w:rsid w:val="00E114C3"/>
    <w:rsid w:val="00E11635"/>
    <w:rsid w:val="00E11787"/>
    <w:rsid w:val="00E12AF3"/>
    <w:rsid w:val="00E12E9D"/>
    <w:rsid w:val="00E13943"/>
    <w:rsid w:val="00E14980"/>
    <w:rsid w:val="00E14B5C"/>
    <w:rsid w:val="00E16423"/>
    <w:rsid w:val="00E1693A"/>
    <w:rsid w:val="00E1753A"/>
    <w:rsid w:val="00E175F3"/>
    <w:rsid w:val="00E20A1F"/>
    <w:rsid w:val="00E24F21"/>
    <w:rsid w:val="00E24F35"/>
    <w:rsid w:val="00E2788C"/>
    <w:rsid w:val="00E27A87"/>
    <w:rsid w:val="00E31BA3"/>
    <w:rsid w:val="00E321CB"/>
    <w:rsid w:val="00E32885"/>
    <w:rsid w:val="00E334A6"/>
    <w:rsid w:val="00E33DF5"/>
    <w:rsid w:val="00E3433E"/>
    <w:rsid w:val="00E346FB"/>
    <w:rsid w:val="00E34ED5"/>
    <w:rsid w:val="00E37877"/>
    <w:rsid w:val="00E408CB"/>
    <w:rsid w:val="00E40A3C"/>
    <w:rsid w:val="00E40C98"/>
    <w:rsid w:val="00E4116B"/>
    <w:rsid w:val="00E41319"/>
    <w:rsid w:val="00E421BA"/>
    <w:rsid w:val="00E428A2"/>
    <w:rsid w:val="00E428D7"/>
    <w:rsid w:val="00E43E07"/>
    <w:rsid w:val="00E44349"/>
    <w:rsid w:val="00E4446A"/>
    <w:rsid w:val="00E44D13"/>
    <w:rsid w:val="00E46431"/>
    <w:rsid w:val="00E469FB"/>
    <w:rsid w:val="00E51A20"/>
    <w:rsid w:val="00E52372"/>
    <w:rsid w:val="00E53614"/>
    <w:rsid w:val="00E536C6"/>
    <w:rsid w:val="00E53870"/>
    <w:rsid w:val="00E542C6"/>
    <w:rsid w:val="00E54653"/>
    <w:rsid w:val="00E54E85"/>
    <w:rsid w:val="00E559FE"/>
    <w:rsid w:val="00E56018"/>
    <w:rsid w:val="00E569D3"/>
    <w:rsid w:val="00E5721A"/>
    <w:rsid w:val="00E60C41"/>
    <w:rsid w:val="00E60FEA"/>
    <w:rsid w:val="00E6152D"/>
    <w:rsid w:val="00E62056"/>
    <w:rsid w:val="00E62280"/>
    <w:rsid w:val="00E6256E"/>
    <w:rsid w:val="00E625D6"/>
    <w:rsid w:val="00E63021"/>
    <w:rsid w:val="00E6319F"/>
    <w:rsid w:val="00E63722"/>
    <w:rsid w:val="00E63EC8"/>
    <w:rsid w:val="00E648A7"/>
    <w:rsid w:val="00E660F6"/>
    <w:rsid w:val="00E674E0"/>
    <w:rsid w:val="00E716B9"/>
    <w:rsid w:val="00E71ADF"/>
    <w:rsid w:val="00E73D1E"/>
    <w:rsid w:val="00E74569"/>
    <w:rsid w:val="00E76725"/>
    <w:rsid w:val="00E775C4"/>
    <w:rsid w:val="00E80471"/>
    <w:rsid w:val="00E80BBA"/>
    <w:rsid w:val="00E81C21"/>
    <w:rsid w:val="00E837E3"/>
    <w:rsid w:val="00E838E5"/>
    <w:rsid w:val="00E8555A"/>
    <w:rsid w:val="00E86EDB"/>
    <w:rsid w:val="00E87302"/>
    <w:rsid w:val="00E87628"/>
    <w:rsid w:val="00E8768A"/>
    <w:rsid w:val="00E87B73"/>
    <w:rsid w:val="00E90450"/>
    <w:rsid w:val="00E90D4C"/>
    <w:rsid w:val="00E91422"/>
    <w:rsid w:val="00E916FD"/>
    <w:rsid w:val="00E918F3"/>
    <w:rsid w:val="00E9221B"/>
    <w:rsid w:val="00E92ADC"/>
    <w:rsid w:val="00E92C93"/>
    <w:rsid w:val="00E93313"/>
    <w:rsid w:val="00E96A91"/>
    <w:rsid w:val="00E972C2"/>
    <w:rsid w:val="00E97FDA"/>
    <w:rsid w:val="00EA0033"/>
    <w:rsid w:val="00EA0F1E"/>
    <w:rsid w:val="00EA12FD"/>
    <w:rsid w:val="00EA2D45"/>
    <w:rsid w:val="00EA4C19"/>
    <w:rsid w:val="00EA4F3D"/>
    <w:rsid w:val="00EA7D02"/>
    <w:rsid w:val="00EB05A1"/>
    <w:rsid w:val="00EB1521"/>
    <w:rsid w:val="00EB1CAA"/>
    <w:rsid w:val="00EB1CDC"/>
    <w:rsid w:val="00EB3385"/>
    <w:rsid w:val="00EB39B1"/>
    <w:rsid w:val="00EB4490"/>
    <w:rsid w:val="00EB4573"/>
    <w:rsid w:val="00EB5554"/>
    <w:rsid w:val="00EB5A9C"/>
    <w:rsid w:val="00EB5D82"/>
    <w:rsid w:val="00EB5FFA"/>
    <w:rsid w:val="00EB680C"/>
    <w:rsid w:val="00EB6B3E"/>
    <w:rsid w:val="00EB7907"/>
    <w:rsid w:val="00EB7E20"/>
    <w:rsid w:val="00EC0D11"/>
    <w:rsid w:val="00EC0E7F"/>
    <w:rsid w:val="00EC114E"/>
    <w:rsid w:val="00EC1B94"/>
    <w:rsid w:val="00EC1DA4"/>
    <w:rsid w:val="00EC215C"/>
    <w:rsid w:val="00EC2633"/>
    <w:rsid w:val="00EC460A"/>
    <w:rsid w:val="00EC4C48"/>
    <w:rsid w:val="00EC4D5A"/>
    <w:rsid w:val="00EC6894"/>
    <w:rsid w:val="00EC6F89"/>
    <w:rsid w:val="00ED0363"/>
    <w:rsid w:val="00ED03EC"/>
    <w:rsid w:val="00ED0548"/>
    <w:rsid w:val="00ED269D"/>
    <w:rsid w:val="00ED2953"/>
    <w:rsid w:val="00ED5946"/>
    <w:rsid w:val="00ED7A49"/>
    <w:rsid w:val="00ED7B36"/>
    <w:rsid w:val="00ED7EC7"/>
    <w:rsid w:val="00EE087A"/>
    <w:rsid w:val="00EE3567"/>
    <w:rsid w:val="00EE3D35"/>
    <w:rsid w:val="00EE47AD"/>
    <w:rsid w:val="00EE6024"/>
    <w:rsid w:val="00EF1D4C"/>
    <w:rsid w:val="00EF3550"/>
    <w:rsid w:val="00EF3B14"/>
    <w:rsid w:val="00EF3CB8"/>
    <w:rsid w:val="00EF3D05"/>
    <w:rsid w:val="00EF4C58"/>
    <w:rsid w:val="00EF5BD7"/>
    <w:rsid w:val="00EF7A43"/>
    <w:rsid w:val="00F05378"/>
    <w:rsid w:val="00F067D1"/>
    <w:rsid w:val="00F0685C"/>
    <w:rsid w:val="00F075EE"/>
    <w:rsid w:val="00F0775C"/>
    <w:rsid w:val="00F07DA5"/>
    <w:rsid w:val="00F100F4"/>
    <w:rsid w:val="00F10BB9"/>
    <w:rsid w:val="00F124CE"/>
    <w:rsid w:val="00F1255A"/>
    <w:rsid w:val="00F12944"/>
    <w:rsid w:val="00F12EDE"/>
    <w:rsid w:val="00F1437A"/>
    <w:rsid w:val="00F14DEE"/>
    <w:rsid w:val="00F14EBA"/>
    <w:rsid w:val="00F16A3B"/>
    <w:rsid w:val="00F17693"/>
    <w:rsid w:val="00F17F60"/>
    <w:rsid w:val="00F200CE"/>
    <w:rsid w:val="00F221FD"/>
    <w:rsid w:val="00F2224A"/>
    <w:rsid w:val="00F233C5"/>
    <w:rsid w:val="00F233D2"/>
    <w:rsid w:val="00F23E7B"/>
    <w:rsid w:val="00F23FD5"/>
    <w:rsid w:val="00F24C4D"/>
    <w:rsid w:val="00F24CEF"/>
    <w:rsid w:val="00F25DB7"/>
    <w:rsid w:val="00F26FF4"/>
    <w:rsid w:val="00F27753"/>
    <w:rsid w:val="00F300E2"/>
    <w:rsid w:val="00F324F0"/>
    <w:rsid w:val="00F326FB"/>
    <w:rsid w:val="00F331A9"/>
    <w:rsid w:val="00F338D0"/>
    <w:rsid w:val="00F33C1B"/>
    <w:rsid w:val="00F36065"/>
    <w:rsid w:val="00F36FE8"/>
    <w:rsid w:val="00F37396"/>
    <w:rsid w:val="00F37550"/>
    <w:rsid w:val="00F378AB"/>
    <w:rsid w:val="00F418A2"/>
    <w:rsid w:val="00F43A3F"/>
    <w:rsid w:val="00F43A68"/>
    <w:rsid w:val="00F44799"/>
    <w:rsid w:val="00F454AF"/>
    <w:rsid w:val="00F458B7"/>
    <w:rsid w:val="00F46F59"/>
    <w:rsid w:val="00F47CBB"/>
    <w:rsid w:val="00F503F4"/>
    <w:rsid w:val="00F50434"/>
    <w:rsid w:val="00F51284"/>
    <w:rsid w:val="00F513E3"/>
    <w:rsid w:val="00F51BCD"/>
    <w:rsid w:val="00F52278"/>
    <w:rsid w:val="00F52D6C"/>
    <w:rsid w:val="00F556C6"/>
    <w:rsid w:val="00F55F0B"/>
    <w:rsid w:val="00F56215"/>
    <w:rsid w:val="00F563A5"/>
    <w:rsid w:val="00F5642E"/>
    <w:rsid w:val="00F578F6"/>
    <w:rsid w:val="00F60A1F"/>
    <w:rsid w:val="00F61A88"/>
    <w:rsid w:val="00F61CD8"/>
    <w:rsid w:val="00F62814"/>
    <w:rsid w:val="00F64857"/>
    <w:rsid w:val="00F654EA"/>
    <w:rsid w:val="00F667AB"/>
    <w:rsid w:val="00F67038"/>
    <w:rsid w:val="00F674CA"/>
    <w:rsid w:val="00F67D49"/>
    <w:rsid w:val="00F703AD"/>
    <w:rsid w:val="00F713A2"/>
    <w:rsid w:val="00F71C76"/>
    <w:rsid w:val="00F7236E"/>
    <w:rsid w:val="00F72BCB"/>
    <w:rsid w:val="00F73A4C"/>
    <w:rsid w:val="00F73A71"/>
    <w:rsid w:val="00F74B38"/>
    <w:rsid w:val="00F764E7"/>
    <w:rsid w:val="00F76FFC"/>
    <w:rsid w:val="00F80155"/>
    <w:rsid w:val="00F80A95"/>
    <w:rsid w:val="00F8141D"/>
    <w:rsid w:val="00F81B3F"/>
    <w:rsid w:val="00F81F27"/>
    <w:rsid w:val="00F82FAC"/>
    <w:rsid w:val="00F835F1"/>
    <w:rsid w:val="00F843C9"/>
    <w:rsid w:val="00F856FE"/>
    <w:rsid w:val="00F86F33"/>
    <w:rsid w:val="00F8771F"/>
    <w:rsid w:val="00F9000A"/>
    <w:rsid w:val="00F9006C"/>
    <w:rsid w:val="00F930C5"/>
    <w:rsid w:val="00F932E1"/>
    <w:rsid w:val="00F93F90"/>
    <w:rsid w:val="00F94488"/>
    <w:rsid w:val="00F94F1A"/>
    <w:rsid w:val="00F95055"/>
    <w:rsid w:val="00F95BD6"/>
    <w:rsid w:val="00F95F5A"/>
    <w:rsid w:val="00F96EE7"/>
    <w:rsid w:val="00FA02CE"/>
    <w:rsid w:val="00FA12D7"/>
    <w:rsid w:val="00FA13B7"/>
    <w:rsid w:val="00FA1969"/>
    <w:rsid w:val="00FA1D01"/>
    <w:rsid w:val="00FA2960"/>
    <w:rsid w:val="00FA4031"/>
    <w:rsid w:val="00FA578E"/>
    <w:rsid w:val="00FA6417"/>
    <w:rsid w:val="00FA67AA"/>
    <w:rsid w:val="00FA6B45"/>
    <w:rsid w:val="00FB0A07"/>
    <w:rsid w:val="00FB1573"/>
    <w:rsid w:val="00FB1597"/>
    <w:rsid w:val="00FB334A"/>
    <w:rsid w:val="00FB35CF"/>
    <w:rsid w:val="00FB35D6"/>
    <w:rsid w:val="00FB45D2"/>
    <w:rsid w:val="00FB4819"/>
    <w:rsid w:val="00FB48AF"/>
    <w:rsid w:val="00FB5344"/>
    <w:rsid w:val="00FB59A1"/>
    <w:rsid w:val="00FB62E4"/>
    <w:rsid w:val="00FB65F3"/>
    <w:rsid w:val="00FB6F9C"/>
    <w:rsid w:val="00FC0264"/>
    <w:rsid w:val="00FC054A"/>
    <w:rsid w:val="00FC095A"/>
    <w:rsid w:val="00FC103C"/>
    <w:rsid w:val="00FC14A4"/>
    <w:rsid w:val="00FC1D37"/>
    <w:rsid w:val="00FC3B8E"/>
    <w:rsid w:val="00FC4D38"/>
    <w:rsid w:val="00FC5B55"/>
    <w:rsid w:val="00FC5EF4"/>
    <w:rsid w:val="00FC6FA7"/>
    <w:rsid w:val="00FC7D67"/>
    <w:rsid w:val="00FD06B9"/>
    <w:rsid w:val="00FD0A29"/>
    <w:rsid w:val="00FD2F3E"/>
    <w:rsid w:val="00FD3703"/>
    <w:rsid w:val="00FD4138"/>
    <w:rsid w:val="00FD50A0"/>
    <w:rsid w:val="00FD5147"/>
    <w:rsid w:val="00FD60C3"/>
    <w:rsid w:val="00FD6174"/>
    <w:rsid w:val="00FD6983"/>
    <w:rsid w:val="00FE0291"/>
    <w:rsid w:val="00FE144A"/>
    <w:rsid w:val="00FE1B48"/>
    <w:rsid w:val="00FE1E7B"/>
    <w:rsid w:val="00FE339F"/>
    <w:rsid w:val="00FE399B"/>
    <w:rsid w:val="00FE3F9D"/>
    <w:rsid w:val="00FE60DD"/>
    <w:rsid w:val="00FE7537"/>
    <w:rsid w:val="00FF2611"/>
    <w:rsid w:val="00FF2C7E"/>
    <w:rsid w:val="00FF2D50"/>
    <w:rsid w:val="00FF3720"/>
    <w:rsid w:val="00FF3769"/>
    <w:rsid w:val="00FF449E"/>
    <w:rsid w:val="00FF4CAA"/>
    <w:rsid w:val="00FF52CE"/>
    <w:rsid w:val="00FF57E1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."/>
  <w:listSeparator w:val=","/>
  <w14:docId w14:val="151B783F"/>
  <w15:docId w15:val="{33CAA76A-3977-4E66-BAB9-2FB0C4A4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488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7E41FC"/>
    <w:pPr>
      <w:keepNext/>
      <w:bidi w:val="0"/>
      <w:spacing w:line="300" w:lineRule="exact"/>
      <w:jc w:val="center"/>
      <w:outlineLvl w:val="0"/>
    </w:pPr>
    <w:rPr>
      <w:rFonts w:ascii="Times" w:hAnsi="Times" w:cs="Times"/>
      <w:b/>
      <w:bCs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E41F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7E41FC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a"/>
    <w:rsid w:val="007E41FC"/>
    <w:pPr>
      <w:bidi w:val="0"/>
      <w:spacing w:line="300" w:lineRule="exact"/>
      <w:ind w:firstLine="240"/>
      <w:jc w:val="both"/>
    </w:pPr>
    <w:rPr>
      <w:rFonts w:ascii="Times" w:hAnsi="Times" w:cs="Times"/>
      <w:lang w:eastAsia="zh-CN" w:bidi="ar-SA"/>
    </w:rPr>
  </w:style>
  <w:style w:type="character" w:styleId="Hyperlink">
    <w:name w:val="Hyperlink"/>
    <w:uiPriority w:val="99"/>
    <w:rsid w:val="007E41FC"/>
    <w:rPr>
      <w:color w:val="0000FF"/>
      <w:u w:val="single"/>
    </w:rPr>
  </w:style>
  <w:style w:type="character" w:styleId="a5">
    <w:name w:val="page number"/>
    <w:basedOn w:val="a0"/>
    <w:rsid w:val="00E32885"/>
  </w:style>
  <w:style w:type="paragraph" w:styleId="a6">
    <w:name w:val="Balloon Text"/>
    <w:basedOn w:val="a"/>
    <w:semiHidden/>
    <w:rsid w:val="00616EC6"/>
    <w:rPr>
      <w:rFonts w:ascii="Tahoma" w:hAnsi="Tahoma" w:cs="Tahoma"/>
      <w:sz w:val="16"/>
      <w:szCs w:val="16"/>
    </w:rPr>
  </w:style>
  <w:style w:type="paragraph" w:styleId="a7">
    <w:name w:val="footnote text"/>
    <w:basedOn w:val="a"/>
    <w:semiHidden/>
    <w:rsid w:val="009D47D8"/>
    <w:rPr>
      <w:sz w:val="20"/>
      <w:szCs w:val="20"/>
    </w:rPr>
  </w:style>
  <w:style w:type="character" w:styleId="a8">
    <w:name w:val="footnote reference"/>
    <w:semiHidden/>
    <w:rsid w:val="009D47D8"/>
    <w:rPr>
      <w:vertAlign w:val="superscript"/>
    </w:rPr>
  </w:style>
  <w:style w:type="paragraph" w:styleId="a9">
    <w:name w:val="Document Map"/>
    <w:basedOn w:val="a"/>
    <w:semiHidden/>
    <w:rsid w:val="00801E32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57653C"/>
    <w:rPr>
      <w:color w:val="800080"/>
      <w:u w:val="single"/>
    </w:rPr>
  </w:style>
  <w:style w:type="table" w:styleId="aa">
    <w:name w:val="Table Grid"/>
    <w:basedOn w:val="a1"/>
    <w:rsid w:val="00707FB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614B4"/>
    <w:pPr>
      <w:ind w:left="720"/>
    </w:pPr>
  </w:style>
  <w:style w:type="paragraph" w:styleId="ac">
    <w:name w:val="Title"/>
    <w:basedOn w:val="a"/>
    <w:next w:val="a"/>
    <w:link w:val="ad"/>
    <w:qFormat/>
    <w:rsid w:val="006448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כותרת טקסט תו"/>
    <w:basedOn w:val="a0"/>
    <w:link w:val="ac"/>
    <w:rsid w:val="006448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Strong"/>
    <w:basedOn w:val="a0"/>
    <w:qFormat/>
    <w:rsid w:val="006448E2"/>
    <w:rPr>
      <w:b/>
      <w:bCs/>
    </w:rPr>
  </w:style>
  <w:style w:type="character" w:styleId="af">
    <w:name w:val="annotation reference"/>
    <w:basedOn w:val="a0"/>
    <w:rsid w:val="00A861CB"/>
    <w:rPr>
      <w:sz w:val="16"/>
      <w:szCs w:val="16"/>
    </w:rPr>
  </w:style>
  <w:style w:type="paragraph" w:styleId="af0">
    <w:name w:val="annotation text"/>
    <w:basedOn w:val="a"/>
    <w:link w:val="af1"/>
    <w:rsid w:val="00A861CB"/>
    <w:rPr>
      <w:sz w:val="20"/>
      <w:szCs w:val="20"/>
    </w:rPr>
  </w:style>
  <w:style w:type="character" w:customStyle="1" w:styleId="af1">
    <w:name w:val="טקסט הערה תו"/>
    <w:basedOn w:val="a0"/>
    <w:link w:val="af0"/>
    <w:rsid w:val="00A861CB"/>
  </w:style>
  <w:style w:type="paragraph" w:styleId="af2">
    <w:name w:val="annotation subject"/>
    <w:basedOn w:val="af0"/>
    <w:next w:val="af0"/>
    <w:link w:val="af3"/>
    <w:rsid w:val="00A861CB"/>
    <w:rPr>
      <w:b/>
      <w:bCs/>
    </w:rPr>
  </w:style>
  <w:style w:type="character" w:customStyle="1" w:styleId="af3">
    <w:name w:val="נושא הערה תו"/>
    <w:basedOn w:val="af1"/>
    <w:link w:val="af2"/>
    <w:rsid w:val="00A861CB"/>
    <w:rPr>
      <w:b/>
      <w:bCs/>
    </w:rPr>
  </w:style>
  <w:style w:type="paragraph" w:customStyle="1" w:styleId="LetterheadBOI">
    <w:name w:val="Letterhead BOI"/>
    <w:basedOn w:val="regpar"/>
    <w:link w:val="LetterheadBOIChar"/>
    <w:qFormat/>
    <w:rsid w:val="00D772B2"/>
    <w:pPr>
      <w:spacing w:line="300" w:lineRule="atLeast"/>
      <w:ind w:firstLine="0"/>
      <w:jc w:val="center"/>
    </w:pPr>
    <w:rPr>
      <w:rFonts w:ascii="Times New Roman" w:hAnsi="Times New Roman" w:cs="David"/>
      <w:b/>
      <w:lang w:eastAsia="en-US" w:bidi="he-IL"/>
    </w:rPr>
  </w:style>
  <w:style w:type="paragraph" w:customStyle="1" w:styleId="Letterhead2">
    <w:name w:val="Letterhead 2"/>
    <w:basedOn w:val="regpar"/>
    <w:link w:val="Letterhead2Char"/>
    <w:qFormat/>
    <w:rsid w:val="00D772B2"/>
    <w:pPr>
      <w:spacing w:line="300" w:lineRule="atLeast"/>
      <w:ind w:firstLine="0"/>
      <w:jc w:val="center"/>
    </w:pPr>
    <w:rPr>
      <w:rFonts w:ascii="Times New Roman" w:hAnsi="Times New Roman" w:cs="Times New Roman"/>
      <w:sz w:val="26"/>
      <w:szCs w:val="26"/>
      <w:lang w:eastAsia="en-US" w:bidi="he-IL"/>
    </w:rPr>
  </w:style>
  <w:style w:type="character" w:customStyle="1" w:styleId="LetterheadBOIChar">
    <w:name w:val="Letterhead BOI Char"/>
    <w:basedOn w:val="a0"/>
    <w:link w:val="LetterheadBOI"/>
    <w:rsid w:val="00D772B2"/>
    <w:rPr>
      <w:rFonts w:cs="David"/>
      <w:b/>
      <w:sz w:val="24"/>
      <w:szCs w:val="24"/>
    </w:rPr>
  </w:style>
  <w:style w:type="paragraph" w:customStyle="1" w:styleId="PressReleaseTitle">
    <w:name w:val="Press Release Title"/>
    <w:basedOn w:val="a"/>
    <w:link w:val="PressReleaseTitleChar"/>
    <w:qFormat/>
    <w:rsid w:val="00D772B2"/>
    <w:pPr>
      <w:tabs>
        <w:tab w:val="center" w:pos="4156"/>
        <w:tab w:val="right" w:pos="8312"/>
      </w:tabs>
      <w:bidi w:val="0"/>
      <w:jc w:val="center"/>
    </w:pPr>
    <w:rPr>
      <w:rFonts w:cs="David"/>
      <w:b/>
      <w:bCs/>
      <w:sz w:val="26"/>
      <w:szCs w:val="26"/>
    </w:rPr>
  </w:style>
  <w:style w:type="character" w:customStyle="1" w:styleId="Letterhead2Char">
    <w:name w:val="Letterhead 2 Char"/>
    <w:basedOn w:val="a0"/>
    <w:link w:val="Letterhead2"/>
    <w:rsid w:val="00D772B2"/>
    <w:rPr>
      <w:sz w:val="26"/>
      <w:szCs w:val="26"/>
    </w:rPr>
  </w:style>
  <w:style w:type="character" w:customStyle="1" w:styleId="PressReleaseTitleChar">
    <w:name w:val="Press Release Title Char"/>
    <w:basedOn w:val="a0"/>
    <w:link w:val="PressReleaseTitle"/>
    <w:rsid w:val="00D772B2"/>
    <w:rPr>
      <w:rFonts w:cs="David"/>
      <w:b/>
      <w:bCs/>
      <w:sz w:val="26"/>
      <w:szCs w:val="26"/>
    </w:rPr>
  </w:style>
  <w:style w:type="paragraph" w:styleId="af4">
    <w:name w:val="endnote text"/>
    <w:basedOn w:val="a"/>
    <w:link w:val="af5"/>
    <w:semiHidden/>
    <w:unhideWhenUsed/>
    <w:rsid w:val="00396A86"/>
    <w:rPr>
      <w:sz w:val="20"/>
      <w:szCs w:val="20"/>
    </w:rPr>
  </w:style>
  <w:style w:type="character" w:customStyle="1" w:styleId="af5">
    <w:name w:val="טקסט הערת סיום תו"/>
    <w:basedOn w:val="a0"/>
    <w:link w:val="af4"/>
    <w:semiHidden/>
    <w:rsid w:val="00396A86"/>
  </w:style>
  <w:style w:type="character" w:styleId="af6">
    <w:name w:val="endnote reference"/>
    <w:basedOn w:val="a0"/>
    <w:semiHidden/>
    <w:unhideWhenUsed/>
    <w:rsid w:val="00396A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0A41E-B284-4198-8C97-9CC83954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969</Words>
  <Characters>4997</Characters>
  <Application>Microsoft Office Word</Application>
  <DocSecurity>4</DocSecurity>
  <Lines>41</Lines>
  <Paragraphs>11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Interest Rate Decision – February 20, 2006</vt:lpstr>
      <vt:lpstr>Interest Rate Decision – February 20, 2006</vt:lpstr>
    </vt:vector>
  </TitlesOfParts>
  <Company>BOI</Company>
  <LinksUpToDate>false</LinksUpToDate>
  <CharactersWithSpaces>5955</CharactersWithSpaces>
  <SharedDoc>false</SharedDoc>
  <HLinks>
    <vt:vector size="6" baseType="variant">
      <vt:variant>
        <vt:i4>3080238</vt:i4>
      </vt:variant>
      <vt:variant>
        <vt:i4>0</vt:i4>
      </vt:variant>
      <vt:variant>
        <vt:i4>0</vt:i4>
      </vt:variant>
      <vt:variant>
        <vt:i4>5</vt:i4>
      </vt:variant>
      <vt:variant>
        <vt:lpwstr>http://www.boi.org.il/en/DataAndStatistics/Pages/MainPage.aspx?Level=2&amp;Sid=15&amp;SubjectType=1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Interest Rate Decision – February 20, 2006</dc:title>
  <dc:creator>SFisher</dc:creator>
  <cp:lastModifiedBy>רוסול דכוור</cp:lastModifiedBy>
  <cp:revision>2</cp:revision>
  <cp:lastPrinted>2025-03-26T13:40:00Z</cp:lastPrinted>
  <dcterms:created xsi:type="dcterms:W3CDTF">2026-03-29T11:27:00Z</dcterms:created>
  <dcterms:modified xsi:type="dcterms:W3CDTF">2026-03-29T11:27:00Z</dcterms:modified>
</cp:coreProperties>
</file>