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A56E02" w14:textId="4A595786" w:rsidR="00E37926" w:rsidRDefault="00E37926" w:rsidP="00133A6A">
      <w:pPr>
        <w:rPr>
          <w:rFonts w:ascii="David" w:hAnsi="David" w:cs="David"/>
          <w:b/>
          <w:bCs/>
          <w:sz w:val="24"/>
          <w:szCs w:val="24"/>
          <w:rtl/>
        </w:rPr>
      </w:pPr>
      <w:bookmarkStart w:id="0" w:name="_GoBack"/>
      <w:bookmarkEnd w:id="0"/>
    </w:p>
    <w:p w14:paraId="3754C211" w14:textId="42A200DC" w:rsidR="00E37926" w:rsidRPr="00E37926" w:rsidRDefault="00E37926" w:rsidP="00E37926">
      <w:pPr>
        <w:jc w:val="right"/>
        <w:rPr>
          <w:rFonts w:ascii="David" w:hAnsi="David" w:cs="David"/>
          <w:sz w:val="24"/>
          <w:szCs w:val="24"/>
          <w:rtl/>
        </w:rPr>
      </w:pPr>
      <w:r>
        <w:rPr>
          <w:rFonts w:ascii="David" w:hAnsi="David" w:cs="David" w:hint="cs"/>
          <w:sz w:val="24"/>
          <w:szCs w:val="24"/>
          <w:rtl/>
        </w:rPr>
        <w:t>01</w:t>
      </w:r>
      <w:r w:rsidRPr="00E37926">
        <w:rPr>
          <w:rFonts w:ascii="David" w:hAnsi="David" w:cs="David" w:hint="cs"/>
          <w:sz w:val="24"/>
          <w:szCs w:val="24"/>
          <w:rtl/>
        </w:rPr>
        <w:t xml:space="preserve"> </w:t>
      </w:r>
      <w:r>
        <w:rPr>
          <w:rFonts w:ascii="David" w:hAnsi="David" w:cs="David" w:hint="cs"/>
          <w:sz w:val="24"/>
          <w:szCs w:val="24"/>
          <w:rtl/>
        </w:rPr>
        <w:t>במאי</w:t>
      </w:r>
      <w:r w:rsidRPr="00E37926">
        <w:rPr>
          <w:rFonts w:ascii="David" w:hAnsi="David" w:cs="David" w:hint="cs"/>
          <w:sz w:val="24"/>
          <w:szCs w:val="24"/>
          <w:rtl/>
        </w:rPr>
        <w:t xml:space="preserve"> 2023</w:t>
      </w:r>
    </w:p>
    <w:p w14:paraId="49A5E26A" w14:textId="34C76356" w:rsidR="00E37926" w:rsidRPr="00E37926" w:rsidRDefault="00E37926" w:rsidP="00E37926">
      <w:pPr>
        <w:bidi w:val="0"/>
        <w:spacing w:after="200" w:line="240" w:lineRule="auto"/>
        <w:rPr>
          <w:rFonts w:ascii="David" w:hAnsi="David" w:cs="David"/>
          <w:sz w:val="24"/>
          <w:szCs w:val="24"/>
          <w:rtl/>
        </w:rPr>
      </w:pPr>
      <w:r w:rsidRPr="00E37926">
        <w:rPr>
          <w:rFonts w:ascii="David" w:hAnsi="David" w:cs="David"/>
          <w:sz w:val="24"/>
          <w:szCs w:val="24"/>
          <w:rtl/>
        </w:rPr>
        <w:t xml:space="preserve">ירושלים, </w:t>
      </w:r>
      <w:r>
        <w:rPr>
          <w:rFonts w:ascii="David" w:hAnsi="David" w:cs="David" w:hint="cs"/>
          <w:sz w:val="24"/>
          <w:szCs w:val="24"/>
          <w:rtl/>
        </w:rPr>
        <w:t>י</w:t>
      </w:r>
      <w:r w:rsidRPr="00E37926">
        <w:rPr>
          <w:rFonts w:ascii="David" w:hAnsi="David" w:cs="David" w:hint="cs"/>
          <w:sz w:val="24"/>
          <w:szCs w:val="24"/>
          <w:rtl/>
        </w:rPr>
        <w:t>'</w:t>
      </w:r>
      <w:r w:rsidRPr="00E37926">
        <w:rPr>
          <w:rFonts w:ascii="David" w:hAnsi="David" w:cs="David"/>
          <w:sz w:val="24"/>
          <w:szCs w:val="24"/>
          <w:rtl/>
        </w:rPr>
        <w:t xml:space="preserve"> </w:t>
      </w:r>
      <w:r w:rsidRPr="00E37926">
        <w:rPr>
          <w:rFonts w:ascii="David" w:hAnsi="David" w:cs="David" w:hint="cs"/>
          <w:sz w:val="24"/>
          <w:szCs w:val="24"/>
          <w:rtl/>
        </w:rPr>
        <w:t>באייר</w:t>
      </w:r>
      <w:r w:rsidRPr="00E37926">
        <w:rPr>
          <w:rFonts w:ascii="David" w:hAnsi="David" w:cs="David"/>
          <w:sz w:val="24"/>
          <w:szCs w:val="24"/>
          <w:rtl/>
        </w:rPr>
        <w:t>, תשפ"</w:t>
      </w:r>
      <w:r w:rsidRPr="00E37926">
        <w:rPr>
          <w:rFonts w:ascii="David" w:hAnsi="David" w:cs="David" w:hint="cs"/>
          <w:sz w:val="24"/>
          <w:szCs w:val="24"/>
          <w:rtl/>
        </w:rPr>
        <w:t>ג</w:t>
      </w:r>
    </w:p>
    <w:tbl>
      <w:tblPr>
        <w:tblpPr w:leftFromText="180" w:rightFromText="180" w:vertAnchor="page" w:horzAnchor="margin" w:tblpY="1005"/>
        <w:tblW w:w="8505" w:type="dxa"/>
        <w:tblLayout w:type="fixed"/>
        <w:tblLook w:val="0000" w:firstRow="0" w:lastRow="0" w:firstColumn="0" w:lastColumn="0" w:noHBand="0" w:noVBand="0"/>
      </w:tblPr>
      <w:tblGrid>
        <w:gridCol w:w="3402"/>
        <w:gridCol w:w="1734"/>
        <w:gridCol w:w="3369"/>
      </w:tblGrid>
      <w:tr w:rsidR="00E37926" w:rsidRPr="00E37926" w14:paraId="1ED96600" w14:textId="77777777" w:rsidTr="00E41DE7">
        <w:trPr>
          <w:trHeight w:val="2268"/>
        </w:trPr>
        <w:tc>
          <w:tcPr>
            <w:tcW w:w="3402" w:type="dxa"/>
            <w:vAlign w:val="bottom"/>
          </w:tcPr>
          <w:p w14:paraId="7BEBC6FC" w14:textId="77777777" w:rsidR="00E37926" w:rsidRPr="00E37926" w:rsidRDefault="00E37926" w:rsidP="00E37926">
            <w:pPr>
              <w:jc w:val="right"/>
              <w:rPr>
                <w:rFonts w:cs="Varela Round"/>
                <w:szCs w:val="96"/>
                <w:rtl/>
              </w:rPr>
            </w:pPr>
            <w:r w:rsidRPr="00E37926">
              <w:rPr>
                <w:rFonts w:cs="Varela Round"/>
                <w:noProof/>
                <w:szCs w:val="20"/>
              </w:rPr>
              <w:t xml:space="preserve">  </w:t>
            </w:r>
            <w:r w:rsidRPr="00E37926">
              <w:rPr>
                <w:rFonts w:cs="Varela Round" w:hint="cs"/>
                <w:noProof/>
                <w:szCs w:val="20"/>
                <w:rtl/>
              </w:rPr>
              <w:t xml:space="preserve"> </w:t>
            </w:r>
            <w:r w:rsidRPr="00E37926">
              <w:rPr>
                <w:rFonts w:cs="Varela Round"/>
                <w:noProof/>
                <w:szCs w:val="20"/>
              </w:rPr>
              <w:drawing>
                <wp:inline distT="0" distB="0" distL="0" distR="0" wp14:anchorId="1650BF8C" wp14:editId="32D12963">
                  <wp:extent cx="1771650" cy="866775"/>
                  <wp:effectExtent l="0" t="0" r="0" b="9525"/>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771650" cy="866775"/>
                          </a:xfrm>
                          <a:prstGeom prst="rect">
                            <a:avLst/>
                          </a:prstGeom>
                        </pic:spPr>
                      </pic:pic>
                    </a:graphicData>
                  </a:graphic>
                </wp:inline>
              </w:drawing>
            </w:r>
          </w:p>
          <w:p w14:paraId="1F3DA085" w14:textId="77777777" w:rsidR="00E37926" w:rsidRPr="00E37926" w:rsidRDefault="00E37926" w:rsidP="00E37926">
            <w:pPr>
              <w:jc w:val="right"/>
              <w:rPr>
                <w:rFonts w:cs="David"/>
                <w:b/>
                <w:bCs/>
                <w:sz w:val="28"/>
                <w:szCs w:val="28"/>
                <w:rtl/>
              </w:rPr>
            </w:pPr>
            <w:r w:rsidRPr="00E37926">
              <w:rPr>
                <w:rFonts w:cs="David" w:hint="cs"/>
                <w:b/>
                <w:bCs/>
                <w:sz w:val="28"/>
                <w:szCs w:val="28"/>
                <w:rtl/>
              </w:rPr>
              <w:t>משטרת ישראל</w:t>
            </w:r>
          </w:p>
          <w:p w14:paraId="1A43C23F" w14:textId="77777777" w:rsidR="00E37926" w:rsidRPr="00E37926" w:rsidRDefault="00E37926" w:rsidP="00E37926">
            <w:pPr>
              <w:jc w:val="right"/>
              <w:rPr>
                <w:rFonts w:cs="David"/>
                <w:sz w:val="32"/>
                <w:szCs w:val="24"/>
                <w:rtl/>
              </w:rPr>
            </w:pPr>
            <w:bookmarkStart w:id="1" w:name="T005"/>
            <w:bookmarkEnd w:id="1"/>
            <w:r w:rsidRPr="00E37926">
              <w:rPr>
                <w:rFonts w:cs="David" w:hint="cs"/>
                <w:sz w:val="32"/>
                <w:szCs w:val="24"/>
                <w:rtl/>
              </w:rPr>
              <w:t xml:space="preserve">יחידת הסייבר </w:t>
            </w:r>
          </w:p>
          <w:p w14:paraId="347F99A5" w14:textId="77777777" w:rsidR="00E37926" w:rsidRPr="00E37926" w:rsidRDefault="00E37926" w:rsidP="00E37926">
            <w:pPr>
              <w:jc w:val="right"/>
              <w:rPr>
                <w:rFonts w:cs="David"/>
                <w:sz w:val="26"/>
                <w:szCs w:val="20"/>
              </w:rPr>
            </w:pPr>
            <w:r w:rsidRPr="00E37926">
              <w:rPr>
                <w:rFonts w:cs="David" w:hint="cs"/>
                <w:sz w:val="32"/>
                <w:szCs w:val="24"/>
                <w:rtl/>
              </w:rPr>
              <w:t>להב 433</w:t>
            </w:r>
          </w:p>
        </w:tc>
        <w:tc>
          <w:tcPr>
            <w:tcW w:w="1734" w:type="dxa"/>
          </w:tcPr>
          <w:p w14:paraId="1E360F9B" w14:textId="77777777" w:rsidR="00E37926" w:rsidRPr="00E37926" w:rsidRDefault="00E37926" w:rsidP="00E37926">
            <w:pPr>
              <w:bidi w:val="0"/>
              <w:ind w:left="720"/>
              <w:rPr>
                <w:rFonts w:cs="Varela Round"/>
                <w:szCs w:val="20"/>
              </w:rPr>
            </w:pPr>
          </w:p>
        </w:tc>
        <w:tc>
          <w:tcPr>
            <w:tcW w:w="3369" w:type="dxa"/>
            <w:vAlign w:val="center"/>
          </w:tcPr>
          <w:p w14:paraId="1B017DC9" w14:textId="77777777" w:rsidR="00E37926" w:rsidRPr="00E37926" w:rsidRDefault="00E37926" w:rsidP="00E37926">
            <w:pPr>
              <w:jc w:val="center"/>
              <w:rPr>
                <w:rFonts w:cs="David"/>
                <w:b/>
                <w:bCs/>
                <w:sz w:val="28"/>
                <w:szCs w:val="28"/>
                <w:rtl/>
              </w:rPr>
            </w:pPr>
            <w:r w:rsidRPr="00E37926">
              <w:rPr>
                <w:rFonts w:ascii="David" w:hAnsi="David" w:cs="David"/>
                <w:noProof/>
              </w:rPr>
              <w:drawing>
                <wp:inline distT="0" distB="0" distL="0" distR="0" wp14:anchorId="1D2D9867" wp14:editId="793C6E4C">
                  <wp:extent cx="887105" cy="887105"/>
                  <wp:effectExtent l="0" t="0" r="8255" b="8255"/>
                  <wp:docPr id="5" name="תמונה 5" descr="לוגו בנק ישראל" title="לוגו בנק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34r\AppData\Local\Microsoft\Windows\Temporary Internet Files\Content.Word\תמונת לוגו חדש.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7100" cy="887100"/>
                          </a:xfrm>
                          <a:prstGeom prst="rect">
                            <a:avLst/>
                          </a:prstGeom>
                          <a:noFill/>
                          <a:ln>
                            <a:noFill/>
                          </a:ln>
                        </pic:spPr>
                      </pic:pic>
                    </a:graphicData>
                  </a:graphic>
                </wp:inline>
              </w:drawing>
            </w:r>
            <w:r w:rsidRPr="00E37926">
              <w:rPr>
                <w:rFonts w:cs="David" w:hint="cs"/>
                <w:b/>
                <w:bCs/>
                <w:sz w:val="28"/>
                <w:szCs w:val="28"/>
                <w:rtl/>
              </w:rPr>
              <w:t xml:space="preserve">   </w:t>
            </w:r>
          </w:p>
          <w:p w14:paraId="23433EA5" w14:textId="77777777" w:rsidR="00E37926" w:rsidRPr="00E37926" w:rsidRDefault="00E37926" w:rsidP="00E37926">
            <w:pPr>
              <w:jc w:val="center"/>
              <w:rPr>
                <w:rFonts w:cs="David"/>
                <w:b/>
                <w:bCs/>
                <w:sz w:val="28"/>
                <w:szCs w:val="28"/>
              </w:rPr>
            </w:pPr>
            <w:r w:rsidRPr="00E37926">
              <w:rPr>
                <w:rFonts w:cs="David" w:hint="cs"/>
                <w:b/>
                <w:bCs/>
                <w:sz w:val="28"/>
                <w:szCs w:val="28"/>
                <w:rtl/>
              </w:rPr>
              <w:t>בנק ישראל</w:t>
            </w:r>
          </w:p>
          <w:p w14:paraId="65C70360" w14:textId="77777777" w:rsidR="00E37926" w:rsidRPr="00E37926" w:rsidRDefault="00E37926" w:rsidP="00E37926">
            <w:pPr>
              <w:jc w:val="center"/>
              <w:rPr>
                <w:rFonts w:cs="Varela Round"/>
                <w:sz w:val="26"/>
                <w:szCs w:val="20"/>
                <w:rtl/>
              </w:rPr>
            </w:pPr>
            <w:r w:rsidRPr="00E37926">
              <w:rPr>
                <w:rFonts w:cs="David" w:hint="cs"/>
                <w:sz w:val="32"/>
                <w:szCs w:val="24"/>
                <w:rtl/>
              </w:rPr>
              <w:t>דוברות והסברה כלכלית</w:t>
            </w:r>
          </w:p>
        </w:tc>
      </w:tr>
    </w:tbl>
    <w:p w14:paraId="152AC59A" w14:textId="77777777" w:rsidR="00E37926" w:rsidRPr="00E37926" w:rsidRDefault="00E37926" w:rsidP="00E37926">
      <w:pPr>
        <w:rPr>
          <w:rFonts w:ascii="David" w:hAnsi="David" w:cs="David"/>
          <w:sz w:val="2"/>
          <w:szCs w:val="2"/>
          <w:rtl/>
        </w:rPr>
      </w:pPr>
    </w:p>
    <w:tbl>
      <w:tblPr>
        <w:tblpPr w:leftFromText="180" w:rightFromText="180" w:vertAnchor="page" w:horzAnchor="margin" w:tblpXSpec="center" w:tblpY="637"/>
        <w:bidiVisual/>
        <w:tblW w:w="8789" w:type="dxa"/>
        <w:tblLayout w:type="fixed"/>
        <w:tblLook w:val="0000" w:firstRow="0" w:lastRow="0" w:firstColumn="0" w:lastColumn="0" w:noHBand="0" w:noVBand="0"/>
      </w:tblPr>
      <w:tblGrid>
        <w:gridCol w:w="8789"/>
      </w:tblGrid>
      <w:tr w:rsidR="00E37926" w:rsidRPr="00E37926" w14:paraId="726447A6" w14:textId="77777777" w:rsidTr="00E41DE7">
        <w:tc>
          <w:tcPr>
            <w:tcW w:w="8789" w:type="dxa"/>
            <w:tcBorders>
              <w:top w:val="nil"/>
              <w:left w:val="nil"/>
              <w:bottom w:val="nil"/>
              <w:right w:val="nil"/>
            </w:tcBorders>
          </w:tcPr>
          <w:p w14:paraId="24EB4FE2" w14:textId="77777777" w:rsidR="00E37926" w:rsidRPr="00E37926" w:rsidRDefault="00E37926" w:rsidP="00E37926">
            <w:pPr>
              <w:rPr>
                <w:rFonts w:cs="Varela Round"/>
                <w:szCs w:val="20"/>
              </w:rPr>
            </w:pPr>
          </w:p>
        </w:tc>
      </w:tr>
    </w:tbl>
    <w:p w14:paraId="0C1D8E23" w14:textId="77777777" w:rsidR="00E37926" w:rsidRPr="00E37926" w:rsidRDefault="00E37926" w:rsidP="00E37926">
      <w:pPr>
        <w:rPr>
          <w:rFonts w:ascii="David" w:hAnsi="David" w:cs="David"/>
          <w:sz w:val="24"/>
          <w:szCs w:val="24"/>
        </w:rPr>
      </w:pPr>
      <w:r w:rsidRPr="00E37926">
        <w:rPr>
          <w:rFonts w:ascii="David" w:hAnsi="David" w:cs="David"/>
          <w:sz w:val="24"/>
          <w:szCs w:val="24"/>
          <w:rtl/>
        </w:rPr>
        <w:t xml:space="preserve">הודעה </w:t>
      </w:r>
      <w:r w:rsidRPr="00E37926">
        <w:rPr>
          <w:rFonts w:ascii="David" w:hAnsi="David" w:cs="David" w:hint="cs"/>
          <w:sz w:val="24"/>
          <w:szCs w:val="24"/>
          <w:rtl/>
        </w:rPr>
        <w:t>משותפת</w:t>
      </w:r>
      <w:r w:rsidRPr="00E37926">
        <w:rPr>
          <w:rFonts w:ascii="David" w:hAnsi="David" w:cs="David"/>
          <w:sz w:val="24"/>
          <w:szCs w:val="24"/>
          <w:rtl/>
        </w:rPr>
        <w:t xml:space="preserve"> לע</w:t>
      </w:r>
      <w:r w:rsidRPr="00E37926">
        <w:rPr>
          <w:rFonts w:ascii="David" w:hAnsi="David" w:cs="David" w:hint="cs"/>
          <w:sz w:val="24"/>
          <w:szCs w:val="24"/>
          <w:rtl/>
        </w:rPr>
        <w:t>י</w:t>
      </w:r>
      <w:r w:rsidRPr="00E37926">
        <w:rPr>
          <w:rFonts w:ascii="David" w:hAnsi="David" w:cs="David"/>
          <w:sz w:val="24"/>
          <w:szCs w:val="24"/>
          <w:rtl/>
        </w:rPr>
        <w:t>תונות</w:t>
      </w:r>
      <w:r w:rsidRPr="00E37926">
        <w:rPr>
          <w:rFonts w:ascii="David" w:hAnsi="David" w:cs="David" w:hint="cs"/>
          <w:sz w:val="24"/>
          <w:szCs w:val="24"/>
          <w:rtl/>
        </w:rPr>
        <w:t>:</w:t>
      </w:r>
    </w:p>
    <w:p w14:paraId="1E29F47B" w14:textId="4D4CF51D" w:rsidR="00C66F0E" w:rsidRPr="00133A6A" w:rsidRDefault="00C66F0E" w:rsidP="00E37926">
      <w:pPr>
        <w:jc w:val="center"/>
        <w:rPr>
          <w:rFonts w:ascii="David" w:hAnsi="David" w:cs="David"/>
          <w:b/>
          <w:bCs/>
          <w:sz w:val="24"/>
          <w:szCs w:val="24"/>
          <w:rtl/>
        </w:rPr>
      </w:pPr>
      <w:bookmarkStart w:id="2" w:name="Start"/>
      <w:bookmarkEnd w:id="2"/>
      <w:r w:rsidRPr="00133A6A">
        <w:rPr>
          <w:rFonts w:ascii="David" w:hAnsi="David" w:cs="David"/>
          <w:b/>
          <w:bCs/>
          <w:sz w:val="24"/>
          <w:szCs w:val="24"/>
          <w:rtl/>
        </w:rPr>
        <w:t>משטרת ישראל ובנק ישראל</w:t>
      </w:r>
      <w:r w:rsidR="005D30E1" w:rsidRPr="00133A6A">
        <w:rPr>
          <w:rFonts w:ascii="David" w:hAnsi="David" w:cs="David"/>
          <w:b/>
          <w:bCs/>
          <w:sz w:val="24"/>
          <w:szCs w:val="24"/>
          <w:rtl/>
        </w:rPr>
        <w:t xml:space="preserve"> קוראים לציבור לשים לב לניסיונות הונאה והתחזות</w:t>
      </w:r>
    </w:p>
    <w:p w14:paraId="4A9C6C62" w14:textId="45658C8B" w:rsidR="00561F82" w:rsidRPr="00133A6A" w:rsidRDefault="00673819" w:rsidP="00133A6A">
      <w:pPr>
        <w:rPr>
          <w:rFonts w:ascii="David" w:hAnsi="David" w:cs="David"/>
          <w:sz w:val="24"/>
          <w:szCs w:val="24"/>
          <w:rtl/>
        </w:rPr>
      </w:pPr>
      <w:r w:rsidRPr="00133A6A">
        <w:rPr>
          <w:rFonts w:ascii="David" w:hAnsi="David" w:cs="David"/>
          <w:sz w:val="24"/>
          <w:szCs w:val="24"/>
          <w:rtl/>
        </w:rPr>
        <w:t>בנק ישראל ומשטרת ישראל קוראים לציבור לשים ל</w:t>
      </w:r>
      <w:r w:rsidR="001E08BD" w:rsidRPr="00133A6A">
        <w:rPr>
          <w:rFonts w:ascii="David" w:hAnsi="David" w:cs="David"/>
          <w:sz w:val="24"/>
          <w:szCs w:val="24"/>
          <w:rtl/>
        </w:rPr>
        <w:t>ב לניסיונ</w:t>
      </w:r>
      <w:r w:rsidR="005D30E1" w:rsidRPr="00133A6A">
        <w:rPr>
          <w:rFonts w:ascii="David" w:hAnsi="David" w:cs="David"/>
          <w:sz w:val="24"/>
          <w:szCs w:val="24"/>
          <w:rtl/>
        </w:rPr>
        <w:t>ות הונאה והתחזות, ולהביא לידיעת הציבור כי</w:t>
      </w:r>
      <w:r w:rsidR="001E08BD" w:rsidRPr="00133A6A">
        <w:rPr>
          <w:rFonts w:ascii="David" w:hAnsi="David" w:cs="David"/>
          <w:sz w:val="24"/>
          <w:szCs w:val="24"/>
          <w:rtl/>
        </w:rPr>
        <w:t xml:space="preserve"> </w:t>
      </w:r>
      <w:r w:rsidR="00561F82" w:rsidRPr="00133A6A">
        <w:rPr>
          <w:rFonts w:ascii="David" w:hAnsi="David" w:cs="David"/>
          <w:sz w:val="24"/>
          <w:szCs w:val="24"/>
          <w:rtl/>
        </w:rPr>
        <w:t xml:space="preserve">גורמים עבריינים מנסים לבצע </w:t>
      </w:r>
      <w:r w:rsidR="005D30E1" w:rsidRPr="00133A6A">
        <w:rPr>
          <w:rFonts w:ascii="David" w:hAnsi="David" w:cs="David"/>
          <w:sz w:val="24"/>
          <w:szCs w:val="24"/>
          <w:rtl/>
        </w:rPr>
        <w:t xml:space="preserve">מעת לעת </w:t>
      </w:r>
      <w:r w:rsidR="00561F82" w:rsidRPr="00133A6A">
        <w:rPr>
          <w:rFonts w:ascii="David" w:hAnsi="David" w:cs="David"/>
          <w:sz w:val="24"/>
          <w:szCs w:val="24"/>
          <w:rtl/>
        </w:rPr>
        <w:t xml:space="preserve">פעולות הונאה מתוך מטרה להוציא כספים מלקוחות במרמה תוך התחזות, בין היתר, לנציגים של בנק ישראל, </w:t>
      </w:r>
      <w:r w:rsidR="005D30E1" w:rsidRPr="00133A6A">
        <w:rPr>
          <w:rFonts w:ascii="David" w:hAnsi="David" w:cs="David"/>
          <w:sz w:val="24"/>
          <w:szCs w:val="24"/>
          <w:rtl/>
        </w:rPr>
        <w:t>הבנקים המסחריים וחברות כרטיסי האשראי</w:t>
      </w:r>
      <w:r w:rsidR="00561F82" w:rsidRPr="00133A6A">
        <w:rPr>
          <w:rFonts w:ascii="David" w:hAnsi="David" w:cs="David"/>
          <w:sz w:val="24"/>
          <w:szCs w:val="24"/>
          <w:rtl/>
        </w:rPr>
        <w:t xml:space="preserve"> ושל משטרת ישראל. לעיתים שולח הגורם העוין תעודות מזויפות המעידות על זהותו הבדויה, כדוגמת תעודת שוטר, או מכתב </w:t>
      </w:r>
      <w:r w:rsidR="005D30E1" w:rsidRPr="00133A6A">
        <w:rPr>
          <w:rFonts w:ascii="David" w:hAnsi="David" w:cs="David"/>
          <w:sz w:val="24"/>
          <w:szCs w:val="24"/>
          <w:rtl/>
        </w:rPr>
        <w:t>"</w:t>
      </w:r>
      <w:r w:rsidR="00561F82" w:rsidRPr="00133A6A">
        <w:rPr>
          <w:rFonts w:ascii="David" w:hAnsi="David" w:cs="David"/>
          <w:sz w:val="24"/>
          <w:szCs w:val="24"/>
          <w:rtl/>
        </w:rPr>
        <w:t>מטעם</w:t>
      </w:r>
      <w:r w:rsidR="005D30E1" w:rsidRPr="00133A6A">
        <w:rPr>
          <w:rFonts w:ascii="David" w:hAnsi="David" w:cs="David"/>
          <w:sz w:val="24"/>
          <w:szCs w:val="24"/>
          <w:rtl/>
        </w:rPr>
        <w:t>"</w:t>
      </w:r>
      <w:r w:rsidR="009B452C" w:rsidRPr="00133A6A">
        <w:rPr>
          <w:rFonts w:ascii="David" w:hAnsi="David" w:cs="David"/>
          <w:sz w:val="24"/>
          <w:szCs w:val="24"/>
          <w:rtl/>
        </w:rPr>
        <w:t xml:space="preserve"> בנק ישראל</w:t>
      </w:r>
      <w:r w:rsidR="009B452C" w:rsidRPr="00133A6A">
        <w:rPr>
          <w:rFonts w:ascii="David" w:hAnsi="David" w:cs="David"/>
          <w:sz w:val="24"/>
          <w:szCs w:val="24"/>
        </w:rPr>
        <w:t xml:space="preserve"> </w:t>
      </w:r>
      <w:r w:rsidR="009B452C" w:rsidRPr="00133A6A">
        <w:rPr>
          <w:rFonts w:ascii="David" w:hAnsi="David" w:cs="David"/>
          <w:sz w:val="24"/>
          <w:szCs w:val="24"/>
          <w:rtl/>
        </w:rPr>
        <w:t>(מצורפת דוגמה להמחשה).</w:t>
      </w:r>
    </w:p>
    <w:p w14:paraId="6DF6C19E" w14:textId="6053123D" w:rsidR="00561F82" w:rsidRPr="00133A6A" w:rsidRDefault="00561F82" w:rsidP="00133A6A">
      <w:pPr>
        <w:rPr>
          <w:rFonts w:ascii="David" w:hAnsi="David" w:cs="David"/>
          <w:sz w:val="24"/>
          <w:szCs w:val="24"/>
        </w:rPr>
      </w:pPr>
      <w:r w:rsidRPr="00133A6A">
        <w:rPr>
          <w:rFonts w:ascii="David" w:hAnsi="David" w:cs="David"/>
          <w:sz w:val="24"/>
          <w:szCs w:val="24"/>
          <w:rtl/>
        </w:rPr>
        <w:t>ניסיונות ההונאה הם בעיקר כלפי קשישים</w:t>
      </w:r>
      <w:r w:rsidR="005043A7" w:rsidRPr="00133A6A">
        <w:rPr>
          <w:rFonts w:ascii="David" w:hAnsi="David" w:cs="David"/>
          <w:sz w:val="24"/>
          <w:szCs w:val="24"/>
          <w:rtl/>
        </w:rPr>
        <w:t xml:space="preserve"> ואוכלוסיות מוחלשות</w:t>
      </w:r>
      <w:r w:rsidRPr="00133A6A">
        <w:rPr>
          <w:rFonts w:ascii="David" w:hAnsi="David" w:cs="David"/>
          <w:sz w:val="24"/>
          <w:szCs w:val="24"/>
          <w:rtl/>
        </w:rPr>
        <w:t xml:space="preserve">, תוך התכתבות "תמימה" עימם ורכישת אמונם. התקשורת נעשית בערוצי תקשורת מגוונים כגון שיחות טלפוניות, שליחת מסרונים ושליחת דואר אלקטרוני. ההודעות נשלחות מכתובת שהיא לכאורה שייכת לגורם שמתחזים לו. בעת ההונאה נעשה שימוש בכתובת מזויפת או במספר טלפון הנחזה להיות של הבנק </w:t>
      </w:r>
      <w:r w:rsidR="00673819" w:rsidRPr="00133A6A">
        <w:rPr>
          <w:rFonts w:ascii="David" w:hAnsi="David" w:cs="David"/>
          <w:sz w:val="24"/>
          <w:szCs w:val="24"/>
          <w:rtl/>
        </w:rPr>
        <w:t xml:space="preserve">המסחרי </w:t>
      </w:r>
      <w:r w:rsidRPr="00133A6A">
        <w:rPr>
          <w:rFonts w:ascii="David" w:hAnsi="David" w:cs="David"/>
          <w:sz w:val="24"/>
          <w:szCs w:val="24"/>
          <w:rtl/>
        </w:rPr>
        <w:t>או של בנק ישראל, ולעיתים ההודעות כוללות הפנייה לאתר אינטרנט מתחזה</w:t>
      </w:r>
      <w:r w:rsidRPr="00133A6A">
        <w:rPr>
          <w:rFonts w:ascii="David" w:hAnsi="David" w:cs="David"/>
          <w:sz w:val="24"/>
          <w:szCs w:val="24"/>
        </w:rPr>
        <w:t>.</w:t>
      </w:r>
    </w:p>
    <w:p w14:paraId="2E6EB852" w14:textId="77777777" w:rsidR="00561F82" w:rsidRPr="00133A6A" w:rsidRDefault="00561F82" w:rsidP="00133A6A">
      <w:pPr>
        <w:rPr>
          <w:rFonts w:ascii="David" w:hAnsi="David" w:cs="David"/>
          <w:sz w:val="24"/>
          <w:szCs w:val="24"/>
        </w:rPr>
      </w:pPr>
      <w:r w:rsidRPr="00133A6A">
        <w:rPr>
          <w:rFonts w:ascii="David" w:hAnsi="David" w:cs="David"/>
          <w:sz w:val="24"/>
          <w:szCs w:val="24"/>
          <w:rtl/>
        </w:rPr>
        <w:t xml:space="preserve">לאחר שנוצר קשר בין המתחזה לבין  בעל החשבון, מבקש המתחזה מבעל החשבון לשלוח אליו או למסור לו פרטים אישיים או מידע פיננסי שמאפשר משיכת כספים מחשבונו. המידע שמבקש הגורם העוין עלול לכלול: פרטים אישיים, פרטי חשבון, פרטי כרטיס אשראי וקוד </w:t>
      </w:r>
      <w:r w:rsidR="005043A7" w:rsidRPr="00133A6A">
        <w:rPr>
          <w:rFonts w:ascii="David" w:hAnsi="David" w:cs="David"/>
          <w:sz w:val="24"/>
          <w:szCs w:val="24"/>
          <w:rtl/>
        </w:rPr>
        <w:t xml:space="preserve">אימות אישי </w:t>
      </w:r>
      <w:r w:rsidRPr="00133A6A">
        <w:rPr>
          <w:rFonts w:ascii="David" w:hAnsi="David" w:cs="David"/>
          <w:sz w:val="24"/>
          <w:szCs w:val="24"/>
          <w:rtl/>
        </w:rPr>
        <w:t>המתקבל אצל בעל החשבון או אצל בעל כרטיס האשראי במכשיר הטלפון הנייד</w:t>
      </w:r>
      <w:r w:rsidRPr="00133A6A">
        <w:rPr>
          <w:rFonts w:ascii="David" w:hAnsi="David" w:cs="David"/>
          <w:sz w:val="24"/>
          <w:szCs w:val="24"/>
        </w:rPr>
        <w:t>.</w:t>
      </w:r>
    </w:p>
    <w:p w14:paraId="68A1E73F" w14:textId="1B6EE096" w:rsidR="00561F82" w:rsidRPr="00133A6A" w:rsidRDefault="00561F82" w:rsidP="00133A6A">
      <w:pPr>
        <w:rPr>
          <w:rFonts w:ascii="David" w:hAnsi="David" w:cs="David"/>
          <w:b/>
          <w:bCs/>
          <w:sz w:val="24"/>
          <w:szCs w:val="24"/>
        </w:rPr>
      </w:pPr>
      <w:r w:rsidRPr="00133A6A">
        <w:rPr>
          <w:rFonts w:ascii="David" w:hAnsi="David" w:cs="David"/>
          <w:sz w:val="24"/>
          <w:szCs w:val="24"/>
          <w:rtl/>
        </w:rPr>
        <w:t>הציבור מתבקש להגביר את ערנותו ולהימנע ממסירת פרטים אישיים וחסויים</w:t>
      </w:r>
      <w:r w:rsidR="005D30E1" w:rsidRPr="00133A6A">
        <w:rPr>
          <w:rFonts w:ascii="David" w:hAnsi="David" w:cs="David"/>
          <w:sz w:val="24"/>
          <w:szCs w:val="24"/>
          <w:rtl/>
        </w:rPr>
        <w:t>, ואף להגביר את מודעותם של המבוגרים בקרבתו</w:t>
      </w:r>
      <w:r w:rsidRPr="00133A6A">
        <w:rPr>
          <w:rFonts w:ascii="David" w:hAnsi="David" w:cs="David"/>
          <w:sz w:val="24"/>
          <w:szCs w:val="24"/>
          <w:rtl/>
        </w:rPr>
        <w:t xml:space="preserve">. אנו מבקשים לציין כי </w:t>
      </w:r>
      <w:r w:rsidRPr="00133A6A">
        <w:rPr>
          <w:rFonts w:ascii="David" w:hAnsi="David" w:cs="David"/>
          <w:b/>
          <w:bCs/>
          <w:sz w:val="24"/>
          <w:szCs w:val="24"/>
          <w:rtl/>
        </w:rPr>
        <w:t>בנק ישראל, בנקים מסחריים וחברות כרטיסי האשראי לא יפנו לאזרחים בבקשה למסור פרטים אישיים וחסויים ופרטים פיננסיים הכוללים אמצעי אימות וזיהוי שנשלחו לפונה כגון מסרון המכיל קוד אישי</w:t>
      </w:r>
      <w:r w:rsidR="00432B76" w:rsidRPr="00133A6A">
        <w:rPr>
          <w:rFonts w:ascii="David" w:hAnsi="David" w:cs="David"/>
          <w:b/>
          <w:bCs/>
          <w:sz w:val="24"/>
          <w:szCs w:val="24"/>
          <w:rtl/>
        </w:rPr>
        <w:t>.</w:t>
      </w:r>
      <w:r w:rsidR="00432B76" w:rsidRPr="00133A6A">
        <w:rPr>
          <w:rFonts w:ascii="David" w:hAnsi="David" w:cs="David"/>
          <w:sz w:val="24"/>
          <w:szCs w:val="24"/>
          <w:rtl/>
        </w:rPr>
        <w:t xml:space="preserve"> </w:t>
      </w:r>
    </w:p>
    <w:p w14:paraId="26314457" w14:textId="6AD5715A" w:rsidR="00561F82" w:rsidRPr="00133A6A" w:rsidRDefault="00561F82" w:rsidP="00133A6A">
      <w:pPr>
        <w:rPr>
          <w:rFonts w:ascii="David" w:hAnsi="David" w:cs="David"/>
          <w:sz w:val="24"/>
          <w:szCs w:val="24"/>
          <w:rtl/>
        </w:rPr>
      </w:pPr>
      <w:r w:rsidRPr="00133A6A">
        <w:rPr>
          <w:rFonts w:ascii="David" w:hAnsi="David" w:cs="David"/>
          <w:sz w:val="24"/>
          <w:szCs w:val="24"/>
          <w:rtl/>
        </w:rPr>
        <w:t>אם יש לך חשש כי נפלת קורבן לאירוע הונאה אנו ממליצים לפנות בהקדם האפשרי ישירות למחלקת הביטחון של התאגיד הבנקאי</w:t>
      </w:r>
      <w:r w:rsidR="005D30E1" w:rsidRPr="00133A6A">
        <w:rPr>
          <w:rFonts w:ascii="David" w:hAnsi="David" w:cs="David"/>
          <w:sz w:val="24"/>
          <w:szCs w:val="24"/>
          <w:rtl/>
        </w:rPr>
        <w:t xml:space="preserve"> או של בנק ישראל</w:t>
      </w:r>
      <w:r w:rsidRPr="00133A6A">
        <w:rPr>
          <w:rFonts w:ascii="David" w:hAnsi="David" w:cs="David"/>
          <w:sz w:val="24"/>
          <w:szCs w:val="24"/>
          <w:rtl/>
        </w:rPr>
        <w:t xml:space="preserve"> ולמשטרה. </w:t>
      </w:r>
    </w:p>
    <w:p w14:paraId="4B177906" w14:textId="77777777" w:rsidR="005D30E1" w:rsidRPr="00133A6A" w:rsidRDefault="005D30E1" w:rsidP="00133A6A">
      <w:pPr>
        <w:rPr>
          <w:rFonts w:ascii="David" w:hAnsi="David" w:cs="David"/>
          <w:b/>
          <w:bCs/>
          <w:sz w:val="24"/>
          <w:szCs w:val="24"/>
          <w:rtl/>
        </w:rPr>
      </w:pPr>
      <w:r w:rsidRPr="00133A6A">
        <w:rPr>
          <w:rFonts w:ascii="David" w:hAnsi="David" w:cs="David"/>
          <w:b/>
          <w:bCs/>
          <w:sz w:val="24"/>
          <w:szCs w:val="24"/>
          <w:rtl/>
        </w:rPr>
        <w:t>מספר דגשים המסייעים להתמודדות עם ניסיונות הונאה:</w:t>
      </w:r>
    </w:p>
    <w:p w14:paraId="5E8AB697" w14:textId="77777777" w:rsidR="00561F82" w:rsidRPr="00133A6A" w:rsidRDefault="00561F82" w:rsidP="00133A6A">
      <w:pPr>
        <w:numPr>
          <w:ilvl w:val="0"/>
          <w:numId w:val="3"/>
        </w:numPr>
        <w:rPr>
          <w:rFonts w:ascii="David" w:hAnsi="David" w:cs="David"/>
          <w:b/>
          <w:bCs/>
          <w:sz w:val="24"/>
          <w:szCs w:val="24"/>
        </w:rPr>
      </w:pPr>
      <w:r w:rsidRPr="00133A6A">
        <w:rPr>
          <w:rFonts w:ascii="David" w:hAnsi="David" w:cs="David"/>
          <w:b/>
          <w:bCs/>
          <w:sz w:val="24"/>
          <w:szCs w:val="24"/>
          <w:rtl/>
        </w:rPr>
        <w:t>מסרו פרטי זיהוי אך ורק לאחר ביצוע שיחה חוזרת למוקד התאגיד הבנקאי למספר טלפון שמצאתם בעצמכם באתר הבנק</w:t>
      </w:r>
      <w:r w:rsidRPr="00133A6A">
        <w:rPr>
          <w:rFonts w:ascii="David" w:hAnsi="David" w:cs="David"/>
          <w:b/>
          <w:bCs/>
          <w:sz w:val="24"/>
          <w:szCs w:val="24"/>
        </w:rPr>
        <w:t>.</w:t>
      </w:r>
    </w:p>
    <w:p w14:paraId="0A8BAFC7" w14:textId="77777777" w:rsidR="00561F82" w:rsidRPr="00133A6A" w:rsidRDefault="00561F82" w:rsidP="00133A6A">
      <w:pPr>
        <w:numPr>
          <w:ilvl w:val="0"/>
          <w:numId w:val="3"/>
        </w:numPr>
        <w:rPr>
          <w:rFonts w:ascii="David" w:hAnsi="David" w:cs="David"/>
          <w:b/>
          <w:bCs/>
          <w:sz w:val="24"/>
          <w:szCs w:val="24"/>
        </w:rPr>
      </w:pPr>
      <w:r w:rsidRPr="00133A6A">
        <w:rPr>
          <w:rFonts w:ascii="David" w:hAnsi="David" w:cs="David"/>
          <w:b/>
          <w:bCs/>
          <w:sz w:val="24"/>
          <w:szCs w:val="24"/>
          <w:rtl/>
        </w:rPr>
        <w:t>אל תתחברו לחשבון הבנק מתוך מסרון או דוא"ל שאתם מקבלים</w:t>
      </w:r>
      <w:r w:rsidRPr="00133A6A">
        <w:rPr>
          <w:rFonts w:ascii="David" w:hAnsi="David" w:cs="David"/>
          <w:b/>
          <w:bCs/>
          <w:sz w:val="24"/>
          <w:szCs w:val="24"/>
        </w:rPr>
        <w:t>.</w:t>
      </w:r>
    </w:p>
    <w:p w14:paraId="2BE30E81" w14:textId="77777777" w:rsidR="00561F82" w:rsidRPr="00133A6A" w:rsidRDefault="00561F82" w:rsidP="00133A6A">
      <w:pPr>
        <w:numPr>
          <w:ilvl w:val="0"/>
          <w:numId w:val="3"/>
        </w:numPr>
        <w:rPr>
          <w:rFonts w:ascii="David" w:hAnsi="David" w:cs="David"/>
          <w:b/>
          <w:bCs/>
          <w:sz w:val="24"/>
          <w:szCs w:val="24"/>
        </w:rPr>
      </w:pPr>
      <w:r w:rsidRPr="00133A6A">
        <w:rPr>
          <w:rFonts w:ascii="David" w:hAnsi="David" w:cs="David"/>
          <w:b/>
          <w:bCs/>
          <w:sz w:val="24"/>
          <w:szCs w:val="24"/>
          <w:rtl/>
        </w:rPr>
        <w:t>בדקו את כתובת האתר שאתם מתחברים אליו (וודאו שמאוית כראוי), במיוחד כאשר מתחברים לאחר חיפוש הכתובת במנועי החיפוש</w:t>
      </w:r>
      <w:r w:rsidRPr="00133A6A">
        <w:rPr>
          <w:rFonts w:ascii="David" w:hAnsi="David" w:cs="David"/>
          <w:b/>
          <w:bCs/>
          <w:sz w:val="24"/>
          <w:szCs w:val="24"/>
        </w:rPr>
        <w:t>.</w:t>
      </w:r>
    </w:p>
    <w:p w14:paraId="40B040F5" w14:textId="77777777" w:rsidR="00561F82" w:rsidRPr="00133A6A" w:rsidRDefault="00561F82" w:rsidP="00133A6A">
      <w:pPr>
        <w:numPr>
          <w:ilvl w:val="0"/>
          <w:numId w:val="3"/>
        </w:numPr>
        <w:rPr>
          <w:rFonts w:ascii="David" w:hAnsi="David" w:cs="David"/>
          <w:b/>
          <w:bCs/>
          <w:sz w:val="24"/>
          <w:szCs w:val="24"/>
        </w:rPr>
      </w:pPr>
      <w:r w:rsidRPr="00133A6A">
        <w:rPr>
          <w:rFonts w:ascii="David" w:hAnsi="David" w:cs="David"/>
          <w:b/>
          <w:bCs/>
          <w:sz w:val="24"/>
          <w:szCs w:val="24"/>
          <w:rtl/>
        </w:rPr>
        <w:t>אל תמסרו פרטי כרטיס אשראי או קוד זיהוי שנשלח אליכם בקישור שקיבלתם בהודעת מסרון או דוא"ל להשלמת פרטים. הבנק או חברת האשראי לא יבקשו את פרטי הקוד בשיחה טלפונית, שהלקוח לא יזם אותה</w:t>
      </w:r>
      <w:r w:rsidRPr="00133A6A">
        <w:rPr>
          <w:rFonts w:ascii="David" w:hAnsi="David" w:cs="David"/>
          <w:b/>
          <w:bCs/>
          <w:sz w:val="24"/>
          <w:szCs w:val="24"/>
        </w:rPr>
        <w:t>.</w:t>
      </w:r>
    </w:p>
    <w:p w14:paraId="44B8C587" w14:textId="77777777" w:rsidR="00561F82" w:rsidRPr="00133A6A" w:rsidRDefault="00561F82" w:rsidP="00133A6A">
      <w:pPr>
        <w:numPr>
          <w:ilvl w:val="0"/>
          <w:numId w:val="3"/>
        </w:numPr>
        <w:rPr>
          <w:rFonts w:ascii="David" w:hAnsi="David" w:cs="David"/>
          <w:b/>
          <w:bCs/>
          <w:sz w:val="24"/>
          <w:szCs w:val="24"/>
        </w:rPr>
      </w:pPr>
      <w:r w:rsidRPr="00133A6A">
        <w:rPr>
          <w:rFonts w:ascii="David" w:hAnsi="David" w:cs="David"/>
          <w:b/>
          <w:bCs/>
          <w:sz w:val="24"/>
          <w:szCs w:val="24"/>
          <w:rtl/>
        </w:rPr>
        <w:lastRenderedPageBreak/>
        <w:t xml:space="preserve">טעיתם ואתם חוששים שמסרתם פרטים לגורם עוין, פנו באופן </w:t>
      </w:r>
      <w:proofErr w:type="spellStart"/>
      <w:r w:rsidRPr="00133A6A">
        <w:rPr>
          <w:rFonts w:ascii="David" w:hAnsi="David" w:cs="David"/>
          <w:b/>
          <w:bCs/>
          <w:sz w:val="24"/>
          <w:szCs w:val="24"/>
          <w:rtl/>
        </w:rPr>
        <w:t>מיידי</w:t>
      </w:r>
      <w:proofErr w:type="spellEnd"/>
      <w:r w:rsidRPr="00133A6A">
        <w:rPr>
          <w:rFonts w:ascii="David" w:hAnsi="David" w:cs="David"/>
          <w:b/>
          <w:bCs/>
          <w:sz w:val="24"/>
          <w:szCs w:val="24"/>
          <w:rtl/>
        </w:rPr>
        <w:t xml:space="preserve"> לתאגיד הבנקאי ודווחו על כך</w:t>
      </w:r>
      <w:r w:rsidRPr="00133A6A">
        <w:rPr>
          <w:rFonts w:ascii="David" w:hAnsi="David" w:cs="David"/>
          <w:b/>
          <w:bCs/>
          <w:sz w:val="24"/>
          <w:szCs w:val="24"/>
        </w:rPr>
        <w:t>.</w:t>
      </w:r>
    </w:p>
    <w:p w14:paraId="7F7EB3AA" w14:textId="77777777" w:rsidR="00561F82" w:rsidRPr="00133A6A" w:rsidRDefault="00561F82" w:rsidP="00133A6A">
      <w:pPr>
        <w:numPr>
          <w:ilvl w:val="0"/>
          <w:numId w:val="3"/>
        </w:numPr>
        <w:rPr>
          <w:rFonts w:ascii="David" w:hAnsi="David" w:cs="David"/>
          <w:b/>
          <w:bCs/>
          <w:sz w:val="24"/>
          <w:szCs w:val="24"/>
        </w:rPr>
      </w:pPr>
      <w:r w:rsidRPr="00133A6A">
        <w:rPr>
          <w:rFonts w:ascii="David" w:hAnsi="David" w:cs="David"/>
          <w:b/>
          <w:bCs/>
          <w:sz w:val="24"/>
          <w:szCs w:val="24"/>
          <w:rtl/>
        </w:rPr>
        <w:t>בצעו בדיקה תקופתית של הפעילות והתנועות בחשבונכם לצורך איתור תנועות חשודות או אי התאמות</w:t>
      </w:r>
      <w:r w:rsidRPr="00133A6A">
        <w:rPr>
          <w:rFonts w:ascii="David" w:hAnsi="David" w:cs="David"/>
          <w:b/>
          <w:bCs/>
          <w:sz w:val="24"/>
          <w:szCs w:val="24"/>
        </w:rPr>
        <w:t>.</w:t>
      </w:r>
    </w:p>
    <w:p w14:paraId="3ABF88FA" w14:textId="77777777" w:rsidR="00561F82" w:rsidRPr="00133A6A" w:rsidRDefault="00561F82" w:rsidP="00133A6A">
      <w:pPr>
        <w:numPr>
          <w:ilvl w:val="0"/>
          <w:numId w:val="3"/>
        </w:numPr>
        <w:rPr>
          <w:rFonts w:ascii="David" w:hAnsi="David" w:cs="David"/>
          <w:b/>
          <w:bCs/>
          <w:sz w:val="24"/>
          <w:szCs w:val="24"/>
        </w:rPr>
      </w:pPr>
      <w:r w:rsidRPr="00133A6A">
        <w:rPr>
          <w:rFonts w:ascii="David" w:hAnsi="David" w:cs="David"/>
          <w:b/>
          <w:bCs/>
          <w:sz w:val="24"/>
          <w:szCs w:val="24"/>
          <w:rtl/>
        </w:rPr>
        <w:t>אם יש ספק – אין ספק ומוטב לא להיענות להודעה, לשיחה או ללחוץ על קישור לפני בדיקה מול הבנק או מול החברה הרלוונטיים</w:t>
      </w:r>
      <w:r w:rsidRPr="00133A6A">
        <w:rPr>
          <w:rFonts w:ascii="David" w:hAnsi="David" w:cs="David"/>
          <w:b/>
          <w:bCs/>
          <w:sz w:val="24"/>
          <w:szCs w:val="24"/>
        </w:rPr>
        <w:t>.</w:t>
      </w:r>
    </w:p>
    <w:p w14:paraId="60F6C159" w14:textId="77777777" w:rsidR="00561F82" w:rsidRPr="00133A6A" w:rsidRDefault="00561F82" w:rsidP="00133A6A">
      <w:pPr>
        <w:rPr>
          <w:rFonts w:ascii="David" w:hAnsi="David" w:cs="David"/>
          <w:sz w:val="24"/>
          <w:szCs w:val="24"/>
        </w:rPr>
      </w:pPr>
    </w:p>
    <w:p w14:paraId="75646E10" w14:textId="37AAF08C" w:rsidR="00A21AE2" w:rsidRPr="00133A6A" w:rsidRDefault="002E590F" w:rsidP="00133A6A">
      <w:pPr>
        <w:rPr>
          <w:rFonts w:ascii="David" w:hAnsi="David" w:cs="David"/>
          <w:sz w:val="24"/>
          <w:szCs w:val="24"/>
        </w:rPr>
      </w:pPr>
      <w:r w:rsidRPr="00133A6A">
        <w:rPr>
          <w:rFonts w:ascii="David" w:hAnsi="David" w:cs="David"/>
          <w:sz w:val="24"/>
          <w:szCs w:val="24"/>
          <w:rtl/>
        </w:rPr>
        <w:t>במסגרת צעדי בנק ישראל להגברת המודעות יקיים הפיקוח על הבנקים את "שבוע המודעות להתמודדות עם הונאות דיגיטליות" ומזמין את הציבור להשתתף בהרצאות להגברת המודעות להתמודדות עם הנושא (לינק להודעה המקבילה)</w:t>
      </w:r>
    </w:p>
    <w:sectPr w:rsidR="00A21AE2" w:rsidRPr="00133A6A" w:rsidSect="00F008D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Varela Round">
    <w:panose1 w:val="00000500000000000000"/>
    <w:charset w:val="00"/>
    <w:family w:val="auto"/>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33B27"/>
    <w:multiLevelType w:val="multilevel"/>
    <w:tmpl w:val="03F04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CB1140"/>
    <w:multiLevelType w:val="hybridMultilevel"/>
    <w:tmpl w:val="DE7E173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CB70493"/>
    <w:multiLevelType w:val="multilevel"/>
    <w:tmpl w:val="3EB86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F82"/>
    <w:rsid w:val="00011231"/>
    <w:rsid w:val="000119F2"/>
    <w:rsid w:val="00012666"/>
    <w:rsid w:val="00012DA2"/>
    <w:rsid w:val="0001426B"/>
    <w:rsid w:val="00015C95"/>
    <w:rsid w:val="000274C5"/>
    <w:rsid w:val="00044865"/>
    <w:rsid w:val="00045AE6"/>
    <w:rsid w:val="00047A62"/>
    <w:rsid w:val="00051820"/>
    <w:rsid w:val="000705F3"/>
    <w:rsid w:val="0007219B"/>
    <w:rsid w:val="00080021"/>
    <w:rsid w:val="000A3DCD"/>
    <w:rsid w:val="000A5D8D"/>
    <w:rsid w:val="000A737D"/>
    <w:rsid w:val="000B1D81"/>
    <w:rsid w:val="000B2653"/>
    <w:rsid w:val="000C285A"/>
    <w:rsid w:val="000C5B46"/>
    <w:rsid w:val="000D4A0F"/>
    <w:rsid w:val="000F609B"/>
    <w:rsid w:val="000F7ADE"/>
    <w:rsid w:val="00114F7D"/>
    <w:rsid w:val="0012002E"/>
    <w:rsid w:val="00126B26"/>
    <w:rsid w:val="0013012B"/>
    <w:rsid w:val="00133A6A"/>
    <w:rsid w:val="001426A1"/>
    <w:rsid w:val="0016304E"/>
    <w:rsid w:val="0017065C"/>
    <w:rsid w:val="00184F13"/>
    <w:rsid w:val="001E08BD"/>
    <w:rsid w:val="001F0585"/>
    <w:rsid w:val="001F26D6"/>
    <w:rsid w:val="001F74CE"/>
    <w:rsid w:val="001F7E28"/>
    <w:rsid w:val="002028A3"/>
    <w:rsid w:val="00202DE6"/>
    <w:rsid w:val="00210665"/>
    <w:rsid w:val="0021428B"/>
    <w:rsid w:val="00224646"/>
    <w:rsid w:val="0022584B"/>
    <w:rsid w:val="00225EB8"/>
    <w:rsid w:val="00226FB6"/>
    <w:rsid w:val="00227240"/>
    <w:rsid w:val="002275C4"/>
    <w:rsid w:val="00236C36"/>
    <w:rsid w:val="0024184E"/>
    <w:rsid w:val="00242E33"/>
    <w:rsid w:val="002504A0"/>
    <w:rsid w:val="00261F26"/>
    <w:rsid w:val="00262FB8"/>
    <w:rsid w:val="00271509"/>
    <w:rsid w:val="00284050"/>
    <w:rsid w:val="00295BCA"/>
    <w:rsid w:val="002C5E25"/>
    <w:rsid w:val="002D2994"/>
    <w:rsid w:val="002D336B"/>
    <w:rsid w:val="002D488F"/>
    <w:rsid w:val="002D5C13"/>
    <w:rsid w:val="002E590F"/>
    <w:rsid w:val="002E764C"/>
    <w:rsid w:val="002F0294"/>
    <w:rsid w:val="002F774F"/>
    <w:rsid w:val="00305023"/>
    <w:rsid w:val="00312301"/>
    <w:rsid w:val="00313743"/>
    <w:rsid w:val="0032577A"/>
    <w:rsid w:val="00347DBE"/>
    <w:rsid w:val="00357368"/>
    <w:rsid w:val="0037431E"/>
    <w:rsid w:val="003756F9"/>
    <w:rsid w:val="003A6904"/>
    <w:rsid w:val="003B2412"/>
    <w:rsid w:val="003B6DED"/>
    <w:rsid w:val="003D5A6D"/>
    <w:rsid w:val="003F37A7"/>
    <w:rsid w:val="003F3847"/>
    <w:rsid w:val="00405C6B"/>
    <w:rsid w:val="00426CC1"/>
    <w:rsid w:val="00426DB7"/>
    <w:rsid w:val="00432B76"/>
    <w:rsid w:val="00451BFA"/>
    <w:rsid w:val="00454786"/>
    <w:rsid w:val="00462FB6"/>
    <w:rsid w:val="00467689"/>
    <w:rsid w:val="004809EE"/>
    <w:rsid w:val="00481CA2"/>
    <w:rsid w:val="00485D67"/>
    <w:rsid w:val="004A01BC"/>
    <w:rsid w:val="004A51A4"/>
    <w:rsid w:val="004B44A3"/>
    <w:rsid w:val="004C20D3"/>
    <w:rsid w:val="004C475D"/>
    <w:rsid w:val="004C6580"/>
    <w:rsid w:val="004E0231"/>
    <w:rsid w:val="004E2A99"/>
    <w:rsid w:val="004E43BA"/>
    <w:rsid w:val="004E5BC0"/>
    <w:rsid w:val="005043A7"/>
    <w:rsid w:val="005149F2"/>
    <w:rsid w:val="0052630D"/>
    <w:rsid w:val="005556F3"/>
    <w:rsid w:val="00561F82"/>
    <w:rsid w:val="00567D4C"/>
    <w:rsid w:val="005853F1"/>
    <w:rsid w:val="00597AF9"/>
    <w:rsid w:val="005B0463"/>
    <w:rsid w:val="005B3CE2"/>
    <w:rsid w:val="005C25FB"/>
    <w:rsid w:val="005D2E36"/>
    <w:rsid w:val="005D30E1"/>
    <w:rsid w:val="005D5CCB"/>
    <w:rsid w:val="005D60EC"/>
    <w:rsid w:val="0060279C"/>
    <w:rsid w:val="0060382E"/>
    <w:rsid w:val="00647AFD"/>
    <w:rsid w:val="0066454E"/>
    <w:rsid w:val="00673819"/>
    <w:rsid w:val="00677CC6"/>
    <w:rsid w:val="00682744"/>
    <w:rsid w:val="00687931"/>
    <w:rsid w:val="00692031"/>
    <w:rsid w:val="006B021A"/>
    <w:rsid w:val="006C3E81"/>
    <w:rsid w:val="006C5940"/>
    <w:rsid w:val="006C7825"/>
    <w:rsid w:val="006E6716"/>
    <w:rsid w:val="006F1402"/>
    <w:rsid w:val="00704911"/>
    <w:rsid w:val="007208A0"/>
    <w:rsid w:val="007238AE"/>
    <w:rsid w:val="00724001"/>
    <w:rsid w:val="0072614F"/>
    <w:rsid w:val="007354D4"/>
    <w:rsid w:val="00737989"/>
    <w:rsid w:val="00747495"/>
    <w:rsid w:val="0075129D"/>
    <w:rsid w:val="00752F1B"/>
    <w:rsid w:val="00770690"/>
    <w:rsid w:val="007850E6"/>
    <w:rsid w:val="00787EFE"/>
    <w:rsid w:val="00787FB1"/>
    <w:rsid w:val="007A2339"/>
    <w:rsid w:val="007A6C36"/>
    <w:rsid w:val="007A7CFB"/>
    <w:rsid w:val="007A7D02"/>
    <w:rsid w:val="007B2E10"/>
    <w:rsid w:val="007B625D"/>
    <w:rsid w:val="00802C87"/>
    <w:rsid w:val="00803591"/>
    <w:rsid w:val="00867563"/>
    <w:rsid w:val="008730AF"/>
    <w:rsid w:val="00883262"/>
    <w:rsid w:val="00885C9C"/>
    <w:rsid w:val="00894528"/>
    <w:rsid w:val="008A08AC"/>
    <w:rsid w:val="008D715E"/>
    <w:rsid w:val="008E36A2"/>
    <w:rsid w:val="008F00F5"/>
    <w:rsid w:val="008F0390"/>
    <w:rsid w:val="008F073E"/>
    <w:rsid w:val="008F1025"/>
    <w:rsid w:val="008F3C67"/>
    <w:rsid w:val="008F6387"/>
    <w:rsid w:val="00901F00"/>
    <w:rsid w:val="009068F3"/>
    <w:rsid w:val="00907696"/>
    <w:rsid w:val="00910D72"/>
    <w:rsid w:val="00926A19"/>
    <w:rsid w:val="00972B97"/>
    <w:rsid w:val="00975777"/>
    <w:rsid w:val="009839D4"/>
    <w:rsid w:val="009946B7"/>
    <w:rsid w:val="009A390F"/>
    <w:rsid w:val="009B452C"/>
    <w:rsid w:val="009C0D14"/>
    <w:rsid w:val="009C30A1"/>
    <w:rsid w:val="009C7F4C"/>
    <w:rsid w:val="009E470D"/>
    <w:rsid w:val="009F4DEC"/>
    <w:rsid w:val="00A21AE2"/>
    <w:rsid w:val="00A26740"/>
    <w:rsid w:val="00A303DC"/>
    <w:rsid w:val="00A3433C"/>
    <w:rsid w:val="00A35183"/>
    <w:rsid w:val="00A45DF9"/>
    <w:rsid w:val="00A4649E"/>
    <w:rsid w:val="00A64A66"/>
    <w:rsid w:val="00A64DCD"/>
    <w:rsid w:val="00A65684"/>
    <w:rsid w:val="00A720B8"/>
    <w:rsid w:val="00A9388B"/>
    <w:rsid w:val="00A95499"/>
    <w:rsid w:val="00AA2435"/>
    <w:rsid w:val="00AA5034"/>
    <w:rsid w:val="00AA58A5"/>
    <w:rsid w:val="00AB19FE"/>
    <w:rsid w:val="00AB3511"/>
    <w:rsid w:val="00AB5B93"/>
    <w:rsid w:val="00B04A30"/>
    <w:rsid w:val="00B05264"/>
    <w:rsid w:val="00B11EB9"/>
    <w:rsid w:val="00B310BE"/>
    <w:rsid w:val="00B34AE7"/>
    <w:rsid w:val="00B370C2"/>
    <w:rsid w:val="00B42A9A"/>
    <w:rsid w:val="00B47B48"/>
    <w:rsid w:val="00B6421E"/>
    <w:rsid w:val="00B7715A"/>
    <w:rsid w:val="00B90A63"/>
    <w:rsid w:val="00B90E61"/>
    <w:rsid w:val="00BA42CE"/>
    <w:rsid w:val="00BB279F"/>
    <w:rsid w:val="00BC3FD4"/>
    <w:rsid w:val="00BD0AA0"/>
    <w:rsid w:val="00BD2B16"/>
    <w:rsid w:val="00BD4CD6"/>
    <w:rsid w:val="00BD5616"/>
    <w:rsid w:val="00BF0DE4"/>
    <w:rsid w:val="00C35D98"/>
    <w:rsid w:val="00C502AB"/>
    <w:rsid w:val="00C6308D"/>
    <w:rsid w:val="00C66F0E"/>
    <w:rsid w:val="00C717DB"/>
    <w:rsid w:val="00C84702"/>
    <w:rsid w:val="00C870BA"/>
    <w:rsid w:val="00CA0E1B"/>
    <w:rsid w:val="00CA6FFD"/>
    <w:rsid w:val="00CF7890"/>
    <w:rsid w:val="00D01925"/>
    <w:rsid w:val="00D03BD1"/>
    <w:rsid w:val="00D103EC"/>
    <w:rsid w:val="00D20A9F"/>
    <w:rsid w:val="00D62AD0"/>
    <w:rsid w:val="00D66683"/>
    <w:rsid w:val="00D70D54"/>
    <w:rsid w:val="00DA67BF"/>
    <w:rsid w:val="00DB1E9A"/>
    <w:rsid w:val="00DB4DA8"/>
    <w:rsid w:val="00DC67AF"/>
    <w:rsid w:val="00DD73B6"/>
    <w:rsid w:val="00DD78A0"/>
    <w:rsid w:val="00DE0496"/>
    <w:rsid w:val="00E0204A"/>
    <w:rsid w:val="00E26694"/>
    <w:rsid w:val="00E37926"/>
    <w:rsid w:val="00E4003A"/>
    <w:rsid w:val="00E433EF"/>
    <w:rsid w:val="00E43EE3"/>
    <w:rsid w:val="00E43F1D"/>
    <w:rsid w:val="00E53E56"/>
    <w:rsid w:val="00E5648B"/>
    <w:rsid w:val="00E6103B"/>
    <w:rsid w:val="00E70443"/>
    <w:rsid w:val="00E93DA0"/>
    <w:rsid w:val="00E96AF6"/>
    <w:rsid w:val="00EA17C6"/>
    <w:rsid w:val="00EA2259"/>
    <w:rsid w:val="00EB3371"/>
    <w:rsid w:val="00EB6546"/>
    <w:rsid w:val="00ED31D7"/>
    <w:rsid w:val="00EE1AA5"/>
    <w:rsid w:val="00F008DA"/>
    <w:rsid w:val="00F04CBD"/>
    <w:rsid w:val="00F0691E"/>
    <w:rsid w:val="00F41DE8"/>
    <w:rsid w:val="00F504BB"/>
    <w:rsid w:val="00F50919"/>
    <w:rsid w:val="00F66472"/>
    <w:rsid w:val="00F66EFF"/>
    <w:rsid w:val="00F7158E"/>
    <w:rsid w:val="00F7515A"/>
    <w:rsid w:val="00F75200"/>
    <w:rsid w:val="00F8294A"/>
    <w:rsid w:val="00F86EE0"/>
    <w:rsid w:val="00F90410"/>
    <w:rsid w:val="00FA269D"/>
    <w:rsid w:val="00FE027F"/>
    <w:rsid w:val="00FE0A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21F01"/>
  <w15:chartTrackingRefBased/>
  <w15:docId w15:val="{1FF594CF-F280-4F44-8535-31ADD0589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43A7"/>
    <w:pPr>
      <w:spacing w:after="0" w:line="240" w:lineRule="auto"/>
    </w:pPr>
    <w:rPr>
      <w:rFonts w:ascii="Tahoma" w:hAnsi="Tahoma" w:cs="Tahoma"/>
      <w:sz w:val="18"/>
      <w:szCs w:val="18"/>
    </w:rPr>
  </w:style>
  <w:style w:type="character" w:customStyle="1" w:styleId="a4">
    <w:name w:val="טקסט בלונים תו"/>
    <w:basedOn w:val="a0"/>
    <w:link w:val="a3"/>
    <w:uiPriority w:val="99"/>
    <w:semiHidden/>
    <w:rsid w:val="005043A7"/>
    <w:rPr>
      <w:rFonts w:ascii="Tahoma" w:hAnsi="Tahoma" w:cs="Tahoma"/>
      <w:sz w:val="18"/>
      <w:szCs w:val="18"/>
    </w:rPr>
  </w:style>
  <w:style w:type="character" w:styleId="a5">
    <w:name w:val="annotation reference"/>
    <w:basedOn w:val="a0"/>
    <w:uiPriority w:val="99"/>
    <w:semiHidden/>
    <w:unhideWhenUsed/>
    <w:rsid w:val="005D30E1"/>
    <w:rPr>
      <w:sz w:val="16"/>
      <w:szCs w:val="16"/>
    </w:rPr>
  </w:style>
  <w:style w:type="paragraph" w:styleId="a6">
    <w:name w:val="annotation text"/>
    <w:basedOn w:val="a"/>
    <w:link w:val="a7"/>
    <w:uiPriority w:val="99"/>
    <w:semiHidden/>
    <w:unhideWhenUsed/>
    <w:rsid w:val="005D30E1"/>
    <w:pPr>
      <w:spacing w:line="240" w:lineRule="auto"/>
    </w:pPr>
    <w:rPr>
      <w:sz w:val="20"/>
      <w:szCs w:val="20"/>
    </w:rPr>
  </w:style>
  <w:style w:type="character" w:customStyle="1" w:styleId="a7">
    <w:name w:val="טקסט הערה תו"/>
    <w:basedOn w:val="a0"/>
    <w:link w:val="a6"/>
    <w:uiPriority w:val="99"/>
    <w:semiHidden/>
    <w:rsid w:val="005D30E1"/>
    <w:rPr>
      <w:sz w:val="20"/>
      <w:szCs w:val="20"/>
    </w:rPr>
  </w:style>
  <w:style w:type="paragraph" w:styleId="a8">
    <w:name w:val="annotation subject"/>
    <w:basedOn w:val="a6"/>
    <w:next w:val="a6"/>
    <w:link w:val="a9"/>
    <w:uiPriority w:val="99"/>
    <w:semiHidden/>
    <w:unhideWhenUsed/>
    <w:rsid w:val="005D30E1"/>
    <w:rPr>
      <w:b/>
      <w:bCs/>
    </w:rPr>
  </w:style>
  <w:style w:type="character" w:customStyle="1" w:styleId="a9">
    <w:name w:val="נושא הערה תו"/>
    <w:basedOn w:val="a7"/>
    <w:link w:val="a8"/>
    <w:uiPriority w:val="99"/>
    <w:semiHidden/>
    <w:rsid w:val="005D30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426930">
      <w:bodyDiv w:val="1"/>
      <w:marLeft w:val="0"/>
      <w:marRight w:val="0"/>
      <w:marTop w:val="0"/>
      <w:marBottom w:val="0"/>
      <w:divBdr>
        <w:top w:val="none" w:sz="0" w:space="0" w:color="auto"/>
        <w:left w:val="none" w:sz="0" w:space="0" w:color="auto"/>
        <w:bottom w:val="none" w:sz="0" w:space="0" w:color="auto"/>
        <w:right w:val="none" w:sz="0" w:space="0" w:color="auto"/>
      </w:divBdr>
      <w:divsChild>
        <w:div w:id="892230466">
          <w:marLeft w:val="0"/>
          <w:marRight w:val="0"/>
          <w:marTop w:val="0"/>
          <w:marBottom w:val="0"/>
          <w:divBdr>
            <w:top w:val="none" w:sz="0" w:space="0" w:color="auto"/>
            <w:left w:val="none" w:sz="0" w:space="0" w:color="auto"/>
            <w:bottom w:val="none" w:sz="0" w:space="0" w:color="auto"/>
            <w:right w:val="none" w:sz="0" w:space="0" w:color="auto"/>
          </w:divBdr>
          <w:divsChild>
            <w:div w:id="230309016">
              <w:marLeft w:val="0"/>
              <w:marRight w:val="0"/>
              <w:marTop w:val="0"/>
              <w:marBottom w:val="0"/>
              <w:divBdr>
                <w:top w:val="none" w:sz="0" w:space="0" w:color="auto"/>
                <w:left w:val="none" w:sz="0" w:space="0" w:color="auto"/>
                <w:bottom w:val="none" w:sz="0" w:space="0" w:color="auto"/>
                <w:right w:val="none" w:sz="0" w:space="0" w:color="auto"/>
              </w:divBdr>
              <w:divsChild>
                <w:div w:id="1276525779">
                  <w:marLeft w:val="0"/>
                  <w:marRight w:val="0"/>
                  <w:marTop w:val="0"/>
                  <w:marBottom w:val="0"/>
                  <w:divBdr>
                    <w:top w:val="none" w:sz="0" w:space="0" w:color="auto"/>
                    <w:left w:val="none" w:sz="0" w:space="0" w:color="auto"/>
                    <w:bottom w:val="none" w:sz="0" w:space="0" w:color="auto"/>
                    <w:right w:val="none" w:sz="0" w:space="0" w:color="auto"/>
                  </w:divBdr>
                  <w:divsChild>
                    <w:div w:id="1874612678">
                      <w:marLeft w:val="0"/>
                      <w:marRight w:val="0"/>
                      <w:marTop w:val="0"/>
                      <w:marBottom w:val="0"/>
                      <w:divBdr>
                        <w:top w:val="none" w:sz="0" w:space="0" w:color="auto"/>
                        <w:left w:val="none" w:sz="0" w:space="0" w:color="auto"/>
                        <w:bottom w:val="none" w:sz="0" w:space="0" w:color="auto"/>
                        <w:right w:val="none" w:sz="0" w:space="0" w:color="auto"/>
                      </w:divBdr>
                      <w:divsChild>
                        <w:div w:id="183363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055301">
                  <w:marLeft w:val="0"/>
                  <w:marRight w:val="0"/>
                  <w:marTop w:val="0"/>
                  <w:marBottom w:val="0"/>
                  <w:divBdr>
                    <w:top w:val="none" w:sz="0" w:space="0" w:color="auto"/>
                    <w:left w:val="none" w:sz="0" w:space="0" w:color="auto"/>
                    <w:bottom w:val="none" w:sz="0" w:space="0" w:color="auto"/>
                    <w:right w:val="none" w:sz="0" w:space="0" w:color="auto"/>
                  </w:divBdr>
                  <w:divsChild>
                    <w:div w:id="485315652">
                      <w:marLeft w:val="0"/>
                      <w:marRight w:val="0"/>
                      <w:marTop w:val="0"/>
                      <w:marBottom w:val="0"/>
                      <w:divBdr>
                        <w:top w:val="none" w:sz="0" w:space="0" w:color="auto"/>
                        <w:left w:val="none" w:sz="0" w:space="0" w:color="auto"/>
                        <w:bottom w:val="none" w:sz="0" w:space="0" w:color="auto"/>
                        <w:right w:val="none" w:sz="0" w:space="0" w:color="auto"/>
                      </w:divBdr>
                      <w:divsChild>
                        <w:div w:id="2884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241400">
                  <w:marLeft w:val="0"/>
                  <w:marRight w:val="0"/>
                  <w:marTop w:val="0"/>
                  <w:marBottom w:val="0"/>
                  <w:divBdr>
                    <w:top w:val="none" w:sz="0" w:space="0" w:color="auto"/>
                    <w:left w:val="none" w:sz="0" w:space="0" w:color="auto"/>
                    <w:bottom w:val="none" w:sz="0" w:space="0" w:color="auto"/>
                    <w:right w:val="none" w:sz="0" w:space="0" w:color="auto"/>
                  </w:divBdr>
                  <w:divsChild>
                    <w:div w:id="1070616641">
                      <w:marLeft w:val="0"/>
                      <w:marRight w:val="0"/>
                      <w:marTop w:val="0"/>
                      <w:marBottom w:val="0"/>
                      <w:divBdr>
                        <w:top w:val="none" w:sz="0" w:space="0" w:color="auto"/>
                        <w:left w:val="none" w:sz="0" w:space="0" w:color="auto"/>
                        <w:bottom w:val="none" w:sz="0" w:space="0" w:color="auto"/>
                        <w:right w:val="none" w:sz="0" w:space="0" w:color="auto"/>
                      </w:divBdr>
                      <w:divsChild>
                        <w:div w:id="98096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93715">
                  <w:marLeft w:val="0"/>
                  <w:marRight w:val="0"/>
                  <w:marTop w:val="0"/>
                  <w:marBottom w:val="0"/>
                  <w:divBdr>
                    <w:top w:val="none" w:sz="0" w:space="0" w:color="auto"/>
                    <w:left w:val="none" w:sz="0" w:space="0" w:color="auto"/>
                    <w:bottom w:val="none" w:sz="0" w:space="0" w:color="auto"/>
                    <w:right w:val="none" w:sz="0" w:space="0" w:color="auto"/>
                  </w:divBdr>
                  <w:divsChild>
                    <w:div w:id="667251562">
                      <w:marLeft w:val="0"/>
                      <w:marRight w:val="0"/>
                      <w:marTop w:val="0"/>
                      <w:marBottom w:val="0"/>
                      <w:divBdr>
                        <w:top w:val="none" w:sz="0" w:space="0" w:color="auto"/>
                        <w:left w:val="none" w:sz="0" w:space="0" w:color="auto"/>
                        <w:bottom w:val="none" w:sz="0" w:space="0" w:color="auto"/>
                        <w:right w:val="none" w:sz="0" w:space="0" w:color="auto"/>
                      </w:divBdr>
                      <w:divsChild>
                        <w:div w:id="23154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708537">
          <w:marLeft w:val="0"/>
          <w:marRight w:val="0"/>
          <w:marTop w:val="0"/>
          <w:marBottom w:val="0"/>
          <w:divBdr>
            <w:top w:val="none" w:sz="0" w:space="0" w:color="auto"/>
            <w:left w:val="none" w:sz="0" w:space="0" w:color="auto"/>
            <w:bottom w:val="none" w:sz="0" w:space="0" w:color="auto"/>
            <w:right w:val="none" w:sz="0" w:space="0" w:color="auto"/>
          </w:divBdr>
          <w:divsChild>
            <w:div w:id="1133983559">
              <w:marLeft w:val="0"/>
              <w:marRight w:val="0"/>
              <w:marTop w:val="0"/>
              <w:marBottom w:val="0"/>
              <w:divBdr>
                <w:top w:val="none" w:sz="0" w:space="0" w:color="auto"/>
                <w:left w:val="none" w:sz="0" w:space="0" w:color="auto"/>
                <w:bottom w:val="none" w:sz="0" w:space="0" w:color="auto"/>
                <w:right w:val="none" w:sz="0" w:space="0" w:color="auto"/>
              </w:divBdr>
              <w:divsChild>
                <w:div w:id="1202086983">
                  <w:marLeft w:val="0"/>
                  <w:marRight w:val="0"/>
                  <w:marTop w:val="0"/>
                  <w:marBottom w:val="0"/>
                  <w:divBdr>
                    <w:top w:val="none" w:sz="0" w:space="0" w:color="auto"/>
                    <w:left w:val="none" w:sz="0" w:space="0" w:color="auto"/>
                    <w:bottom w:val="none" w:sz="0" w:space="0" w:color="auto"/>
                    <w:right w:val="none" w:sz="0" w:space="0" w:color="auto"/>
                  </w:divBdr>
                  <w:divsChild>
                    <w:div w:id="461536210">
                      <w:marLeft w:val="0"/>
                      <w:marRight w:val="0"/>
                      <w:marTop w:val="0"/>
                      <w:marBottom w:val="0"/>
                      <w:divBdr>
                        <w:top w:val="none" w:sz="0" w:space="0" w:color="auto"/>
                        <w:left w:val="none" w:sz="0" w:space="0" w:color="auto"/>
                        <w:bottom w:val="none" w:sz="0" w:space="0" w:color="auto"/>
                        <w:right w:val="none" w:sz="0" w:space="0" w:color="auto"/>
                      </w:divBdr>
                      <w:divsChild>
                        <w:div w:id="211073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09261">
                  <w:marLeft w:val="0"/>
                  <w:marRight w:val="0"/>
                  <w:marTop w:val="0"/>
                  <w:marBottom w:val="0"/>
                  <w:divBdr>
                    <w:top w:val="none" w:sz="0" w:space="0" w:color="auto"/>
                    <w:left w:val="none" w:sz="0" w:space="0" w:color="auto"/>
                    <w:bottom w:val="none" w:sz="0" w:space="0" w:color="auto"/>
                    <w:right w:val="none" w:sz="0" w:space="0" w:color="auto"/>
                  </w:divBdr>
                  <w:divsChild>
                    <w:div w:id="1013530291">
                      <w:marLeft w:val="0"/>
                      <w:marRight w:val="0"/>
                      <w:marTop w:val="0"/>
                      <w:marBottom w:val="0"/>
                      <w:divBdr>
                        <w:top w:val="none" w:sz="0" w:space="0" w:color="auto"/>
                        <w:left w:val="none" w:sz="0" w:space="0" w:color="auto"/>
                        <w:bottom w:val="none" w:sz="0" w:space="0" w:color="auto"/>
                        <w:right w:val="none" w:sz="0" w:space="0" w:color="auto"/>
                      </w:divBdr>
                      <w:divsChild>
                        <w:div w:id="24492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283962">
                  <w:marLeft w:val="0"/>
                  <w:marRight w:val="0"/>
                  <w:marTop w:val="0"/>
                  <w:marBottom w:val="0"/>
                  <w:divBdr>
                    <w:top w:val="none" w:sz="0" w:space="0" w:color="auto"/>
                    <w:left w:val="none" w:sz="0" w:space="0" w:color="auto"/>
                    <w:bottom w:val="none" w:sz="0" w:space="0" w:color="auto"/>
                    <w:right w:val="none" w:sz="0" w:space="0" w:color="auto"/>
                  </w:divBdr>
                  <w:divsChild>
                    <w:div w:id="2063478911">
                      <w:marLeft w:val="0"/>
                      <w:marRight w:val="0"/>
                      <w:marTop w:val="0"/>
                      <w:marBottom w:val="0"/>
                      <w:divBdr>
                        <w:top w:val="none" w:sz="0" w:space="0" w:color="auto"/>
                        <w:left w:val="none" w:sz="0" w:space="0" w:color="auto"/>
                        <w:bottom w:val="none" w:sz="0" w:space="0" w:color="auto"/>
                        <w:right w:val="none" w:sz="0" w:space="0" w:color="auto"/>
                      </w:divBdr>
                      <w:divsChild>
                        <w:div w:id="4413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7299675">
      <w:bodyDiv w:val="1"/>
      <w:marLeft w:val="0"/>
      <w:marRight w:val="0"/>
      <w:marTop w:val="0"/>
      <w:marBottom w:val="0"/>
      <w:divBdr>
        <w:top w:val="none" w:sz="0" w:space="0" w:color="auto"/>
        <w:left w:val="none" w:sz="0" w:space="0" w:color="auto"/>
        <w:bottom w:val="none" w:sz="0" w:space="0" w:color="auto"/>
        <w:right w:val="none" w:sz="0" w:space="0" w:color="auto"/>
      </w:divBdr>
      <w:divsChild>
        <w:div w:id="20795894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457</Words>
  <Characters>2290</Characters>
  <Application>Microsoft Office Word</Application>
  <DocSecurity>0</DocSecurity>
  <Lines>19</Lines>
  <Paragraphs>5</Paragraphs>
  <ScaleCrop>false</ScaleCrop>
  <HeadingPairs>
    <vt:vector size="2" baseType="variant">
      <vt:variant>
        <vt:lpstr>שם</vt:lpstr>
      </vt:variant>
      <vt:variant>
        <vt:i4>1</vt:i4>
      </vt:variant>
    </vt:vector>
  </HeadingPairs>
  <TitlesOfParts>
    <vt:vector size="1" baseType="lpstr">
      <vt:lpstr/>
    </vt:vector>
  </TitlesOfParts>
  <Company>BOI</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נורית פלתר איתן</dc:creator>
  <cp:keywords/>
  <dc:description/>
  <cp:lastModifiedBy>לירון דהן</cp:lastModifiedBy>
  <cp:revision>11</cp:revision>
  <dcterms:created xsi:type="dcterms:W3CDTF">2023-05-01T10:14:00Z</dcterms:created>
  <dcterms:modified xsi:type="dcterms:W3CDTF">2023-05-01T10:22:00Z</dcterms:modified>
</cp:coreProperties>
</file>