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9005BA" w:rsidRPr="00E3553D" w:rsidTr="0029736D">
        <w:tc>
          <w:tcPr>
            <w:tcW w:w="3343" w:type="dxa"/>
            <w:tcBorders>
              <w:top w:val="nil"/>
              <w:left w:val="nil"/>
              <w:bottom w:val="nil"/>
              <w:right w:val="nil"/>
            </w:tcBorders>
            <w:vAlign w:val="center"/>
          </w:tcPr>
          <w:p w:rsidR="009005BA" w:rsidRPr="00E3553D" w:rsidRDefault="009005BA" w:rsidP="00020B46">
            <w:pPr>
              <w:jc w:val="both"/>
              <w:rPr>
                <w:rFonts w:ascii="Calibri" w:hAnsi="Calibri" w:cs="Calibri"/>
                <w:b/>
                <w:bCs/>
                <w:sz w:val="24"/>
                <w:szCs w:val="24"/>
                <w:rtl/>
              </w:rPr>
            </w:pPr>
            <w:r w:rsidRPr="00E3553D">
              <w:rPr>
                <w:rFonts w:ascii="Calibri" w:hAnsi="Calibri" w:cs="Calibri"/>
                <w:b/>
                <w:bCs/>
                <w:sz w:val="24"/>
                <w:szCs w:val="24"/>
                <w:rtl/>
              </w:rPr>
              <w:t>בנק ישראל</w:t>
            </w:r>
          </w:p>
          <w:p w:rsidR="009005BA" w:rsidRPr="00E3553D" w:rsidRDefault="009005BA" w:rsidP="00020B46">
            <w:pPr>
              <w:jc w:val="both"/>
              <w:rPr>
                <w:rFonts w:ascii="Calibri" w:hAnsi="Calibri" w:cs="Calibri"/>
                <w:b/>
                <w:bCs/>
                <w:sz w:val="28"/>
                <w:szCs w:val="28"/>
              </w:rPr>
            </w:pPr>
            <w:r w:rsidRPr="00E3553D">
              <w:rPr>
                <w:rFonts w:ascii="Calibri" w:hAnsi="Calibri" w:cs="Calibri"/>
                <w:rtl/>
              </w:rPr>
              <w:t>דוברות והסברה כלכלית</w:t>
            </w:r>
          </w:p>
        </w:tc>
        <w:tc>
          <w:tcPr>
            <w:tcW w:w="2596" w:type="dxa"/>
            <w:tcBorders>
              <w:top w:val="nil"/>
              <w:left w:val="nil"/>
              <w:bottom w:val="nil"/>
              <w:right w:val="nil"/>
            </w:tcBorders>
            <w:shd w:val="clear" w:color="auto" w:fill="FFFFFF"/>
          </w:tcPr>
          <w:p w:rsidR="009005BA" w:rsidRPr="00E3553D" w:rsidRDefault="009005BA" w:rsidP="00020B46">
            <w:pPr>
              <w:jc w:val="both"/>
              <w:rPr>
                <w:rFonts w:ascii="Calibri" w:hAnsi="Calibri" w:cs="Calibri"/>
              </w:rPr>
            </w:pPr>
            <w:r w:rsidRPr="00E3553D">
              <w:rPr>
                <w:rFonts w:ascii="Calibri" w:hAnsi="Calibri" w:cs="Calibri"/>
                <w:noProof/>
              </w:rPr>
              <w:drawing>
                <wp:anchor distT="0" distB="0" distL="114300" distR="114300" simplePos="0" relativeHeight="251659264" behindDoc="0" locked="0" layoutInCell="1" allowOverlap="1" wp14:anchorId="25F85B1D" wp14:editId="43CC3CCE">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E3553D" w:rsidRDefault="009005BA" w:rsidP="00020B46">
            <w:pPr>
              <w:jc w:val="both"/>
              <w:rPr>
                <w:rFonts w:ascii="Calibri" w:hAnsi="Calibri" w:cs="Calibri"/>
                <w:rtl/>
              </w:rPr>
            </w:pPr>
            <w:r w:rsidRPr="00E3553D">
              <w:rPr>
                <w:rFonts w:ascii="Calibri" w:hAnsi="Calibri" w:cs="Calibri"/>
                <w:highlight w:val="green"/>
                <w:rtl/>
              </w:rPr>
              <w:t>‏</w:t>
            </w:r>
            <w:r w:rsidRPr="00E3553D">
              <w:rPr>
                <w:rFonts w:ascii="Calibri" w:hAnsi="Calibri" w:cs="Calibri"/>
                <w:rtl/>
              </w:rPr>
              <w:t xml:space="preserve">ירושלים, </w:t>
            </w:r>
            <w:r w:rsidRPr="00E3553D">
              <w:rPr>
                <w:rFonts w:ascii="Calibri" w:hAnsi="Calibri" w:cs="Calibri"/>
                <w:rtl/>
              </w:rPr>
              <w:fldChar w:fldCharType="begin"/>
            </w:r>
            <w:r w:rsidRPr="00E3553D">
              <w:rPr>
                <w:rFonts w:ascii="Calibri" w:hAnsi="Calibri" w:cs="Calibri"/>
                <w:rtl/>
              </w:rPr>
              <w:instrText xml:space="preserve"> </w:instrText>
            </w:r>
            <w:r w:rsidRPr="00E3553D">
              <w:rPr>
                <w:rFonts w:ascii="Calibri" w:hAnsi="Calibri" w:cs="Calibri"/>
              </w:rPr>
              <w:instrText>DATE</w:instrText>
            </w:r>
            <w:r w:rsidRPr="00E3553D">
              <w:rPr>
                <w:rFonts w:ascii="Calibri" w:hAnsi="Calibri" w:cs="Calibri"/>
                <w:rtl/>
              </w:rPr>
              <w:instrText xml:space="preserve"> \@ "</w:instrText>
            </w:r>
            <w:r w:rsidRPr="00E3553D">
              <w:rPr>
                <w:rFonts w:ascii="Calibri" w:hAnsi="Calibri" w:cs="Calibri"/>
              </w:rPr>
              <w:instrText>d MMMM, yyyy" \h</w:instrText>
            </w:r>
            <w:r w:rsidRPr="00E3553D">
              <w:rPr>
                <w:rFonts w:ascii="Calibri" w:hAnsi="Calibri" w:cs="Calibri"/>
                <w:rtl/>
              </w:rPr>
              <w:instrText xml:space="preserve"> </w:instrText>
            </w:r>
            <w:r w:rsidRPr="00E3553D">
              <w:rPr>
                <w:rFonts w:ascii="Calibri" w:hAnsi="Calibri" w:cs="Calibri"/>
                <w:rtl/>
              </w:rPr>
              <w:fldChar w:fldCharType="separate"/>
            </w:r>
            <w:r w:rsidR="00227B6A">
              <w:rPr>
                <w:rFonts w:ascii="Calibri" w:hAnsi="Calibri" w:cs="Calibri"/>
                <w:noProof/>
                <w:rtl/>
              </w:rPr>
              <w:t>‏כ"ב אייר, תשפ"ה</w:t>
            </w:r>
            <w:r w:rsidRPr="00E3553D">
              <w:rPr>
                <w:rFonts w:ascii="Calibri" w:hAnsi="Calibri" w:cs="Calibri"/>
                <w:rtl/>
              </w:rPr>
              <w:fldChar w:fldCharType="end"/>
            </w:r>
          </w:p>
          <w:p w:rsidR="009005BA" w:rsidRPr="00E3553D" w:rsidRDefault="009005BA" w:rsidP="00020B46">
            <w:pPr>
              <w:jc w:val="both"/>
              <w:rPr>
                <w:rFonts w:ascii="Calibri" w:hAnsi="Calibri" w:cs="Calibri"/>
                <w:highlight w:val="green"/>
              </w:rPr>
            </w:pPr>
            <w:r w:rsidRPr="00E3553D">
              <w:rPr>
                <w:rFonts w:ascii="Calibri" w:hAnsi="Calibri" w:cs="Calibri"/>
                <w:rtl/>
              </w:rPr>
              <w:fldChar w:fldCharType="begin"/>
            </w:r>
            <w:r w:rsidRPr="00E3553D">
              <w:rPr>
                <w:rFonts w:ascii="Calibri" w:hAnsi="Calibri" w:cs="Calibri"/>
                <w:rtl/>
              </w:rPr>
              <w:instrText xml:space="preserve"> </w:instrText>
            </w:r>
            <w:r w:rsidRPr="00E3553D">
              <w:rPr>
                <w:rFonts w:ascii="Calibri" w:hAnsi="Calibri" w:cs="Calibri"/>
              </w:rPr>
              <w:instrText>DATE</w:instrText>
            </w:r>
            <w:r w:rsidRPr="00E3553D">
              <w:rPr>
                <w:rFonts w:ascii="Calibri" w:hAnsi="Calibri" w:cs="Calibri"/>
                <w:rtl/>
              </w:rPr>
              <w:instrText xml:space="preserve"> \@ "</w:instrText>
            </w:r>
            <w:r w:rsidRPr="00E3553D">
              <w:rPr>
                <w:rFonts w:ascii="Calibri" w:hAnsi="Calibri" w:cs="Calibri"/>
              </w:rPr>
              <w:instrText>d MMMM, yyyy</w:instrText>
            </w:r>
            <w:r w:rsidRPr="00E3553D">
              <w:rPr>
                <w:rFonts w:ascii="Calibri" w:hAnsi="Calibri" w:cs="Calibri"/>
                <w:rtl/>
              </w:rPr>
              <w:instrText xml:space="preserve">" </w:instrText>
            </w:r>
            <w:r w:rsidRPr="00E3553D">
              <w:rPr>
                <w:rFonts w:ascii="Calibri" w:hAnsi="Calibri" w:cs="Calibri"/>
                <w:rtl/>
              </w:rPr>
              <w:fldChar w:fldCharType="separate"/>
            </w:r>
            <w:r w:rsidR="00227B6A">
              <w:rPr>
                <w:rFonts w:ascii="Calibri" w:hAnsi="Calibri" w:cs="Calibri"/>
                <w:noProof/>
                <w:rtl/>
              </w:rPr>
              <w:t>‏20 מאי, 2025</w:t>
            </w:r>
            <w:r w:rsidRPr="00E3553D">
              <w:rPr>
                <w:rFonts w:ascii="Calibri" w:hAnsi="Calibri" w:cs="Calibri"/>
                <w:rtl/>
              </w:rPr>
              <w:fldChar w:fldCharType="end"/>
            </w:r>
          </w:p>
        </w:tc>
      </w:tr>
    </w:tbl>
    <w:p w:rsidR="009005BA" w:rsidRPr="00E3553D" w:rsidRDefault="009005BA" w:rsidP="00020B46">
      <w:pPr>
        <w:tabs>
          <w:tab w:val="left" w:pos="2315"/>
        </w:tabs>
        <w:jc w:val="both"/>
        <w:rPr>
          <w:rFonts w:ascii="Calibri" w:hAnsi="Calibri" w:cs="Calibri"/>
          <w:sz w:val="24"/>
          <w:szCs w:val="24"/>
          <w:rtl/>
        </w:rPr>
      </w:pPr>
    </w:p>
    <w:p w:rsidR="00D66255" w:rsidRDefault="008E761A" w:rsidP="00020B46">
      <w:pPr>
        <w:tabs>
          <w:tab w:val="left" w:pos="2315"/>
        </w:tabs>
        <w:jc w:val="both"/>
        <w:rPr>
          <w:rFonts w:ascii="Calibri" w:hAnsi="Calibri" w:cs="Calibri"/>
          <w:sz w:val="24"/>
          <w:szCs w:val="24"/>
          <w:rtl/>
        </w:rPr>
      </w:pPr>
      <w:r w:rsidRPr="00E3553D">
        <w:rPr>
          <w:rFonts w:ascii="Calibri" w:hAnsi="Calibri" w:cs="Calibri"/>
          <w:sz w:val="24"/>
          <w:szCs w:val="24"/>
          <w:rtl/>
        </w:rPr>
        <w:t>הודעה לעיתונות:</w:t>
      </w:r>
    </w:p>
    <w:p w:rsidR="00FA3A59" w:rsidRPr="00FA3A59" w:rsidRDefault="002C37EF" w:rsidP="00BE47EE">
      <w:pPr>
        <w:jc w:val="center"/>
        <w:rPr>
          <w:rFonts w:ascii="Calibri" w:hAnsi="Calibri" w:cs="Calibri"/>
          <w:b/>
          <w:bCs/>
          <w:sz w:val="28"/>
          <w:szCs w:val="28"/>
        </w:rPr>
      </w:pPr>
      <w:r>
        <w:rPr>
          <w:rFonts w:ascii="Calibri" w:hAnsi="Calibri" w:cs="Calibri" w:hint="cs"/>
          <w:b/>
          <w:bCs/>
          <w:sz w:val="28"/>
          <w:szCs w:val="28"/>
          <w:rtl/>
        </w:rPr>
        <w:t>כנס להצגת הסקירה השנתית של הפיקוח על הבנקים וממצאים מ</w:t>
      </w:r>
      <w:r w:rsidR="00BE47EE" w:rsidRPr="00BE47EE">
        <w:rPr>
          <w:rFonts w:ascii="Calibri" w:hAnsi="Calibri" w:cs="Calibri"/>
          <w:b/>
          <w:bCs/>
          <w:sz w:val="28"/>
          <w:szCs w:val="28"/>
          <w:rtl/>
        </w:rPr>
        <w:t>סקר צרכנים –</w:t>
      </w:r>
      <w:r w:rsidR="00BE47EE">
        <w:rPr>
          <w:rFonts w:ascii="Calibri" w:hAnsi="Calibri" w:cs="Calibri" w:hint="cs"/>
          <w:b/>
          <w:bCs/>
          <w:sz w:val="28"/>
          <w:szCs w:val="28"/>
          <w:rtl/>
        </w:rPr>
        <w:t xml:space="preserve"> </w:t>
      </w:r>
      <w:r w:rsidR="00BE47EE" w:rsidRPr="00BE47EE">
        <w:rPr>
          <w:rFonts w:ascii="Calibri" w:hAnsi="Calibri" w:cs="Calibri"/>
          <w:b/>
          <w:bCs/>
          <w:sz w:val="28"/>
          <w:szCs w:val="28"/>
          <w:rtl/>
        </w:rPr>
        <w:t>בחינת התנהלות</w:t>
      </w:r>
      <w:r w:rsidR="00BE47EE">
        <w:rPr>
          <w:rFonts w:ascii="Calibri" w:hAnsi="Calibri" w:cs="Calibri" w:hint="cs"/>
          <w:b/>
          <w:bCs/>
          <w:sz w:val="28"/>
          <w:szCs w:val="28"/>
          <w:rtl/>
        </w:rPr>
        <w:t xml:space="preserve"> </w:t>
      </w:r>
      <w:r w:rsidR="00BE47EE" w:rsidRPr="00BE47EE">
        <w:rPr>
          <w:rFonts w:ascii="Calibri" w:hAnsi="Calibri" w:cs="Calibri"/>
          <w:b/>
          <w:bCs/>
          <w:sz w:val="28"/>
          <w:szCs w:val="28"/>
          <w:rtl/>
        </w:rPr>
        <w:t>והעדפות פיננסיות</w:t>
      </w:r>
      <w:r w:rsidR="00BE47EE">
        <w:rPr>
          <w:rFonts w:ascii="Calibri" w:hAnsi="Calibri" w:cs="Calibri" w:hint="cs"/>
          <w:b/>
          <w:bCs/>
          <w:sz w:val="28"/>
          <w:szCs w:val="28"/>
          <w:rtl/>
        </w:rPr>
        <w:t xml:space="preserve"> </w:t>
      </w:r>
      <w:r w:rsidR="00BE47EE" w:rsidRPr="00BE47EE">
        <w:rPr>
          <w:rFonts w:ascii="Calibri" w:hAnsi="Calibri" w:cs="Calibri"/>
          <w:b/>
          <w:bCs/>
          <w:sz w:val="28"/>
          <w:szCs w:val="28"/>
          <w:rtl/>
        </w:rPr>
        <w:t>בתחום הפיקדונ</w:t>
      </w:r>
      <w:r w:rsidR="00BE47EE">
        <w:rPr>
          <w:rFonts w:ascii="Calibri" w:hAnsi="Calibri" w:cs="Calibri" w:hint="cs"/>
          <w:b/>
          <w:bCs/>
          <w:sz w:val="28"/>
          <w:szCs w:val="28"/>
          <w:rtl/>
        </w:rPr>
        <w:t xml:space="preserve">ות </w:t>
      </w:r>
    </w:p>
    <w:p w:rsidR="004A1395" w:rsidRDefault="004A1395" w:rsidP="004A1395">
      <w:pPr>
        <w:jc w:val="both"/>
        <w:rPr>
          <w:rFonts w:ascii="Arial" w:hAnsi="Arial" w:cs="Arial"/>
          <w:rtl/>
        </w:rPr>
      </w:pPr>
      <w:r w:rsidRPr="00C50865">
        <w:rPr>
          <w:rFonts w:ascii="Arial" w:hAnsi="Arial" w:cs="Arial" w:hint="cs"/>
          <w:rtl/>
        </w:rPr>
        <w:t>אתמול (19.05.2025</w:t>
      </w:r>
      <w:bookmarkStart w:id="0" w:name="_GoBack"/>
      <w:bookmarkEnd w:id="0"/>
      <w:r w:rsidRPr="00C50865">
        <w:rPr>
          <w:rFonts w:ascii="Arial" w:hAnsi="Arial" w:cs="Arial" w:hint="cs"/>
          <w:rtl/>
        </w:rPr>
        <w:t xml:space="preserve">) התקיים </w:t>
      </w:r>
      <w:r w:rsidRPr="00C50865">
        <w:rPr>
          <w:rFonts w:ascii="Arial" w:hAnsi="Arial" w:cs="Arial"/>
          <w:rtl/>
        </w:rPr>
        <w:t xml:space="preserve">כנס להצגת הסקירה השנתית של </w:t>
      </w:r>
      <w:r>
        <w:rPr>
          <w:rFonts w:ascii="Arial" w:hAnsi="Arial" w:cs="Arial" w:hint="cs"/>
          <w:rtl/>
        </w:rPr>
        <w:t>הפיקוח על הבנקים</w:t>
      </w:r>
      <w:r w:rsidRPr="00C50865">
        <w:rPr>
          <w:rFonts w:ascii="Arial" w:hAnsi="Arial" w:cs="Arial"/>
          <w:rtl/>
        </w:rPr>
        <w:t>, אשר נערך ע"י מכון ספרא לבנקאות ותיווך פיננסי</w:t>
      </w:r>
      <w:r w:rsidRPr="00C50865">
        <w:rPr>
          <w:rFonts w:ascii="Arial" w:hAnsi="Arial" w:cs="Arial" w:hint="cs"/>
          <w:rtl/>
        </w:rPr>
        <w:t xml:space="preserve">, </w:t>
      </w:r>
      <w:r w:rsidRPr="00C50865">
        <w:rPr>
          <w:rFonts w:ascii="Arial" w:hAnsi="Arial" w:cs="Arial"/>
          <w:rtl/>
        </w:rPr>
        <w:t>בפקולטה לניהול ע"ש קולר באוניברסיטת תל אביב</w:t>
      </w:r>
      <w:r>
        <w:rPr>
          <w:rFonts w:ascii="Arial" w:hAnsi="Arial" w:cs="Arial" w:hint="cs"/>
          <w:rtl/>
        </w:rPr>
        <w:t xml:space="preserve">. </w:t>
      </w:r>
      <w:r w:rsidRPr="00C50865">
        <w:rPr>
          <w:rFonts w:ascii="Arial" w:hAnsi="Arial" w:cs="Arial"/>
          <w:rtl/>
        </w:rPr>
        <w:t xml:space="preserve"> </w:t>
      </w:r>
    </w:p>
    <w:p w:rsidR="004A1395" w:rsidRDefault="004A1395" w:rsidP="004A1395">
      <w:pPr>
        <w:jc w:val="both"/>
        <w:rPr>
          <w:rFonts w:ascii="Arial" w:hAnsi="Arial" w:cs="Arial"/>
          <w:rtl/>
        </w:rPr>
      </w:pPr>
      <w:r>
        <w:rPr>
          <w:rFonts w:ascii="Arial" w:hAnsi="Arial" w:cs="Arial" w:hint="cs"/>
          <w:rtl/>
        </w:rPr>
        <w:t xml:space="preserve">בכנס הוצגו מגמות עיקריות במערכת הבנקאות בשנת 2024 וצעדים עיקריים שקידם הפיקוח על הבנקים במהלך שנה זו, בנוסף, בכנס הוצגו ממצאי סקר שערכו הפיקוח על הבנקים </w:t>
      </w:r>
      <w:r w:rsidRPr="00C50865">
        <w:rPr>
          <w:rFonts w:ascii="Arial" w:hAnsi="Arial" w:cs="Arial"/>
          <w:rtl/>
        </w:rPr>
        <w:t xml:space="preserve">בשיתוף עם מערך </w:t>
      </w:r>
      <w:proofErr w:type="spellStart"/>
      <w:r w:rsidRPr="00C50865">
        <w:rPr>
          <w:rFonts w:ascii="Arial" w:hAnsi="Arial" w:cs="Arial"/>
          <w:rtl/>
        </w:rPr>
        <w:t>הדיגיטל</w:t>
      </w:r>
      <w:proofErr w:type="spellEnd"/>
      <w:r w:rsidRPr="00C50865">
        <w:rPr>
          <w:rFonts w:ascii="Arial" w:hAnsi="Arial" w:cs="Arial"/>
          <w:rtl/>
        </w:rPr>
        <w:t xml:space="preserve"> הלאומי, שמטרתו הייתה לבחון את דפוסי </w:t>
      </w:r>
      <w:r w:rsidRPr="00020B46">
        <w:rPr>
          <w:rFonts w:ascii="Arial" w:hAnsi="Arial" w:cs="Arial"/>
          <w:rtl/>
        </w:rPr>
        <w:t>ה</w:t>
      </w:r>
      <w:r>
        <w:rPr>
          <w:rFonts w:ascii="Arial" w:hAnsi="Arial" w:cs="Arial" w:hint="cs"/>
          <w:rtl/>
        </w:rPr>
        <w:t>ה</w:t>
      </w:r>
      <w:r w:rsidRPr="00020B46">
        <w:rPr>
          <w:rFonts w:ascii="Arial" w:hAnsi="Arial" w:cs="Arial"/>
          <w:rtl/>
        </w:rPr>
        <w:t>תנהלות וה</w:t>
      </w:r>
      <w:r>
        <w:rPr>
          <w:rFonts w:ascii="Arial" w:hAnsi="Arial" w:cs="Arial" w:hint="cs"/>
          <w:rtl/>
        </w:rPr>
        <w:t>ה</w:t>
      </w:r>
      <w:r w:rsidRPr="00020B46">
        <w:rPr>
          <w:rFonts w:ascii="Arial" w:hAnsi="Arial" w:cs="Arial"/>
          <w:rtl/>
        </w:rPr>
        <w:t>עדפות פיננסיות בתחום הפיקדונ</w:t>
      </w:r>
      <w:r w:rsidRPr="00020B46">
        <w:rPr>
          <w:rFonts w:ascii="Arial" w:hAnsi="Arial" w:cs="Arial" w:hint="eastAsia"/>
          <w:rtl/>
        </w:rPr>
        <w:t>ות</w:t>
      </w:r>
      <w:r w:rsidRPr="00020B46">
        <w:rPr>
          <w:rFonts w:ascii="Arial" w:hAnsi="Arial" w:cs="Arial"/>
          <w:rtl/>
        </w:rPr>
        <w:t xml:space="preserve"> </w:t>
      </w:r>
      <w:r w:rsidRPr="00C50865">
        <w:rPr>
          <w:rFonts w:ascii="Arial" w:hAnsi="Arial" w:cs="Arial"/>
          <w:rtl/>
        </w:rPr>
        <w:t>של הציבור.</w:t>
      </w:r>
    </w:p>
    <w:p w:rsidR="004A1395" w:rsidRPr="004A1395" w:rsidRDefault="004A1395" w:rsidP="004A1395">
      <w:pPr>
        <w:jc w:val="both"/>
        <w:rPr>
          <w:rFonts w:ascii="Arial" w:hAnsi="Arial" w:cs="Arial"/>
          <w:rtl/>
        </w:rPr>
      </w:pPr>
    </w:p>
    <w:p w:rsidR="004A1395" w:rsidRPr="00C50865" w:rsidRDefault="004A1395" w:rsidP="004A1395">
      <w:pPr>
        <w:jc w:val="both"/>
        <w:rPr>
          <w:rFonts w:ascii="Arial" w:hAnsi="Arial" w:cs="Arial"/>
          <w:rtl/>
        </w:rPr>
      </w:pPr>
      <w:r w:rsidRPr="004A1395">
        <w:rPr>
          <w:rFonts w:ascii="Calibri" w:hAnsi="Calibri" w:cs="Calibri" w:hint="cs"/>
          <w:b/>
          <w:bCs/>
          <w:sz w:val="24"/>
          <w:szCs w:val="24"/>
          <w:rtl/>
        </w:rPr>
        <w:t xml:space="preserve">דניאל </w:t>
      </w:r>
      <w:proofErr w:type="spellStart"/>
      <w:r w:rsidRPr="004A1395">
        <w:rPr>
          <w:rFonts w:ascii="Calibri" w:hAnsi="Calibri" w:cs="Calibri" w:hint="cs"/>
          <w:b/>
          <w:bCs/>
          <w:sz w:val="24"/>
          <w:szCs w:val="24"/>
          <w:rtl/>
        </w:rPr>
        <w:t>חחיאשווילי</w:t>
      </w:r>
      <w:proofErr w:type="spellEnd"/>
      <w:r w:rsidRPr="004A1395">
        <w:rPr>
          <w:rFonts w:ascii="Calibri" w:hAnsi="Calibri" w:cs="Calibri" w:hint="cs"/>
          <w:b/>
          <w:bCs/>
          <w:sz w:val="24"/>
          <w:szCs w:val="24"/>
          <w:rtl/>
        </w:rPr>
        <w:t>, המפקח על הבנקים</w:t>
      </w:r>
      <w:r w:rsidRPr="00C50865">
        <w:rPr>
          <w:rFonts w:ascii="Calibri" w:hAnsi="Calibri" w:cs="Calibri" w:hint="cs"/>
          <w:sz w:val="24"/>
          <w:szCs w:val="24"/>
          <w:rtl/>
        </w:rPr>
        <w:t xml:space="preserve">: </w:t>
      </w:r>
      <w:r w:rsidRPr="00C50865">
        <w:rPr>
          <w:rFonts w:ascii="Arial" w:hAnsi="Arial" w:cs="Arial"/>
          <w:rtl/>
        </w:rPr>
        <w:t>"גם בשנה החולפת, חוסנה של מערכת הבנקאות בישראל סייע לה לצלוח את האתגרים הרבים, לספק את צרכי האשראי של המשק ולסייע לציבור באמצעות מתווי הסיוע.</w:t>
      </w:r>
      <w:r>
        <w:rPr>
          <w:rFonts w:ascii="Arial" w:hAnsi="Arial" w:cs="Arial" w:hint="cs"/>
          <w:rtl/>
        </w:rPr>
        <w:t xml:space="preserve"> </w:t>
      </w:r>
    </w:p>
    <w:p w:rsidR="004A1395" w:rsidRPr="00C50865" w:rsidRDefault="004A1395" w:rsidP="004A1395">
      <w:pPr>
        <w:spacing w:line="240" w:lineRule="auto"/>
        <w:jc w:val="both"/>
        <w:rPr>
          <w:rFonts w:ascii="Arial" w:hAnsi="Arial" w:cs="Arial"/>
        </w:rPr>
      </w:pPr>
      <w:r w:rsidRPr="00C50865">
        <w:rPr>
          <w:rFonts w:ascii="Arial" w:hAnsi="Arial" w:cs="Arial"/>
          <w:rtl/>
        </w:rPr>
        <w:t xml:space="preserve">הפיקוח על הבנקים ממשיך כל העת לזהות </w:t>
      </w:r>
      <w:proofErr w:type="spellStart"/>
      <w:r w:rsidRPr="00C50865">
        <w:rPr>
          <w:rFonts w:ascii="Arial" w:hAnsi="Arial" w:cs="Arial"/>
          <w:rtl/>
        </w:rPr>
        <w:t>ולנטר</w:t>
      </w:r>
      <w:proofErr w:type="spellEnd"/>
      <w:r w:rsidRPr="00C50865">
        <w:rPr>
          <w:rFonts w:ascii="Arial" w:hAnsi="Arial" w:cs="Arial"/>
          <w:rtl/>
        </w:rPr>
        <w:t xml:space="preserve"> את הסיכונים השונים הרובצים על המערכת, ולפעול לצמצומם במקרה הצורך, כדוגמת המגבלות שהטלנו על מבצעי המימון בענף הבינוי. בימים אלו, פועל הפיקוח לחיזוק מבנה ההון של המערכת הבנקאית, כדי לשפר את יכולתה להתמודד עם זעזועים ואתגרים שונים. יציבות המערכת אינה תלויה רק במאפייניה הפיננסיים, אלא גם ביחס של המערכת כלפי לקוחותיה. פעלנו ונמשיך לפעול למען בנקאות הוגנת ונגישה לכלל האוכלוסייה.</w:t>
      </w:r>
    </w:p>
    <w:p w:rsidR="004A1395" w:rsidRPr="00C50865" w:rsidRDefault="004A1395" w:rsidP="004A1395">
      <w:pPr>
        <w:spacing w:line="240" w:lineRule="auto"/>
        <w:jc w:val="both"/>
        <w:rPr>
          <w:rFonts w:ascii="Arial" w:hAnsi="Arial" w:cs="Arial"/>
          <w:rtl/>
        </w:rPr>
      </w:pPr>
      <w:r w:rsidRPr="00C50865">
        <w:rPr>
          <w:rFonts w:ascii="Arial" w:hAnsi="Arial" w:cs="Arial"/>
          <w:rtl/>
        </w:rPr>
        <w:t>בתחום התחרות, אנו פועלים לכניסתם של שחקנים נוספים למערכת הבנקאית, באמצעות רגולציה מדורגת. במקביל,  אנו ממשיכים לפעול להגברת שקיפות הנתונים ומתן כלי השוואה בידי הלקוחות, לצד הסרת חסמי מעבר.״</w:t>
      </w:r>
    </w:p>
    <w:p w:rsidR="004A1395" w:rsidRDefault="004A1395" w:rsidP="00020B46">
      <w:pPr>
        <w:jc w:val="both"/>
        <w:rPr>
          <w:rFonts w:ascii="Arial" w:hAnsi="Arial" w:cs="Arial"/>
          <w:rtl/>
        </w:rPr>
      </w:pPr>
    </w:p>
    <w:p w:rsidR="00440DA4" w:rsidRDefault="004A1395" w:rsidP="00020B46">
      <w:pPr>
        <w:jc w:val="both"/>
        <w:rPr>
          <w:rFonts w:ascii="Arial" w:hAnsi="Arial" w:cs="Arial"/>
          <w:rtl/>
        </w:rPr>
      </w:pPr>
      <w:r w:rsidRPr="004A1395">
        <w:rPr>
          <w:rFonts w:ascii="Arial" w:hAnsi="Arial" w:cs="Arial" w:hint="cs"/>
          <w:b/>
          <w:bCs/>
          <w:rtl/>
        </w:rPr>
        <w:t>זהבה בוכהולץ, מנהלת היחידה הכלכלית בפיקוח על הבנקים</w:t>
      </w:r>
      <w:r>
        <w:rPr>
          <w:rFonts w:ascii="Arial" w:hAnsi="Arial" w:cs="Arial" w:hint="cs"/>
          <w:rtl/>
        </w:rPr>
        <w:t xml:space="preserve"> : "</w:t>
      </w:r>
      <w:r w:rsidR="00142707" w:rsidRPr="00C50865">
        <w:rPr>
          <w:rFonts w:ascii="Arial" w:hAnsi="Arial" w:cs="Arial"/>
          <w:rtl/>
        </w:rPr>
        <w:t xml:space="preserve">מהממצאים עולה </w:t>
      </w:r>
      <w:r w:rsidR="00BE47EE">
        <w:rPr>
          <w:rFonts w:ascii="Arial" w:hAnsi="Arial" w:cs="Arial" w:hint="cs"/>
          <w:rtl/>
        </w:rPr>
        <w:t xml:space="preserve">בין השאר </w:t>
      </w:r>
      <w:r w:rsidR="00142707" w:rsidRPr="00C50865">
        <w:rPr>
          <w:rFonts w:ascii="Arial" w:hAnsi="Arial" w:cs="Arial"/>
          <w:rtl/>
        </w:rPr>
        <w:t xml:space="preserve">כי 27% ממשקי הבית אינם חוסכים כלל, בעוד 51% בוחרים לחסוך בפיקדון בנקאי – מחציתם גם חוסכים באפיקים נוספים מחוץ למערכת הבנקאית. שאר המשיבים חוסכים באפיקים חוץ-בנקאיים בלבד. </w:t>
      </w:r>
    </w:p>
    <w:p w:rsidR="00142707" w:rsidRDefault="00142707" w:rsidP="00020B46">
      <w:pPr>
        <w:jc w:val="both"/>
        <w:rPr>
          <w:rFonts w:ascii="Arial" w:hAnsi="Arial" w:cs="Arial"/>
          <w:rtl/>
        </w:rPr>
      </w:pPr>
      <w:r w:rsidRPr="00C50865">
        <w:rPr>
          <w:rFonts w:ascii="Arial" w:hAnsi="Arial" w:cs="Arial"/>
          <w:rtl/>
        </w:rPr>
        <w:t xml:space="preserve">הסקר גם מדגיש את חשיבות האוריינות הפיננסית: משיבים שמבינים את ערך הכסף ואת השפעות האינפלציה, נוטים לחסוך יותר ובצורה מושכלת יותר. בקרב אלו שאינם חוסכים בפיקדון בנקאי, עלו מספר גורמים שיכולים לעודד אותם לעשות זאת: תהליך פשוט ונגיש, מידע ברור ושקוף באתרי הבנקים, מוצרים מותאמים לצרכיהם, וליווי מצד הבנק לאורך הדרך. </w:t>
      </w:r>
    </w:p>
    <w:p w:rsidR="00142707" w:rsidRDefault="00142707" w:rsidP="00020B46">
      <w:pPr>
        <w:jc w:val="both"/>
        <w:rPr>
          <w:rFonts w:ascii="Arial" w:hAnsi="Arial" w:cs="Arial"/>
          <w:rtl/>
        </w:rPr>
      </w:pPr>
      <w:r w:rsidRPr="00C50865">
        <w:rPr>
          <w:rFonts w:ascii="Arial" w:hAnsi="Arial" w:cs="Arial"/>
          <w:rtl/>
        </w:rPr>
        <w:t>כל אלה הם תחומים שאנו בפיקוח על הבנקים שמים עליהם דגש ופועלים לקדמם – מתוך מחויבות לרווחת ציבור הלקוחות</w:t>
      </w:r>
      <w:r w:rsidR="00BE47EE">
        <w:rPr>
          <w:rFonts w:ascii="Arial" w:hAnsi="Arial" w:cs="Arial" w:hint="cs"/>
          <w:rtl/>
        </w:rPr>
        <w:t xml:space="preserve"> ושיפור השקיפות וההוגנות.</w:t>
      </w:r>
      <w:r w:rsidR="004A1395">
        <w:rPr>
          <w:rFonts w:ascii="Arial" w:hAnsi="Arial" w:cs="Arial" w:hint="cs"/>
          <w:rtl/>
        </w:rPr>
        <w:t>"</w:t>
      </w:r>
    </w:p>
    <w:p w:rsidR="00A2150B" w:rsidRPr="00191536" w:rsidRDefault="00A2150B" w:rsidP="00BE47EE">
      <w:pPr>
        <w:tabs>
          <w:tab w:val="left" w:pos="2315"/>
        </w:tabs>
        <w:ind w:right="284"/>
        <w:jc w:val="both"/>
        <w:rPr>
          <w:rFonts w:ascii="Calibri" w:hAnsi="Calibri" w:cs="Calibri"/>
          <w:sz w:val="24"/>
          <w:szCs w:val="24"/>
          <w:rtl/>
        </w:rPr>
      </w:pPr>
    </w:p>
    <w:sectPr w:rsidR="00A2150B" w:rsidRPr="00191536" w:rsidSect="001D340E">
      <w:footerReference w:type="first" r:id="rId9"/>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26B" w:rsidRDefault="0087326B" w:rsidP="008755E3">
      <w:pPr>
        <w:spacing w:after="0" w:line="240" w:lineRule="auto"/>
      </w:pPr>
      <w:r>
        <w:separator/>
      </w:r>
    </w:p>
  </w:endnote>
  <w:endnote w:type="continuationSeparator" w:id="0">
    <w:p w:rsidR="0087326B" w:rsidRDefault="0087326B"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1D340E" w:rsidP="001D340E">
    <w:pPr>
      <w:pStyle w:val="Footer"/>
      <w:rPr>
        <w:rtl/>
      </w:rPr>
    </w:pPr>
    <w:r w:rsidRPr="00571971">
      <w:rPr>
        <w:rFonts w:cs="Calibri"/>
        <w:noProof/>
        <w:rtl/>
      </w:rPr>
      <w:drawing>
        <wp:anchor distT="0" distB="0" distL="114300" distR="114300" simplePos="0" relativeHeight="251674624" behindDoc="0" locked="0" layoutInCell="1" allowOverlap="1" wp14:anchorId="3E716C01" wp14:editId="20493191">
          <wp:simplePos x="0" y="0"/>
          <wp:positionH relativeFrom="margin">
            <wp:posOffset>5628736</wp:posOffset>
          </wp:positionH>
          <wp:positionV relativeFrom="paragraph">
            <wp:posOffset>-161769</wp:posOffset>
          </wp:positionV>
          <wp:extent cx="310551" cy="310551"/>
          <wp:effectExtent l="0" t="0" r="0" b="0"/>
          <wp:wrapNone/>
          <wp:docPr id="1"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32FF3AEE" wp14:editId="0484793B">
          <wp:simplePos x="0" y="0"/>
          <wp:positionH relativeFrom="column">
            <wp:posOffset>4231257</wp:posOffset>
          </wp:positionH>
          <wp:positionV relativeFrom="paragraph">
            <wp:posOffset>-127468</wp:posOffset>
          </wp:positionV>
          <wp:extent cx="241539" cy="241539"/>
          <wp:effectExtent l="0" t="0" r="6350" b="635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5648" behindDoc="0" locked="0" layoutInCell="1" allowOverlap="1" wp14:anchorId="692B8BD2" wp14:editId="469FEAC1">
          <wp:simplePos x="0" y="0"/>
          <wp:positionH relativeFrom="column">
            <wp:posOffset>2411084</wp:posOffset>
          </wp:positionH>
          <wp:positionV relativeFrom="paragraph">
            <wp:posOffset>-135638</wp:posOffset>
          </wp:positionV>
          <wp:extent cx="266528" cy="262039"/>
          <wp:effectExtent l="0" t="0" r="635" b="5080"/>
          <wp:wrapNone/>
          <wp:docPr id="6"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6672" behindDoc="0" locked="0" layoutInCell="1" allowOverlap="1" wp14:anchorId="7FFDC46D" wp14:editId="45659364">
          <wp:simplePos x="0" y="0"/>
          <wp:positionH relativeFrom="column">
            <wp:posOffset>565030</wp:posOffset>
          </wp:positionH>
          <wp:positionV relativeFrom="paragraph">
            <wp:posOffset>-118386</wp:posOffset>
          </wp:positionV>
          <wp:extent cx="329206" cy="241456"/>
          <wp:effectExtent l="0" t="0" r="0" b="6350"/>
          <wp:wrapNone/>
          <wp:docPr id="7"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64D43EAA" wp14:editId="3D74E9B5">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8" w:history="1">
                            <w:r w:rsidRPr="00031A9D">
                              <w:rPr>
                                <w:rStyle w:val="Hyperlink"/>
                                <w:rFonts w:ascii="Calibri" w:hAnsi="Calibri"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D43EAA" id="_x0000_t202" coordsize="21600,21600" o:spt="202" path="m,l,21600r21600,l21600,xe">
              <v:stroke joinstyle="miter"/>
              <v:path gradientshapeok="t" o:connecttype="rect"/>
            </v:shapetype>
            <v:shape id="תיבת טקסט 31" o:spid="_x0000_s1026" type="#_x0000_t202" style="position:absolute;left:0;text-align:left;margin-left:118.4pt;margin-top:6.15pt;width:167.7pt;height:4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9" w:history="1">
                      <w:r w:rsidRPr="00031A9D">
                        <w:rPr>
                          <w:rStyle w:val="Hyperlink"/>
                          <w:rFonts w:ascii="Calibri" w:hAnsi="Calibri" w:cs="Calibri"/>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49369873" wp14:editId="4E83497F">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69873" id="תיבת טקסט 32" o:spid="_x0000_s1027" type="#_x0000_t202" style="position:absolute;left:0;text-align:left;margin-left:-23.05pt;margin-top:6pt;width:167.75pt;height:48.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Jr+S&#10;GEcCAABjBAAADgAAAAAAAAAAAAAAAAAuAgAAZHJzL2Uyb0RvYy54bWxQSwECLQAUAAYACAAAACEA&#10;1gzHn+EAAAAKAQAADwAAAAAAAAAAAAAAAAChBAAAZHJzL2Rvd25yZXYueG1sUEsFBgAAAAAEAAQA&#10;8wAAAK8FAAAAAA==&#10;" filled="f" stroked="f" strokeweight=".5pt">
              <v:textbo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1DA75F30" wp14:editId="38FB63F1">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A75F30" id="תיבת טקסט 33" o:spid="_x0000_s1028" type="#_x0000_t202" style="position:absolute;left:0;text-align:left;margin-left:256.5pt;margin-top:7.05pt;width:171.8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" filled="f" stroked="f" strokeweight=".5pt">
              <v:textbo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1F35F489" wp14:editId="73F2F964">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35F489" id="תיבת טקסט 34" o:spid="_x0000_s1029" type="#_x0000_t202" style="position:absolute;left:0;text-align:left;margin-left:394.85pt;margin-top:7pt;width:120.9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NfEMAlF&#10;AgAAYwQAAA4AAAAAAAAAAAAAAAAALgIAAGRycy9lMm9Eb2MueG1sUEsBAi0AFAAGAAgAAAAhAAvz&#10;IM/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4B56786C" wp14:editId="4F56B441">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711607" id="מחבר ישר 35"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" strokecolor="black [3040]"/>
          </w:pict>
        </mc:Fallback>
      </mc:AlternateContent>
    </w:r>
    <w:r w:rsidRPr="00571971">
      <w:rPr>
        <w:rFonts w:cs="Calibri"/>
        <w:noProof/>
        <w:rtl/>
      </w:rPr>
      <w:t xml:space="preserve"> </w:t>
    </w:r>
  </w:p>
  <w:p w:rsidR="001D340E" w:rsidRPr="009005BA" w:rsidRDefault="001D340E" w:rsidP="001D340E">
    <w:pPr>
      <w:pStyle w:val="Footer"/>
    </w:pPr>
  </w:p>
  <w:p w:rsidR="001D340E" w:rsidRDefault="001D3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26B" w:rsidRDefault="0087326B" w:rsidP="008755E3">
      <w:pPr>
        <w:spacing w:after="0" w:line="240" w:lineRule="auto"/>
      </w:pPr>
      <w:r>
        <w:separator/>
      </w:r>
    </w:p>
  </w:footnote>
  <w:footnote w:type="continuationSeparator" w:id="0">
    <w:p w:rsidR="0087326B" w:rsidRDefault="0087326B" w:rsidP="00875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270"/>
    <w:multiLevelType w:val="multilevel"/>
    <w:tmpl w:val="45AA1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37D36"/>
    <w:multiLevelType w:val="hybridMultilevel"/>
    <w:tmpl w:val="9E6AB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D79E0"/>
    <w:multiLevelType w:val="hybridMultilevel"/>
    <w:tmpl w:val="9590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D19D6"/>
    <w:multiLevelType w:val="hybridMultilevel"/>
    <w:tmpl w:val="8D602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7C6386"/>
    <w:multiLevelType w:val="hybridMultilevel"/>
    <w:tmpl w:val="2C042564"/>
    <w:lvl w:ilvl="0" w:tplc="C6926CDE">
      <w:start w:val="1"/>
      <w:numFmt w:val="decimal"/>
      <w:lvlText w:val="%1."/>
      <w:lvlJc w:val="left"/>
      <w:pPr>
        <w:ind w:left="360" w:hanging="360"/>
      </w:pPr>
      <w:rPr>
        <w:rFonts w:eastAsia="Times New Roman" w:hint="default"/>
        <w:b w:val="0"/>
        <w:bCs/>
        <w:color w:val="00206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9D559A"/>
    <w:multiLevelType w:val="hybridMultilevel"/>
    <w:tmpl w:val="FB7C63D0"/>
    <w:lvl w:ilvl="0" w:tplc="DC1219E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F73908"/>
    <w:multiLevelType w:val="hybridMultilevel"/>
    <w:tmpl w:val="5B506B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C834BD"/>
    <w:multiLevelType w:val="hybridMultilevel"/>
    <w:tmpl w:val="480A0F34"/>
    <w:lvl w:ilvl="0" w:tplc="9B5C8622">
      <w:start w:val="1"/>
      <w:numFmt w:val="bullet"/>
      <w:lvlText w:val=""/>
      <w:lvlJc w:val="left"/>
      <w:pPr>
        <w:ind w:left="360" w:hanging="360"/>
      </w:pPr>
      <w:rPr>
        <w:rFonts w:ascii="Wingdings" w:hAnsi="Wingdings"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DF6487FA">
      <w:numFmt w:val="bullet"/>
      <w:lvlText w:val="-"/>
      <w:lvlJc w:val="left"/>
      <w:pPr>
        <w:ind w:left="2520" w:hanging="360"/>
      </w:pPr>
      <w:rPr>
        <w:rFonts w:ascii="David" w:eastAsiaTheme="minorHAnsi" w:hAnsi="David" w:cs="David"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100984"/>
    <w:multiLevelType w:val="multilevel"/>
    <w:tmpl w:val="56740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5F44EC"/>
    <w:multiLevelType w:val="hybridMultilevel"/>
    <w:tmpl w:val="1C1837E0"/>
    <w:lvl w:ilvl="0" w:tplc="2AD80856">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AE52B0"/>
    <w:multiLevelType w:val="hybridMultilevel"/>
    <w:tmpl w:val="3778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0CA49A5"/>
    <w:multiLevelType w:val="hybridMultilevel"/>
    <w:tmpl w:val="D48812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7FE0056"/>
    <w:multiLevelType w:val="hybridMultilevel"/>
    <w:tmpl w:val="3E16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1F12BEA"/>
    <w:multiLevelType w:val="hybridMultilevel"/>
    <w:tmpl w:val="D4BA80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23A0EE0"/>
    <w:multiLevelType w:val="hybridMultilevel"/>
    <w:tmpl w:val="A3A22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721C9"/>
    <w:multiLevelType w:val="hybridMultilevel"/>
    <w:tmpl w:val="8EB677D8"/>
    <w:lvl w:ilvl="0" w:tplc="3B244928">
      <w:start w:val="1"/>
      <w:numFmt w:val="bullet"/>
      <w:lvlText w:val=""/>
      <w:lvlJc w:val="left"/>
      <w:pPr>
        <w:tabs>
          <w:tab w:val="num" w:pos="720"/>
        </w:tabs>
        <w:ind w:left="720" w:hanging="360"/>
      </w:pPr>
      <w:rPr>
        <w:rFonts w:ascii="Wingdings" w:hAnsi="Wingdings" w:hint="default"/>
      </w:rPr>
    </w:lvl>
    <w:lvl w:ilvl="1" w:tplc="DD6C2F8E">
      <w:start w:val="1"/>
      <w:numFmt w:val="bullet"/>
      <w:lvlText w:val=""/>
      <w:lvlJc w:val="left"/>
      <w:pPr>
        <w:tabs>
          <w:tab w:val="num" w:pos="1440"/>
        </w:tabs>
        <w:ind w:left="1440" w:hanging="360"/>
      </w:pPr>
      <w:rPr>
        <w:rFonts w:ascii="Wingdings" w:hAnsi="Wingdings" w:hint="default"/>
      </w:rPr>
    </w:lvl>
    <w:lvl w:ilvl="2" w:tplc="EA8CA652">
      <w:start w:val="1"/>
      <w:numFmt w:val="bullet"/>
      <w:lvlText w:val=""/>
      <w:lvlJc w:val="left"/>
      <w:pPr>
        <w:tabs>
          <w:tab w:val="num" w:pos="2160"/>
        </w:tabs>
        <w:ind w:left="2160" w:hanging="360"/>
      </w:pPr>
      <w:rPr>
        <w:rFonts w:ascii="Wingdings" w:hAnsi="Wingdings" w:hint="default"/>
      </w:rPr>
    </w:lvl>
    <w:lvl w:ilvl="3" w:tplc="4A249B98">
      <w:start w:val="1"/>
      <w:numFmt w:val="bullet"/>
      <w:lvlText w:val=""/>
      <w:lvlJc w:val="left"/>
      <w:pPr>
        <w:tabs>
          <w:tab w:val="num" w:pos="2880"/>
        </w:tabs>
        <w:ind w:left="2880" w:hanging="360"/>
      </w:pPr>
      <w:rPr>
        <w:rFonts w:ascii="Wingdings" w:hAnsi="Wingdings" w:hint="default"/>
      </w:rPr>
    </w:lvl>
    <w:lvl w:ilvl="4" w:tplc="A84E5772">
      <w:start w:val="1"/>
      <w:numFmt w:val="bullet"/>
      <w:lvlText w:val=""/>
      <w:lvlJc w:val="left"/>
      <w:pPr>
        <w:tabs>
          <w:tab w:val="num" w:pos="3600"/>
        </w:tabs>
        <w:ind w:left="3600" w:hanging="360"/>
      </w:pPr>
      <w:rPr>
        <w:rFonts w:ascii="Wingdings" w:hAnsi="Wingdings" w:hint="default"/>
      </w:rPr>
    </w:lvl>
    <w:lvl w:ilvl="5" w:tplc="16FC0E3C">
      <w:start w:val="1"/>
      <w:numFmt w:val="bullet"/>
      <w:lvlText w:val=""/>
      <w:lvlJc w:val="left"/>
      <w:pPr>
        <w:tabs>
          <w:tab w:val="num" w:pos="4320"/>
        </w:tabs>
        <w:ind w:left="4320" w:hanging="360"/>
      </w:pPr>
      <w:rPr>
        <w:rFonts w:ascii="Wingdings" w:hAnsi="Wingdings" w:hint="default"/>
      </w:rPr>
    </w:lvl>
    <w:lvl w:ilvl="6" w:tplc="98E61450">
      <w:start w:val="1"/>
      <w:numFmt w:val="bullet"/>
      <w:lvlText w:val=""/>
      <w:lvlJc w:val="left"/>
      <w:pPr>
        <w:tabs>
          <w:tab w:val="num" w:pos="5040"/>
        </w:tabs>
        <w:ind w:left="5040" w:hanging="360"/>
      </w:pPr>
      <w:rPr>
        <w:rFonts w:ascii="Wingdings" w:hAnsi="Wingdings" w:hint="default"/>
      </w:rPr>
    </w:lvl>
    <w:lvl w:ilvl="7" w:tplc="C79A0AC0">
      <w:start w:val="1"/>
      <w:numFmt w:val="bullet"/>
      <w:lvlText w:val=""/>
      <w:lvlJc w:val="left"/>
      <w:pPr>
        <w:tabs>
          <w:tab w:val="num" w:pos="5760"/>
        </w:tabs>
        <w:ind w:left="5760" w:hanging="360"/>
      </w:pPr>
      <w:rPr>
        <w:rFonts w:ascii="Wingdings" w:hAnsi="Wingdings" w:hint="default"/>
      </w:rPr>
    </w:lvl>
    <w:lvl w:ilvl="8" w:tplc="CD34B972">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5F3F09"/>
    <w:multiLevelType w:val="hybridMultilevel"/>
    <w:tmpl w:val="F9DA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5AF3C6E"/>
    <w:multiLevelType w:val="multilevel"/>
    <w:tmpl w:val="0FFCB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66C97829"/>
    <w:multiLevelType w:val="hybridMultilevel"/>
    <w:tmpl w:val="DC4CD4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7446BFD"/>
    <w:multiLevelType w:val="hybridMultilevel"/>
    <w:tmpl w:val="1F14AA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F21482"/>
    <w:multiLevelType w:val="multilevel"/>
    <w:tmpl w:val="FFD2C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89F3982"/>
    <w:multiLevelType w:val="hybridMultilevel"/>
    <w:tmpl w:val="EFCCFC24"/>
    <w:lvl w:ilvl="0" w:tplc="2FD0C26C">
      <w:start w:val="1"/>
      <w:numFmt w:val="bullet"/>
      <w:lvlText w:val=""/>
      <w:lvlJc w:val="left"/>
      <w:pPr>
        <w:ind w:left="360" w:hanging="360"/>
      </w:pPr>
      <w:rPr>
        <w:rFonts w:ascii="Symbol" w:hAnsi="Symbol" w:hint="default"/>
      </w:rPr>
    </w:lvl>
    <w:lvl w:ilvl="1" w:tplc="5C5C8F80" w:tentative="1">
      <w:start w:val="1"/>
      <w:numFmt w:val="bullet"/>
      <w:lvlText w:val="o"/>
      <w:lvlJc w:val="left"/>
      <w:pPr>
        <w:ind w:left="1080" w:hanging="360"/>
      </w:pPr>
      <w:rPr>
        <w:rFonts w:ascii="Courier New" w:hAnsi="Courier New" w:cs="Courier New" w:hint="default"/>
      </w:rPr>
    </w:lvl>
    <w:lvl w:ilvl="2" w:tplc="96EC7030" w:tentative="1">
      <w:start w:val="1"/>
      <w:numFmt w:val="bullet"/>
      <w:lvlText w:val=""/>
      <w:lvlJc w:val="left"/>
      <w:pPr>
        <w:ind w:left="1800" w:hanging="360"/>
      </w:pPr>
      <w:rPr>
        <w:rFonts w:ascii="Wingdings" w:hAnsi="Wingdings" w:hint="default"/>
      </w:rPr>
    </w:lvl>
    <w:lvl w:ilvl="3" w:tplc="718C76EE" w:tentative="1">
      <w:start w:val="1"/>
      <w:numFmt w:val="bullet"/>
      <w:lvlText w:val=""/>
      <w:lvlJc w:val="left"/>
      <w:pPr>
        <w:ind w:left="2520" w:hanging="360"/>
      </w:pPr>
      <w:rPr>
        <w:rFonts w:ascii="Symbol" w:hAnsi="Symbol" w:hint="default"/>
      </w:rPr>
    </w:lvl>
    <w:lvl w:ilvl="4" w:tplc="F9302FDE" w:tentative="1">
      <w:start w:val="1"/>
      <w:numFmt w:val="bullet"/>
      <w:lvlText w:val="o"/>
      <w:lvlJc w:val="left"/>
      <w:pPr>
        <w:ind w:left="3240" w:hanging="360"/>
      </w:pPr>
      <w:rPr>
        <w:rFonts w:ascii="Courier New" w:hAnsi="Courier New" w:cs="Courier New" w:hint="default"/>
      </w:rPr>
    </w:lvl>
    <w:lvl w:ilvl="5" w:tplc="A080E298" w:tentative="1">
      <w:start w:val="1"/>
      <w:numFmt w:val="bullet"/>
      <w:lvlText w:val=""/>
      <w:lvlJc w:val="left"/>
      <w:pPr>
        <w:ind w:left="3960" w:hanging="360"/>
      </w:pPr>
      <w:rPr>
        <w:rFonts w:ascii="Wingdings" w:hAnsi="Wingdings" w:hint="default"/>
      </w:rPr>
    </w:lvl>
    <w:lvl w:ilvl="6" w:tplc="6C72CA80" w:tentative="1">
      <w:start w:val="1"/>
      <w:numFmt w:val="bullet"/>
      <w:lvlText w:val=""/>
      <w:lvlJc w:val="left"/>
      <w:pPr>
        <w:ind w:left="4680" w:hanging="360"/>
      </w:pPr>
      <w:rPr>
        <w:rFonts w:ascii="Symbol" w:hAnsi="Symbol" w:hint="default"/>
      </w:rPr>
    </w:lvl>
    <w:lvl w:ilvl="7" w:tplc="32DEDDC8" w:tentative="1">
      <w:start w:val="1"/>
      <w:numFmt w:val="bullet"/>
      <w:lvlText w:val="o"/>
      <w:lvlJc w:val="left"/>
      <w:pPr>
        <w:ind w:left="5400" w:hanging="360"/>
      </w:pPr>
      <w:rPr>
        <w:rFonts w:ascii="Courier New" w:hAnsi="Courier New" w:cs="Courier New" w:hint="default"/>
      </w:rPr>
    </w:lvl>
    <w:lvl w:ilvl="8" w:tplc="E0386D4A" w:tentative="1">
      <w:start w:val="1"/>
      <w:numFmt w:val="bullet"/>
      <w:lvlText w:val=""/>
      <w:lvlJc w:val="left"/>
      <w:pPr>
        <w:ind w:left="6120" w:hanging="360"/>
      </w:pPr>
      <w:rPr>
        <w:rFonts w:ascii="Wingdings" w:hAnsi="Wingdings" w:hint="default"/>
      </w:rPr>
    </w:lvl>
  </w:abstractNum>
  <w:num w:numId="1">
    <w:abstractNumId w:val="4"/>
  </w:num>
  <w:num w:numId="2">
    <w:abstractNumId w:val="9"/>
  </w:num>
  <w:num w:numId="3">
    <w:abstractNumId w:val="5"/>
  </w:num>
  <w:num w:numId="4">
    <w:abstractNumId w:val="7"/>
  </w:num>
  <w:num w:numId="5">
    <w:abstractNumId w:val="6"/>
  </w:num>
  <w:num w:numId="6">
    <w:abstractNumId w:val="2"/>
  </w:num>
  <w:num w:numId="7">
    <w:abstractNumId w:val="12"/>
  </w:num>
  <w:num w:numId="8">
    <w:abstractNumId w:val="16"/>
  </w:num>
  <w:num w:numId="9">
    <w:abstractNumId w:val="19"/>
  </w:num>
  <w:num w:numId="10">
    <w:abstractNumId w:val="13"/>
  </w:num>
  <w:num w:numId="11">
    <w:abstractNumId w:val="11"/>
  </w:num>
  <w:num w:numId="12">
    <w:abstractNumId w:val="14"/>
  </w:num>
  <w:num w:numId="13">
    <w:abstractNumId w:val="10"/>
  </w:num>
  <w:num w:numId="14">
    <w:abstractNumId w:val="3"/>
  </w:num>
  <w:num w:numId="15">
    <w:abstractNumId w:val="15"/>
  </w:num>
  <w:num w:numId="16">
    <w:abstractNumId w:val="1"/>
  </w:num>
  <w:num w:numId="17">
    <w:abstractNumId w:val="22"/>
  </w:num>
  <w:num w:numId="18">
    <w:abstractNumId w:val="20"/>
  </w:num>
  <w:num w:numId="19">
    <w:abstractNumId w:val="18"/>
  </w:num>
  <w:num w:numId="20">
    <w:abstractNumId w:val="17"/>
  </w:num>
  <w:num w:numId="21">
    <w:abstractNumId w:val="0"/>
  </w:num>
  <w:num w:numId="22">
    <w:abstractNumId w:val="8"/>
  </w:num>
  <w:num w:numId="23">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trackedChange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0B46"/>
    <w:rsid w:val="00021FB9"/>
    <w:rsid w:val="00023B23"/>
    <w:rsid w:val="00024809"/>
    <w:rsid w:val="00024F11"/>
    <w:rsid w:val="00025519"/>
    <w:rsid w:val="00025537"/>
    <w:rsid w:val="00032523"/>
    <w:rsid w:val="00033B6D"/>
    <w:rsid w:val="000358D1"/>
    <w:rsid w:val="000360A2"/>
    <w:rsid w:val="00037D77"/>
    <w:rsid w:val="00044392"/>
    <w:rsid w:val="000453E0"/>
    <w:rsid w:val="00046F61"/>
    <w:rsid w:val="00050E93"/>
    <w:rsid w:val="00052F10"/>
    <w:rsid w:val="00054E73"/>
    <w:rsid w:val="00056420"/>
    <w:rsid w:val="00060928"/>
    <w:rsid w:val="0006236C"/>
    <w:rsid w:val="00064D3C"/>
    <w:rsid w:val="0006606D"/>
    <w:rsid w:val="00066BDB"/>
    <w:rsid w:val="00067953"/>
    <w:rsid w:val="000706BA"/>
    <w:rsid w:val="00070B92"/>
    <w:rsid w:val="000718EE"/>
    <w:rsid w:val="00075AC0"/>
    <w:rsid w:val="0007674B"/>
    <w:rsid w:val="00077074"/>
    <w:rsid w:val="0008078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B4E28"/>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0AF"/>
    <w:rsid w:val="000F4A85"/>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31AB3"/>
    <w:rsid w:val="00132ED1"/>
    <w:rsid w:val="00133384"/>
    <w:rsid w:val="00133DB6"/>
    <w:rsid w:val="001343A1"/>
    <w:rsid w:val="0013442E"/>
    <w:rsid w:val="001353DD"/>
    <w:rsid w:val="001371F0"/>
    <w:rsid w:val="0013763C"/>
    <w:rsid w:val="00141888"/>
    <w:rsid w:val="00142115"/>
    <w:rsid w:val="0014229A"/>
    <w:rsid w:val="00142707"/>
    <w:rsid w:val="00142F71"/>
    <w:rsid w:val="00142F72"/>
    <w:rsid w:val="00144C67"/>
    <w:rsid w:val="00144CD6"/>
    <w:rsid w:val="001472FC"/>
    <w:rsid w:val="001474C5"/>
    <w:rsid w:val="00151E77"/>
    <w:rsid w:val="0015200F"/>
    <w:rsid w:val="00153235"/>
    <w:rsid w:val="001537BC"/>
    <w:rsid w:val="0015483F"/>
    <w:rsid w:val="00156E60"/>
    <w:rsid w:val="00157873"/>
    <w:rsid w:val="00157CB2"/>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51D2"/>
    <w:rsid w:val="001860B4"/>
    <w:rsid w:val="00186545"/>
    <w:rsid w:val="0018725C"/>
    <w:rsid w:val="00190517"/>
    <w:rsid w:val="00191536"/>
    <w:rsid w:val="00192F1B"/>
    <w:rsid w:val="00193637"/>
    <w:rsid w:val="001A025E"/>
    <w:rsid w:val="001A0B7F"/>
    <w:rsid w:val="001A16EC"/>
    <w:rsid w:val="001A21CD"/>
    <w:rsid w:val="001A319B"/>
    <w:rsid w:val="001A3E89"/>
    <w:rsid w:val="001A41EE"/>
    <w:rsid w:val="001A5C6A"/>
    <w:rsid w:val="001A709F"/>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6F06"/>
    <w:rsid w:val="001E78F9"/>
    <w:rsid w:val="001E7BF7"/>
    <w:rsid w:val="001E7EAF"/>
    <w:rsid w:val="001F447F"/>
    <w:rsid w:val="00200E67"/>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27B6A"/>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32B"/>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5A81"/>
    <w:rsid w:val="002977E5"/>
    <w:rsid w:val="002A1CFE"/>
    <w:rsid w:val="002A29E8"/>
    <w:rsid w:val="002A2E4B"/>
    <w:rsid w:val="002A60C9"/>
    <w:rsid w:val="002A707F"/>
    <w:rsid w:val="002B0652"/>
    <w:rsid w:val="002B087B"/>
    <w:rsid w:val="002B1900"/>
    <w:rsid w:val="002B3702"/>
    <w:rsid w:val="002B5F94"/>
    <w:rsid w:val="002B6605"/>
    <w:rsid w:val="002B665C"/>
    <w:rsid w:val="002B668F"/>
    <w:rsid w:val="002B715B"/>
    <w:rsid w:val="002C1302"/>
    <w:rsid w:val="002C37EF"/>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6092C"/>
    <w:rsid w:val="00360A85"/>
    <w:rsid w:val="003612BC"/>
    <w:rsid w:val="0036176A"/>
    <w:rsid w:val="00363AF8"/>
    <w:rsid w:val="003645BD"/>
    <w:rsid w:val="0036484E"/>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400CD3"/>
    <w:rsid w:val="0040657F"/>
    <w:rsid w:val="0040658F"/>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0DA4"/>
    <w:rsid w:val="00444416"/>
    <w:rsid w:val="00445971"/>
    <w:rsid w:val="00453E2A"/>
    <w:rsid w:val="004562EE"/>
    <w:rsid w:val="00456351"/>
    <w:rsid w:val="00456854"/>
    <w:rsid w:val="00462E7F"/>
    <w:rsid w:val="00463DF9"/>
    <w:rsid w:val="00465B0F"/>
    <w:rsid w:val="00467246"/>
    <w:rsid w:val="00471294"/>
    <w:rsid w:val="0047247F"/>
    <w:rsid w:val="00473299"/>
    <w:rsid w:val="0047639C"/>
    <w:rsid w:val="004778B4"/>
    <w:rsid w:val="00480BCE"/>
    <w:rsid w:val="004813D2"/>
    <w:rsid w:val="0048245F"/>
    <w:rsid w:val="00482E9C"/>
    <w:rsid w:val="004843DB"/>
    <w:rsid w:val="00490CD9"/>
    <w:rsid w:val="00492C50"/>
    <w:rsid w:val="00494DFA"/>
    <w:rsid w:val="0049563C"/>
    <w:rsid w:val="00495E66"/>
    <w:rsid w:val="004976BA"/>
    <w:rsid w:val="004A0AF0"/>
    <w:rsid w:val="004A0C72"/>
    <w:rsid w:val="004A1395"/>
    <w:rsid w:val="004A275C"/>
    <w:rsid w:val="004A295D"/>
    <w:rsid w:val="004A3AE6"/>
    <w:rsid w:val="004A74CC"/>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93"/>
    <w:rsid w:val="005326A1"/>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402E"/>
    <w:rsid w:val="00565685"/>
    <w:rsid w:val="00567B37"/>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5302"/>
    <w:rsid w:val="005B67C0"/>
    <w:rsid w:val="005C23C4"/>
    <w:rsid w:val="005C33AA"/>
    <w:rsid w:val="005C33D3"/>
    <w:rsid w:val="005C64A4"/>
    <w:rsid w:val="005D0CF3"/>
    <w:rsid w:val="005D1882"/>
    <w:rsid w:val="005D1C50"/>
    <w:rsid w:val="005D5659"/>
    <w:rsid w:val="005D7D47"/>
    <w:rsid w:val="005D7F8D"/>
    <w:rsid w:val="005E09FF"/>
    <w:rsid w:val="005E0F7E"/>
    <w:rsid w:val="005E11D5"/>
    <w:rsid w:val="005E2116"/>
    <w:rsid w:val="005E344F"/>
    <w:rsid w:val="005E4E76"/>
    <w:rsid w:val="005E5C7E"/>
    <w:rsid w:val="005E670C"/>
    <w:rsid w:val="005F1C21"/>
    <w:rsid w:val="005F3BFA"/>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1564"/>
    <w:rsid w:val="0063665D"/>
    <w:rsid w:val="006366A3"/>
    <w:rsid w:val="00641674"/>
    <w:rsid w:val="006431B3"/>
    <w:rsid w:val="006446B8"/>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31DD"/>
    <w:rsid w:val="00696611"/>
    <w:rsid w:val="006A049C"/>
    <w:rsid w:val="006A623F"/>
    <w:rsid w:val="006A6FB3"/>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724A1"/>
    <w:rsid w:val="007733A3"/>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791D"/>
    <w:rsid w:val="007C27A7"/>
    <w:rsid w:val="007C2DB1"/>
    <w:rsid w:val="007C3DB2"/>
    <w:rsid w:val="007C4109"/>
    <w:rsid w:val="007C60ED"/>
    <w:rsid w:val="007C637F"/>
    <w:rsid w:val="007C77F4"/>
    <w:rsid w:val="007D1C9B"/>
    <w:rsid w:val="007D415A"/>
    <w:rsid w:val="007D71C0"/>
    <w:rsid w:val="007E0F0A"/>
    <w:rsid w:val="007E1EB5"/>
    <w:rsid w:val="007E394E"/>
    <w:rsid w:val="007E63B9"/>
    <w:rsid w:val="007F2E40"/>
    <w:rsid w:val="007F4DE7"/>
    <w:rsid w:val="007F74D2"/>
    <w:rsid w:val="00800596"/>
    <w:rsid w:val="00801151"/>
    <w:rsid w:val="00806F1F"/>
    <w:rsid w:val="00810681"/>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70B5"/>
    <w:rsid w:val="00862973"/>
    <w:rsid w:val="00863361"/>
    <w:rsid w:val="00863D78"/>
    <w:rsid w:val="00865724"/>
    <w:rsid w:val="00865808"/>
    <w:rsid w:val="00865E04"/>
    <w:rsid w:val="008665FD"/>
    <w:rsid w:val="00866A19"/>
    <w:rsid w:val="008707FD"/>
    <w:rsid w:val="00871636"/>
    <w:rsid w:val="00872960"/>
    <w:rsid w:val="00872FF3"/>
    <w:rsid w:val="0087326B"/>
    <w:rsid w:val="008742FE"/>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419C3"/>
    <w:rsid w:val="00943662"/>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B1264"/>
    <w:rsid w:val="009B16AE"/>
    <w:rsid w:val="009B329C"/>
    <w:rsid w:val="009B35FC"/>
    <w:rsid w:val="009B470A"/>
    <w:rsid w:val="009B5890"/>
    <w:rsid w:val="009B622D"/>
    <w:rsid w:val="009B6E06"/>
    <w:rsid w:val="009C0F0E"/>
    <w:rsid w:val="009C1E94"/>
    <w:rsid w:val="009C2924"/>
    <w:rsid w:val="009C29C9"/>
    <w:rsid w:val="009C7E3D"/>
    <w:rsid w:val="009D1AB8"/>
    <w:rsid w:val="009D2FF9"/>
    <w:rsid w:val="009D3624"/>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9B5"/>
    <w:rsid w:val="00A05F0C"/>
    <w:rsid w:val="00A06013"/>
    <w:rsid w:val="00A115CD"/>
    <w:rsid w:val="00A11890"/>
    <w:rsid w:val="00A11E73"/>
    <w:rsid w:val="00A1456A"/>
    <w:rsid w:val="00A14C14"/>
    <w:rsid w:val="00A1569A"/>
    <w:rsid w:val="00A16568"/>
    <w:rsid w:val="00A168EC"/>
    <w:rsid w:val="00A209EA"/>
    <w:rsid w:val="00A2150B"/>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C1C"/>
    <w:rsid w:val="00B130F0"/>
    <w:rsid w:val="00B14537"/>
    <w:rsid w:val="00B16619"/>
    <w:rsid w:val="00B177CB"/>
    <w:rsid w:val="00B21F54"/>
    <w:rsid w:val="00B22405"/>
    <w:rsid w:val="00B224BE"/>
    <w:rsid w:val="00B23CD3"/>
    <w:rsid w:val="00B253E5"/>
    <w:rsid w:val="00B257B4"/>
    <w:rsid w:val="00B262CD"/>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009"/>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2693"/>
    <w:rsid w:val="00BE2AFA"/>
    <w:rsid w:val="00BE2DA2"/>
    <w:rsid w:val="00BE47EE"/>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DD9"/>
    <w:rsid w:val="00C32F28"/>
    <w:rsid w:val="00C33131"/>
    <w:rsid w:val="00C336CD"/>
    <w:rsid w:val="00C34700"/>
    <w:rsid w:val="00C351E3"/>
    <w:rsid w:val="00C40482"/>
    <w:rsid w:val="00C420F0"/>
    <w:rsid w:val="00C46301"/>
    <w:rsid w:val="00C50865"/>
    <w:rsid w:val="00C50A9E"/>
    <w:rsid w:val="00C50E25"/>
    <w:rsid w:val="00C52F23"/>
    <w:rsid w:val="00C5324A"/>
    <w:rsid w:val="00C53812"/>
    <w:rsid w:val="00C60FD4"/>
    <w:rsid w:val="00C63603"/>
    <w:rsid w:val="00C70895"/>
    <w:rsid w:val="00C720B7"/>
    <w:rsid w:val="00C72A60"/>
    <w:rsid w:val="00C7312D"/>
    <w:rsid w:val="00C734D5"/>
    <w:rsid w:val="00C766F3"/>
    <w:rsid w:val="00C80D42"/>
    <w:rsid w:val="00C8207A"/>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51A2"/>
    <w:rsid w:val="00CC6E3B"/>
    <w:rsid w:val="00CC78A4"/>
    <w:rsid w:val="00CC7989"/>
    <w:rsid w:val="00CD1822"/>
    <w:rsid w:val="00CD1DFB"/>
    <w:rsid w:val="00CD2312"/>
    <w:rsid w:val="00CD3AFE"/>
    <w:rsid w:val="00CD4B9F"/>
    <w:rsid w:val="00CD4BE4"/>
    <w:rsid w:val="00CD5226"/>
    <w:rsid w:val="00CD5B2C"/>
    <w:rsid w:val="00CD5D4F"/>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30B6"/>
    <w:rsid w:val="00D432E5"/>
    <w:rsid w:val="00D434B4"/>
    <w:rsid w:val="00D44089"/>
    <w:rsid w:val="00D47527"/>
    <w:rsid w:val="00D47720"/>
    <w:rsid w:val="00D504D7"/>
    <w:rsid w:val="00D50A3A"/>
    <w:rsid w:val="00D51D14"/>
    <w:rsid w:val="00D532AC"/>
    <w:rsid w:val="00D54289"/>
    <w:rsid w:val="00D57E17"/>
    <w:rsid w:val="00D615FC"/>
    <w:rsid w:val="00D63C48"/>
    <w:rsid w:val="00D63FE1"/>
    <w:rsid w:val="00D64CFC"/>
    <w:rsid w:val="00D66255"/>
    <w:rsid w:val="00D6789F"/>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40C"/>
    <w:rsid w:val="00DA5C6D"/>
    <w:rsid w:val="00DB0EE4"/>
    <w:rsid w:val="00DB2121"/>
    <w:rsid w:val="00DB3F4C"/>
    <w:rsid w:val="00DB4E4A"/>
    <w:rsid w:val="00DB6653"/>
    <w:rsid w:val="00DC138D"/>
    <w:rsid w:val="00DC16A7"/>
    <w:rsid w:val="00DC464E"/>
    <w:rsid w:val="00DC53A4"/>
    <w:rsid w:val="00DC6480"/>
    <w:rsid w:val="00DC6DE0"/>
    <w:rsid w:val="00DC6F14"/>
    <w:rsid w:val="00DD59E1"/>
    <w:rsid w:val="00DD7130"/>
    <w:rsid w:val="00DE08B9"/>
    <w:rsid w:val="00DE0EE6"/>
    <w:rsid w:val="00DE1F1D"/>
    <w:rsid w:val="00DE2A3D"/>
    <w:rsid w:val="00DE4873"/>
    <w:rsid w:val="00DE6A90"/>
    <w:rsid w:val="00DE6F94"/>
    <w:rsid w:val="00DE78B3"/>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14DC"/>
    <w:rsid w:val="00E326F3"/>
    <w:rsid w:val="00E32CFE"/>
    <w:rsid w:val="00E33A1C"/>
    <w:rsid w:val="00E3553D"/>
    <w:rsid w:val="00E36A35"/>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7F0D"/>
    <w:rsid w:val="00EC2054"/>
    <w:rsid w:val="00EC561F"/>
    <w:rsid w:val="00EC57DC"/>
    <w:rsid w:val="00EC628A"/>
    <w:rsid w:val="00ED01C3"/>
    <w:rsid w:val="00ED3320"/>
    <w:rsid w:val="00ED3873"/>
    <w:rsid w:val="00ED72B4"/>
    <w:rsid w:val="00EE28BA"/>
    <w:rsid w:val="00EE38B7"/>
    <w:rsid w:val="00EE662C"/>
    <w:rsid w:val="00EF1001"/>
    <w:rsid w:val="00EF6013"/>
    <w:rsid w:val="00EF6826"/>
    <w:rsid w:val="00EF740A"/>
    <w:rsid w:val="00EF7F40"/>
    <w:rsid w:val="00F04298"/>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7BB0"/>
    <w:rsid w:val="00F30AD4"/>
    <w:rsid w:val="00F3141F"/>
    <w:rsid w:val="00F3173C"/>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3BEE"/>
    <w:rsid w:val="00F67341"/>
    <w:rsid w:val="00F676C8"/>
    <w:rsid w:val="00F702BF"/>
    <w:rsid w:val="00F717ED"/>
    <w:rsid w:val="00F736DF"/>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3A59"/>
    <w:rsid w:val="00FA429E"/>
    <w:rsid w:val="00FB748C"/>
    <w:rsid w:val="00FC1FBB"/>
    <w:rsid w:val="00FC75C5"/>
    <w:rsid w:val="00FD1E91"/>
    <w:rsid w:val="00FD2074"/>
    <w:rsid w:val="00FD3183"/>
    <w:rsid w:val="00FD52AB"/>
    <w:rsid w:val="00FD5926"/>
    <w:rsid w:val="00FD6A78"/>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E4E76"/>
    <w:pPr>
      <w:keepNext/>
      <w:keepLines/>
      <w:spacing w:before="160" w:after="80" w:line="278" w:lineRule="auto"/>
      <w:outlineLvl w:val="2"/>
    </w:pPr>
    <w:rPr>
      <w:rFonts w:ascii="Aptos" w:eastAsia="Times New Roman" w:hAnsi="Aptos" w:cs="Times New Roman"/>
      <w:color w:val="0F4761"/>
      <w:kern w:val="2"/>
      <w:sz w:val="28"/>
      <w:szCs w:val="28"/>
    </w:rPr>
  </w:style>
  <w:style w:type="paragraph" w:styleId="Heading4">
    <w:name w:val="heading 4"/>
    <w:basedOn w:val="Normal"/>
    <w:next w:val="Normal"/>
    <w:link w:val="Heading4Char"/>
    <w:uiPriority w:val="9"/>
    <w:semiHidden/>
    <w:unhideWhenUsed/>
    <w:qFormat/>
    <w:rsid w:val="005E4E76"/>
    <w:pPr>
      <w:keepNext/>
      <w:keepLines/>
      <w:spacing w:before="80" w:after="40" w:line="278" w:lineRule="auto"/>
      <w:outlineLvl w:val="3"/>
    </w:pPr>
    <w:rPr>
      <w:rFonts w:ascii="Aptos" w:eastAsia="Times New Roman" w:hAnsi="Aptos" w:cs="Times New Roman"/>
      <w:i/>
      <w:iCs/>
      <w:color w:val="0F4761"/>
      <w:kern w:val="2"/>
      <w:sz w:val="24"/>
      <w:szCs w:val="24"/>
    </w:rPr>
  </w:style>
  <w:style w:type="paragraph" w:styleId="Heading5">
    <w:name w:val="heading 5"/>
    <w:basedOn w:val="Normal"/>
    <w:next w:val="Normal"/>
    <w:link w:val="Heading5Char"/>
    <w:uiPriority w:val="9"/>
    <w:semiHidden/>
    <w:unhideWhenUsed/>
    <w:qFormat/>
    <w:rsid w:val="005E4E76"/>
    <w:pPr>
      <w:keepNext/>
      <w:keepLines/>
      <w:spacing w:before="80" w:after="40" w:line="278" w:lineRule="auto"/>
      <w:outlineLvl w:val="4"/>
    </w:pPr>
    <w:rPr>
      <w:rFonts w:ascii="Aptos" w:eastAsia="Times New Roman" w:hAnsi="Aptos" w:cs="Times New Roman"/>
      <w:color w:val="0F4761"/>
      <w:kern w:val="2"/>
      <w:sz w:val="24"/>
      <w:szCs w:val="24"/>
    </w:rPr>
  </w:style>
  <w:style w:type="paragraph" w:styleId="Heading6">
    <w:name w:val="heading 6"/>
    <w:basedOn w:val="Normal"/>
    <w:next w:val="Normal"/>
    <w:link w:val="Heading6Char"/>
    <w:uiPriority w:val="9"/>
    <w:semiHidden/>
    <w:unhideWhenUsed/>
    <w:qFormat/>
    <w:rsid w:val="005E4E76"/>
    <w:pPr>
      <w:keepNext/>
      <w:keepLines/>
      <w:spacing w:before="40" w:after="0" w:line="278" w:lineRule="auto"/>
      <w:outlineLvl w:val="5"/>
    </w:pPr>
    <w:rPr>
      <w:rFonts w:ascii="Aptos" w:eastAsia="Times New Roman" w:hAnsi="Aptos" w:cs="Times New Roman"/>
      <w:i/>
      <w:iCs/>
      <w:color w:val="595959"/>
      <w:kern w:val="2"/>
      <w:sz w:val="24"/>
      <w:szCs w:val="24"/>
    </w:rPr>
  </w:style>
  <w:style w:type="paragraph" w:styleId="Heading7">
    <w:name w:val="heading 7"/>
    <w:basedOn w:val="Normal"/>
    <w:next w:val="Normal"/>
    <w:link w:val="Heading7Char"/>
    <w:uiPriority w:val="9"/>
    <w:semiHidden/>
    <w:unhideWhenUsed/>
    <w:qFormat/>
    <w:rsid w:val="005E4E76"/>
    <w:pPr>
      <w:keepNext/>
      <w:keepLines/>
      <w:spacing w:before="40" w:after="0" w:line="278" w:lineRule="auto"/>
      <w:outlineLvl w:val="6"/>
    </w:pPr>
    <w:rPr>
      <w:rFonts w:ascii="Aptos" w:eastAsia="Times New Roman" w:hAnsi="Aptos" w:cs="Times New Roman"/>
      <w:color w:val="595959"/>
      <w:kern w:val="2"/>
      <w:sz w:val="24"/>
      <w:szCs w:val="24"/>
    </w:rPr>
  </w:style>
  <w:style w:type="paragraph" w:styleId="Heading8">
    <w:name w:val="heading 8"/>
    <w:basedOn w:val="Normal"/>
    <w:next w:val="Normal"/>
    <w:link w:val="Heading8Char"/>
    <w:uiPriority w:val="9"/>
    <w:semiHidden/>
    <w:unhideWhenUsed/>
    <w:qFormat/>
    <w:rsid w:val="005E4E76"/>
    <w:pPr>
      <w:keepNext/>
      <w:keepLines/>
      <w:spacing w:after="0" w:line="278" w:lineRule="auto"/>
      <w:outlineLvl w:val="7"/>
    </w:pPr>
    <w:rPr>
      <w:rFonts w:ascii="Aptos" w:eastAsia="Times New Roman" w:hAnsi="Aptos" w:cs="Times New Roman"/>
      <w:i/>
      <w:iCs/>
      <w:color w:val="272727"/>
      <w:kern w:val="2"/>
      <w:sz w:val="24"/>
      <w:szCs w:val="24"/>
    </w:rPr>
  </w:style>
  <w:style w:type="paragraph" w:styleId="Heading9">
    <w:name w:val="heading 9"/>
    <w:basedOn w:val="Normal"/>
    <w:next w:val="Normal"/>
    <w:link w:val="Heading9Char"/>
    <w:uiPriority w:val="9"/>
    <w:semiHidden/>
    <w:unhideWhenUsed/>
    <w:qFormat/>
    <w:rsid w:val="005E4E76"/>
    <w:pPr>
      <w:keepNext/>
      <w:keepLines/>
      <w:spacing w:after="0" w:line="278" w:lineRule="auto"/>
      <w:outlineLvl w:val="8"/>
    </w:pPr>
    <w:rPr>
      <w:rFonts w:ascii="Aptos" w:eastAsia="Times New Roman" w:hAnsi="Aptos" w:cs="Times New Roman"/>
      <w:color w:val="272727"/>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07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703"/>
    <w:rPr>
      <w:rFonts w:ascii="Tahoma" w:hAnsi="Tahoma" w:cs="Tahoma"/>
      <w:sz w:val="16"/>
      <w:szCs w:val="16"/>
    </w:rPr>
  </w:style>
  <w:style w:type="paragraph" w:styleId="ListParagraph">
    <w:name w:val="List Paragraph"/>
    <w:basedOn w:val="Normal"/>
    <w:link w:val="ListParagraphChar"/>
    <w:uiPriority w:val="34"/>
    <w:qFormat/>
    <w:rsid w:val="00167449"/>
    <w:pPr>
      <w:ind w:left="720"/>
      <w:contextualSpacing/>
    </w:pPr>
  </w:style>
  <w:style w:type="character" w:styleId="CommentReference">
    <w:name w:val="annotation reference"/>
    <w:basedOn w:val="DefaultParagraphFont"/>
    <w:uiPriority w:val="99"/>
    <w:unhideWhenUsed/>
    <w:rsid w:val="00EB43F7"/>
    <w:rPr>
      <w:sz w:val="16"/>
      <w:szCs w:val="16"/>
    </w:rPr>
  </w:style>
  <w:style w:type="paragraph" w:styleId="CommentText">
    <w:name w:val="annotation text"/>
    <w:basedOn w:val="Normal"/>
    <w:link w:val="CommentTextChar"/>
    <w:uiPriority w:val="99"/>
    <w:unhideWhenUsed/>
    <w:rsid w:val="00EB43F7"/>
    <w:pPr>
      <w:spacing w:line="240" w:lineRule="auto"/>
    </w:pPr>
    <w:rPr>
      <w:sz w:val="20"/>
      <w:szCs w:val="20"/>
    </w:rPr>
  </w:style>
  <w:style w:type="character" w:customStyle="1" w:styleId="CommentTextChar">
    <w:name w:val="Comment Text Char"/>
    <w:basedOn w:val="DefaultParagraphFont"/>
    <w:link w:val="CommentText"/>
    <w:uiPriority w:val="99"/>
    <w:rsid w:val="00EB43F7"/>
    <w:rPr>
      <w:sz w:val="20"/>
      <w:szCs w:val="20"/>
    </w:rPr>
  </w:style>
  <w:style w:type="paragraph" w:styleId="CommentSubject">
    <w:name w:val="annotation subject"/>
    <w:basedOn w:val="CommentText"/>
    <w:next w:val="CommentText"/>
    <w:link w:val="CommentSubjectChar"/>
    <w:uiPriority w:val="99"/>
    <w:semiHidden/>
    <w:unhideWhenUsed/>
    <w:rsid w:val="00EB43F7"/>
    <w:rPr>
      <w:b/>
      <w:bCs/>
    </w:rPr>
  </w:style>
  <w:style w:type="character" w:customStyle="1" w:styleId="CommentSubjectChar">
    <w:name w:val="Comment Subject Char"/>
    <w:basedOn w:val="CommentTextChar"/>
    <w:link w:val="CommentSubject"/>
    <w:uiPriority w:val="99"/>
    <w:semiHidden/>
    <w:rsid w:val="00EB43F7"/>
    <w:rPr>
      <w:b/>
      <w:bCs/>
      <w:sz w:val="20"/>
      <w:szCs w:val="20"/>
    </w:rPr>
  </w:style>
  <w:style w:type="character" w:styleId="Hyperlink">
    <w:name w:val="Hyperlink"/>
    <w:basedOn w:val="DefaultParagraphFont"/>
    <w:uiPriority w:val="99"/>
    <w:unhideWhenUsed/>
    <w:rsid w:val="00242CED"/>
    <w:rPr>
      <w:color w:val="0000FF" w:themeColor="hyperlink"/>
      <w:u w:val="single"/>
    </w:rPr>
  </w:style>
  <w:style w:type="paragraph" w:styleId="Header">
    <w:name w:val="header"/>
    <w:basedOn w:val="Normal"/>
    <w:link w:val="HeaderChar"/>
    <w:uiPriority w:val="99"/>
    <w:unhideWhenUsed/>
    <w:rsid w:val="008755E3"/>
    <w:pPr>
      <w:tabs>
        <w:tab w:val="center" w:pos="4153"/>
        <w:tab w:val="right" w:pos="8306"/>
      </w:tabs>
      <w:spacing w:after="0" w:line="240" w:lineRule="auto"/>
    </w:pPr>
  </w:style>
  <w:style w:type="character" w:customStyle="1" w:styleId="HeaderChar">
    <w:name w:val="Header Char"/>
    <w:basedOn w:val="DefaultParagraphFont"/>
    <w:link w:val="Header"/>
    <w:uiPriority w:val="99"/>
    <w:rsid w:val="008755E3"/>
  </w:style>
  <w:style w:type="paragraph" w:styleId="Footer">
    <w:name w:val="footer"/>
    <w:basedOn w:val="Normal"/>
    <w:link w:val="FooterChar"/>
    <w:uiPriority w:val="99"/>
    <w:unhideWhenUsed/>
    <w:rsid w:val="008755E3"/>
    <w:pPr>
      <w:tabs>
        <w:tab w:val="center" w:pos="4153"/>
        <w:tab w:val="right" w:pos="8306"/>
      </w:tabs>
      <w:spacing w:after="0" w:line="240" w:lineRule="auto"/>
    </w:pPr>
  </w:style>
  <w:style w:type="character" w:customStyle="1" w:styleId="FooterChar">
    <w:name w:val="Footer Char"/>
    <w:basedOn w:val="DefaultParagraphFont"/>
    <w:link w:val="Footer"/>
    <w:uiPriority w:val="99"/>
    <w:rsid w:val="008755E3"/>
  </w:style>
  <w:style w:type="character" w:styleId="FollowedHyperlink">
    <w:name w:val="FollowedHyperlink"/>
    <w:basedOn w:val="DefaultParagraphFont"/>
    <w:uiPriority w:val="99"/>
    <w:semiHidden/>
    <w:unhideWhenUsed/>
    <w:rsid w:val="00AC5D5B"/>
    <w:rPr>
      <w:color w:val="800080" w:themeColor="followedHyperlink"/>
      <w:u w:val="single"/>
    </w:rPr>
  </w:style>
  <w:style w:type="paragraph" w:styleId="FootnoteText">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Normal"/>
    <w:link w:val="FootnoteTextChar"/>
    <w:uiPriority w:val="99"/>
    <w:unhideWhenUsed/>
    <w:qFormat/>
    <w:rsid w:val="006E5D28"/>
    <w:pPr>
      <w:spacing w:after="0" w:line="240" w:lineRule="auto"/>
    </w:pPr>
    <w:rPr>
      <w:sz w:val="20"/>
      <w:szCs w:val="20"/>
    </w:rPr>
  </w:style>
  <w:style w:type="character" w:customStyle="1" w:styleId="FootnoteTextChar">
    <w:name w:val="Footnote Text Char"/>
    <w:aliases w:val="fn Char1,fn Char Char,single space Char,Footnote Text Char Char Char Char Char Char Char,Footnote Text Char1 Char,Footnote Text Char Char Char,Footnote Char,Fußnote Char,FSR footnote Char,lábléc Char,FOOTNOTES Char,תו תו תו Char"/>
    <w:basedOn w:val="DefaultParagraphFont"/>
    <w:link w:val="FootnoteText"/>
    <w:uiPriority w:val="99"/>
    <w:rsid w:val="006E5D28"/>
    <w:rPr>
      <w:sz w:val="20"/>
      <w:szCs w:val="20"/>
    </w:rPr>
  </w:style>
  <w:style w:type="character" w:styleId="FootnoteReference">
    <w:name w:val="footnote reference"/>
    <w:basedOn w:val="DefaultParagraphFont"/>
    <w:unhideWhenUsed/>
    <w:rsid w:val="006E5D28"/>
    <w:rPr>
      <w:vertAlign w:val="superscript"/>
    </w:rPr>
  </w:style>
  <w:style w:type="table" w:styleId="TableGrid">
    <w:name w:val="Table Grid"/>
    <w:basedOn w:val="TableNormal"/>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71B6D"/>
    <w:rPr>
      <w:color w:val="605E5C"/>
      <w:shd w:val="clear" w:color="auto" w:fill="E1DFDD"/>
    </w:rPr>
  </w:style>
  <w:style w:type="paragraph" w:styleId="Revision">
    <w:name w:val="Revision"/>
    <w:hidden/>
    <w:uiPriority w:val="99"/>
    <w:semiHidden/>
    <w:rsid w:val="0074544F"/>
    <w:pPr>
      <w:spacing w:after="0" w:line="240" w:lineRule="auto"/>
    </w:pPr>
  </w:style>
  <w:style w:type="paragraph" w:styleId="NormalWeb">
    <w:name w:val="Normal (Web)"/>
    <w:basedOn w:val="Normal"/>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C95FE4"/>
  </w:style>
  <w:style w:type="character" w:styleId="Strong">
    <w:name w:val="Strong"/>
    <w:basedOn w:val="DefaultParagraphFont"/>
    <w:uiPriority w:val="22"/>
    <w:qFormat/>
    <w:rsid w:val="00DC16A7"/>
    <w:rPr>
      <w:b/>
      <w:bCs/>
    </w:rPr>
  </w:style>
  <w:style w:type="character" w:customStyle="1" w:styleId="ui-provider">
    <w:name w:val="ui-provider"/>
    <w:basedOn w:val="DefaultParagraphFont"/>
    <w:rsid w:val="00CA1D8B"/>
  </w:style>
  <w:style w:type="character" w:customStyle="1" w:styleId="Heading1Char">
    <w:name w:val="Heading 1 Char"/>
    <w:basedOn w:val="DefaultParagraphFont"/>
    <w:link w:val="Heading1"/>
    <w:uiPriority w:val="9"/>
    <w:rsid w:val="00482E9C"/>
    <w:rPr>
      <w:rFonts w:ascii="Times New Roman" w:eastAsia="Times New Roman" w:hAnsi="Times New Roman" w:cs="Times New Roman"/>
      <w:b/>
      <w:bCs/>
      <w:kern w:val="36"/>
      <w:sz w:val="48"/>
      <w:szCs w:val="48"/>
    </w:rPr>
  </w:style>
  <w:style w:type="paragraph" w:styleId="Title">
    <w:name w:val="Title"/>
    <w:aliases w:val="איור כותרת ראשית"/>
    <w:basedOn w:val="Heading1"/>
    <w:next w:val="Normal"/>
    <w:link w:val="TitleChar"/>
    <w:uiPriority w:val="10"/>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TitleChar">
    <w:name w:val="Title Char"/>
    <w:aliases w:val="איור כותרת ראשית Char"/>
    <w:basedOn w:val="DefaultParagraphFont"/>
    <w:link w:val="Title"/>
    <w:uiPriority w:val="10"/>
    <w:rsid w:val="000F40AF"/>
    <w:rPr>
      <w:rFonts w:ascii="Calibri" w:eastAsia="Times New Roman" w:hAnsi="Calibri" w:cs="Calibri"/>
      <w:b/>
      <w:bCs/>
      <w:sz w:val="24"/>
      <w:szCs w:val="24"/>
    </w:rPr>
  </w:style>
  <w:style w:type="paragraph" w:styleId="Subtitle">
    <w:name w:val="Subtitle"/>
    <w:aliases w:val="איור כותרת משנה"/>
    <w:basedOn w:val="Heading1"/>
    <w:next w:val="Normal"/>
    <w:link w:val="SubtitleChar"/>
    <w:uiPriority w:val="11"/>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SubtitleChar">
    <w:name w:val="Subtitle Char"/>
    <w:aliases w:val="איור כותרת משנה Char"/>
    <w:basedOn w:val="DefaultParagraphFont"/>
    <w:link w:val="Subtitle"/>
    <w:uiPriority w:val="11"/>
    <w:rsid w:val="000F40AF"/>
    <w:rPr>
      <w:rFonts w:ascii="Calibri" w:eastAsia="Times New Roman" w:hAnsi="Calibri" w:cs="Calibri"/>
      <w:sz w:val="24"/>
      <w:szCs w:val="24"/>
    </w:rPr>
  </w:style>
  <w:style w:type="character" w:customStyle="1" w:styleId="Heading2Char">
    <w:name w:val="Heading 2 Char"/>
    <w:basedOn w:val="DefaultParagraphFont"/>
    <w:link w:val="Heading2"/>
    <w:uiPriority w:val="9"/>
    <w:semiHidden/>
    <w:rsid w:val="001E6F0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E4E76"/>
    <w:rPr>
      <w:rFonts w:ascii="Aptos" w:eastAsia="Times New Roman" w:hAnsi="Aptos" w:cs="Times New Roman"/>
      <w:color w:val="0F4761"/>
      <w:kern w:val="2"/>
      <w:sz w:val="28"/>
      <w:szCs w:val="28"/>
    </w:rPr>
  </w:style>
  <w:style w:type="character" w:customStyle="1" w:styleId="Heading4Char">
    <w:name w:val="Heading 4 Char"/>
    <w:basedOn w:val="DefaultParagraphFont"/>
    <w:link w:val="Heading4"/>
    <w:uiPriority w:val="9"/>
    <w:semiHidden/>
    <w:rsid w:val="005E4E76"/>
    <w:rPr>
      <w:rFonts w:ascii="Aptos" w:eastAsia="Times New Roman" w:hAnsi="Aptos" w:cs="Times New Roman"/>
      <w:i/>
      <w:iCs/>
      <w:color w:val="0F4761"/>
      <w:kern w:val="2"/>
      <w:sz w:val="24"/>
      <w:szCs w:val="24"/>
    </w:rPr>
  </w:style>
  <w:style w:type="character" w:customStyle="1" w:styleId="Heading5Char">
    <w:name w:val="Heading 5 Char"/>
    <w:basedOn w:val="DefaultParagraphFont"/>
    <w:link w:val="Heading5"/>
    <w:uiPriority w:val="9"/>
    <w:semiHidden/>
    <w:rsid w:val="005E4E76"/>
    <w:rPr>
      <w:rFonts w:ascii="Aptos" w:eastAsia="Times New Roman" w:hAnsi="Aptos" w:cs="Times New Roman"/>
      <w:color w:val="0F4761"/>
      <w:kern w:val="2"/>
      <w:sz w:val="24"/>
      <w:szCs w:val="24"/>
    </w:rPr>
  </w:style>
  <w:style w:type="character" w:customStyle="1" w:styleId="Heading6Char">
    <w:name w:val="Heading 6 Char"/>
    <w:basedOn w:val="DefaultParagraphFont"/>
    <w:link w:val="Heading6"/>
    <w:uiPriority w:val="9"/>
    <w:semiHidden/>
    <w:rsid w:val="005E4E76"/>
    <w:rPr>
      <w:rFonts w:ascii="Aptos" w:eastAsia="Times New Roman" w:hAnsi="Aptos" w:cs="Times New Roman"/>
      <w:i/>
      <w:iCs/>
      <w:color w:val="595959"/>
      <w:kern w:val="2"/>
      <w:sz w:val="24"/>
      <w:szCs w:val="24"/>
    </w:rPr>
  </w:style>
  <w:style w:type="character" w:customStyle="1" w:styleId="Heading7Char">
    <w:name w:val="Heading 7 Char"/>
    <w:basedOn w:val="DefaultParagraphFont"/>
    <w:link w:val="Heading7"/>
    <w:uiPriority w:val="9"/>
    <w:semiHidden/>
    <w:rsid w:val="005E4E76"/>
    <w:rPr>
      <w:rFonts w:ascii="Aptos" w:eastAsia="Times New Roman" w:hAnsi="Aptos" w:cs="Times New Roman"/>
      <w:color w:val="595959"/>
      <w:kern w:val="2"/>
      <w:sz w:val="24"/>
      <w:szCs w:val="24"/>
    </w:rPr>
  </w:style>
  <w:style w:type="character" w:customStyle="1" w:styleId="Heading8Char">
    <w:name w:val="Heading 8 Char"/>
    <w:basedOn w:val="DefaultParagraphFont"/>
    <w:link w:val="Heading8"/>
    <w:uiPriority w:val="9"/>
    <w:semiHidden/>
    <w:rsid w:val="005E4E76"/>
    <w:rPr>
      <w:rFonts w:ascii="Aptos" w:eastAsia="Times New Roman" w:hAnsi="Aptos" w:cs="Times New Roman"/>
      <w:i/>
      <w:iCs/>
      <w:color w:val="272727"/>
      <w:kern w:val="2"/>
      <w:sz w:val="24"/>
      <w:szCs w:val="24"/>
    </w:rPr>
  </w:style>
  <w:style w:type="character" w:customStyle="1" w:styleId="Heading9Char">
    <w:name w:val="Heading 9 Char"/>
    <w:basedOn w:val="DefaultParagraphFont"/>
    <w:link w:val="Heading9"/>
    <w:uiPriority w:val="9"/>
    <w:semiHidden/>
    <w:rsid w:val="005E4E76"/>
    <w:rPr>
      <w:rFonts w:ascii="Aptos" w:eastAsia="Times New Roman" w:hAnsi="Aptos" w:cs="Times New Roman"/>
      <w:color w:val="272727"/>
      <w:kern w:val="2"/>
      <w:sz w:val="24"/>
      <w:szCs w:val="24"/>
    </w:rPr>
  </w:style>
  <w:style w:type="paragraph" w:styleId="Quote">
    <w:name w:val="Quote"/>
    <w:basedOn w:val="Normal"/>
    <w:next w:val="Normal"/>
    <w:link w:val="QuoteChar"/>
    <w:uiPriority w:val="29"/>
    <w:qFormat/>
    <w:rsid w:val="005E4E76"/>
    <w:pPr>
      <w:spacing w:before="160" w:after="160" w:line="278" w:lineRule="auto"/>
      <w:jc w:val="center"/>
    </w:pPr>
    <w:rPr>
      <w:rFonts w:ascii="Aptos" w:eastAsia="Aptos" w:hAnsi="Aptos" w:cs="Arial"/>
      <w:i/>
      <w:iCs/>
      <w:color w:val="404040"/>
      <w:kern w:val="2"/>
      <w:sz w:val="24"/>
      <w:szCs w:val="24"/>
    </w:rPr>
  </w:style>
  <w:style w:type="character" w:customStyle="1" w:styleId="QuoteChar">
    <w:name w:val="Quote Char"/>
    <w:basedOn w:val="DefaultParagraphFont"/>
    <w:link w:val="Quote"/>
    <w:uiPriority w:val="29"/>
    <w:rsid w:val="005E4E76"/>
    <w:rPr>
      <w:rFonts w:ascii="Aptos" w:eastAsia="Aptos" w:hAnsi="Aptos" w:cs="Arial"/>
      <w:i/>
      <w:iCs/>
      <w:color w:val="404040"/>
      <w:kern w:val="2"/>
      <w:sz w:val="24"/>
      <w:szCs w:val="24"/>
    </w:rPr>
  </w:style>
  <w:style w:type="character" w:styleId="IntenseEmphasis">
    <w:name w:val="Intense Emphasis"/>
    <w:uiPriority w:val="21"/>
    <w:qFormat/>
    <w:rsid w:val="005E4E76"/>
    <w:rPr>
      <w:i/>
      <w:iCs/>
      <w:color w:val="0F4761"/>
    </w:rPr>
  </w:style>
  <w:style w:type="paragraph" w:styleId="IntenseQuote">
    <w:name w:val="Intense Quote"/>
    <w:basedOn w:val="Normal"/>
    <w:next w:val="Normal"/>
    <w:link w:val="IntenseQuoteChar"/>
    <w:uiPriority w:val="30"/>
    <w:qFormat/>
    <w:rsid w:val="005E4E76"/>
    <w:pPr>
      <w:pBdr>
        <w:top w:val="single" w:sz="4" w:space="10" w:color="0F4761"/>
        <w:bottom w:val="single" w:sz="4" w:space="10" w:color="0F4761"/>
      </w:pBdr>
      <w:spacing w:before="360" w:after="360" w:line="278" w:lineRule="auto"/>
      <w:ind w:left="864" w:right="864"/>
      <w:jc w:val="center"/>
    </w:pPr>
    <w:rPr>
      <w:rFonts w:ascii="Aptos" w:eastAsia="Aptos" w:hAnsi="Aptos" w:cs="Arial"/>
      <w:i/>
      <w:iCs/>
      <w:color w:val="0F4761"/>
      <w:kern w:val="2"/>
      <w:sz w:val="24"/>
      <w:szCs w:val="24"/>
    </w:rPr>
  </w:style>
  <w:style w:type="character" w:customStyle="1" w:styleId="IntenseQuoteChar">
    <w:name w:val="Intense Quote Char"/>
    <w:basedOn w:val="DefaultParagraphFont"/>
    <w:link w:val="IntenseQuote"/>
    <w:uiPriority w:val="30"/>
    <w:rsid w:val="005E4E76"/>
    <w:rPr>
      <w:rFonts w:ascii="Aptos" w:eastAsia="Aptos" w:hAnsi="Aptos" w:cs="Arial"/>
      <w:i/>
      <w:iCs/>
      <w:color w:val="0F4761"/>
      <w:kern w:val="2"/>
      <w:sz w:val="24"/>
      <w:szCs w:val="24"/>
    </w:rPr>
  </w:style>
  <w:style w:type="character" w:styleId="IntenseReference">
    <w:name w:val="Intense Reference"/>
    <w:uiPriority w:val="32"/>
    <w:qFormat/>
    <w:rsid w:val="005E4E76"/>
    <w:rPr>
      <w:b/>
      <w:bCs/>
      <w:smallCaps/>
      <w:color w:val="0F4761"/>
      <w:spacing w:val="5"/>
    </w:rPr>
  </w:style>
  <w:style w:type="paragraph" w:customStyle="1" w:styleId="xxmsonormal">
    <w:name w:val="x_xmsonormal"/>
    <w:basedOn w:val="Normal"/>
    <w:uiPriority w:val="99"/>
    <w:rsid w:val="00BA2009"/>
    <w:pPr>
      <w:bidi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33892913">
      <w:bodyDiv w:val="1"/>
      <w:marLeft w:val="0"/>
      <w:marRight w:val="0"/>
      <w:marTop w:val="0"/>
      <w:marBottom w:val="0"/>
      <w:divBdr>
        <w:top w:val="none" w:sz="0" w:space="0" w:color="auto"/>
        <w:left w:val="none" w:sz="0" w:space="0" w:color="auto"/>
        <w:bottom w:val="none" w:sz="0" w:space="0" w:color="auto"/>
        <w:right w:val="none" w:sz="0" w:space="0" w:color="auto"/>
      </w:divBdr>
    </w:div>
    <w:div w:id="50546333">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18463384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56671433">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40817816">
      <w:bodyDiv w:val="1"/>
      <w:marLeft w:val="0"/>
      <w:marRight w:val="0"/>
      <w:marTop w:val="0"/>
      <w:marBottom w:val="0"/>
      <w:divBdr>
        <w:top w:val="none" w:sz="0" w:space="0" w:color="auto"/>
        <w:left w:val="none" w:sz="0" w:space="0" w:color="auto"/>
        <w:bottom w:val="none" w:sz="0" w:space="0" w:color="auto"/>
        <w:right w:val="none" w:sz="0" w:space="0" w:color="auto"/>
      </w:divBdr>
    </w:div>
    <w:div w:id="353969637">
      <w:bodyDiv w:val="1"/>
      <w:marLeft w:val="0"/>
      <w:marRight w:val="0"/>
      <w:marTop w:val="0"/>
      <w:marBottom w:val="0"/>
      <w:divBdr>
        <w:top w:val="none" w:sz="0" w:space="0" w:color="auto"/>
        <w:left w:val="none" w:sz="0" w:space="0" w:color="auto"/>
        <w:bottom w:val="none" w:sz="0" w:space="0" w:color="auto"/>
        <w:right w:val="none" w:sz="0" w:space="0" w:color="auto"/>
      </w:divBdr>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541359404">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82330605">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26236568">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187909696">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414276046">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19538883">
      <w:bodyDiv w:val="1"/>
      <w:marLeft w:val="0"/>
      <w:marRight w:val="0"/>
      <w:marTop w:val="0"/>
      <w:marBottom w:val="0"/>
      <w:divBdr>
        <w:top w:val="none" w:sz="0" w:space="0" w:color="auto"/>
        <w:left w:val="none" w:sz="0" w:space="0" w:color="auto"/>
        <w:bottom w:val="none" w:sz="0" w:space="0" w:color="auto"/>
        <w:right w:val="none" w:sz="0" w:space="0" w:color="auto"/>
      </w:divBdr>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5794168">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692950244">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758015908">
      <w:bodyDiv w:val="1"/>
      <w:marLeft w:val="0"/>
      <w:marRight w:val="0"/>
      <w:marTop w:val="0"/>
      <w:marBottom w:val="0"/>
      <w:divBdr>
        <w:top w:val="none" w:sz="0" w:space="0" w:color="auto"/>
        <w:left w:val="none" w:sz="0" w:space="0" w:color="auto"/>
        <w:bottom w:val="none" w:sz="0" w:space="0" w:color="auto"/>
        <w:right w:val="none" w:sz="0" w:space="0" w:color="auto"/>
      </w:divBdr>
    </w:div>
    <w:div w:id="1782645766">
      <w:bodyDiv w:val="1"/>
      <w:marLeft w:val="0"/>
      <w:marRight w:val="0"/>
      <w:marTop w:val="0"/>
      <w:marBottom w:val="0"/>
      <w:divBdr>
        <w:top w:val="none" w:sz="0" w:space="0" w:color="auto"/>
        <w:left w:val="none" w:sz="0" w:space="0" w:color="auto"/>
        <w:bottom w:val="none" w:sz="0" w:space="0" w:color="auto"/>
        <w:right w:val="none" w:sz="0" w:space="0" w:color="auto"/>
      </w:divBdr>
    </w:div>
    <w:div w:id="1809590501">
      <w:bodyDiv w:val="1"/>
      <w:marLeft w:val="0"/>
      <w:marRight w:val="0"/>
      <w:marTop w:val="0"/>
      <w:marBottom w:val="0"/>
      <w:divBdr>
        <w:top w:val="none" w:sz="0" w:space="0" w:color="auto"/>
        <w:left w:val="none" w:sz="0" w:space="0" w:color="auto"/>
        <w:bottom w:val="none" w:sz="0" w:space="0" w:color="auto"/>
        <w:right w:val="none" w:sz="0" w:space="0" w:color="auto"/>
      </w:divBdr>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891190836">
      <w:bodyDiv w:val="1"/>
      <w:marLeft w:val="0"/>
      <w:marRight w:val="0"/>
      <w:marTop w:val="0"/>
      <w:marBottom w:val="0"/>
      <w:divBdr>
        <w:top w:val="none" w:sz="0" w:space="0" w:color="auto"/>
        <w:left w:val="none" w:sz="0" w:space="0" w:color="auto"/>
        <w:bottom w:val="none" w:sz="0" w:space="0" w:color="auto"/>
        <w:right w:val="none" w:sz="0" w:space="0" w:color="auto"/>
      </w:divBdr>
    </w:div>
    <w:div w:id="1942687224">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1981879929">
      <w:bodyDiv w:val="1"/>
      <w:marLeft w:val="0"/>
      <w:marRight w:val="0"/>
      <w:marTop w:val="0"/>
      <w:marBottom w:val="0"/>
      <w:divBdr>
        <w:top w:val="none" w:sz="0" w:space="0" w:color="auto"/>
        <w:left w:val="none" w:sz="0" w:space="0" w:color="auto"/>
        <w:bottom w:val="none" w:sz="0" w:space="0" w:color="auto"/>
        <w:right w:val="none" w:sz="0" w:space="0" w:color="auto"/>
      </w:divBdr>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063093758">
      <w:bodyDiv w:val="1"/>
      <w:marLeft w:val="0"/>
      <w:marRight w:val="0"/>
      <w:marTop w:val="0"/>
      <w:marBottom w:val="0"/>
      <w:divBdr>
        <w:top w:val="none" w:sz="0" w:space="0" w:color="auto"/>
        <w:left w:val="none" w:sz="0" w:space="0" w:color="auto"/>
        <w:bottom w:val="none" w:sz="0" w:space="0" w:color="auto"/>
        <w:right w:val="none" w:sz="0" w:space="0" w:color="auto"/>
      </w:divBdr>
    </w:div>
    <w:div w:id="2104641005">
      <w:bodyDiv w:val="1"/>
      <w:marLeft w:val="0"/>
      <w:marRight w:val="0"/>
      <w:marTop w:val="0"/>
      <w:marBottom w:val="0"/>
      <w:divBdr>
        <w:top w:val="none" w:sz="0" w:space="0" w:color="auto"/>
        <w:left w:val="none" w:sz="0" w:space="0" w:color="auto"/>
        <w:bottom w:val="none" w:sz="0" w:space="0" w:color="auto"/>
        <w:right w:val="none" w:sz="0" w:space="0" w:color="auto"/>
      </w:divBdr>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facebook.com/bankisraelvc" TargetMode="External"/><Relationship Id="rId3" Type="http://schemas.microsoft.com/office/2007/relationships/hdphoto" Target="media/hdphoto1.wdp"/><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5.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4.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87DB0-02FE-42E0-984D-403FC9CA0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1814</Characters>
  <Application>Microsoft Office Word</Application>
  <DocSecurity>4</DocSecurity>
  <Lines>15</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2025-05-20T10:11:00Z</dcterms:created>
  <dcterms:modified xsi:type="dcterms:W3CDTF">2025-05-20T10:11:00Z</dcterms:modified>
</cp:coreProperties>
</file>