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DD5923" w:rsidRPr="00DB1CBC" w:rsidTr="003A7BCA">
        <w:trPr>
          <w:jc w:val="center"/>
        </w:trPr>
        <w:tc>
          <w:tcPr>
            <w:tcW w:w="2840" w:type="dxa"/>
            <w:vAlign w:val="center"/>
          </w:tcPr>
          <w:p w:rsidR="003A7BCA" w:rsidRDefault="003A7BCA" w:rsidP="003A7BCA">
            <w:pPr>
              <w:bidi/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DD5923" w:rsidRDefault="003A7BCA" w:rsidP="003A7BCA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דו</w:t>
            </w:r>
            <w:r>
              <w:rPr>
                <w:rFonts w:cs="David" w:hint="cs"/>
                <w:sz w:val="24"/>
                <w:szCs w:val="24"/>
                <w:rtl/>
              </w:rPr>
              <w:t>בר</w:t>
            </w:r>
            <w:r>
              <w:rPr>
                <w:rFonts w:cs="David"/>
                <w:sz w:val="24"/>
                <w:szCs w:val="24"/>
                <w:rtl/>
              </w:rPr>
              <w:t>ות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840" w:type="dxa"/>
          </w:tcPr>
          <w:p w:rsidR="00DD5923" w:rsidRDefault="00DD5923" w:rsidP="00D87676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1681D91F" wp14:editId="0E734857">
                  <wp:extent cx="707366" cy="672860"/>
                  <wp:effectExtent l="0" t="0" r="0" b="0"/>
                  <wp:docPr id="1" name="תמונה 1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934" cy="67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vAlign w:val="center"/>
          </w:tcPr>
          <w:p w:rsidR="00DD5923" w:rsidRDefault="00DD5923" w:rsidP="00523008">
            <w:pPr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="00826810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762D5A">
              <w:rPr>
                <w:rFonts w:cs="David" w:hint="cs"/>
                <w:sz w:val="24"/>
                <w:szCs w:val="24"/>
                <w:rtl/>
              </w:rPr>
              <w:t>כ"</w:t>
            </w:r>
            <w:r w:rsidR="00523008">
              <w:rPr>
                <w:rFonts w:cs="David" w:hint="cs"/>
                <w:sz w:val="24"/>
                <w:szCs w:val="24"/>
                <w:rtl/>
              </w:rPr>
              <w:t>ו</w:t>
            </w:r>
            <w:r w:rsidR="00A57161">
              <w:rPr>
                <w:rFonts w:cs="David" w:hint="cs"/>
                <w:sz w:val="24"/>
                <w:szCs w:val="24"/>
                <w:rtl/>
              </w:rPr>
              <w:t xml:space="preserve"> ב</w:t>
            </w:r>
            <w:r w:rsidR="00523008">
              <w:rPr>
                <w:rFonts w:cs="David" w:hint="cs"/>
                <w:sz w:val="24"/>
                <w:szCs w:val="24"/>
                <w:rtl/>
              </w:rPr>
              <w:t>אדר</w:t>
            </w:r>
            <w:r w:rsidR="004625EB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614095">
              <w:rPr>
                <w:rFonts w:cs="David" w:hint="cs"/>
                <w:sz w:val="24"/>
                <w:szCs w:val="24"/>
                <w:rtl/>
              </w:rPr>
              <w:t>ה</w:t>
            </w:r>
            <w:r w:rsidR="004625EB">
              <w:rPr>
                <w:rFonts w:cs="David"/>
                <w:sz w:val="24"/>
                <w:szCs w:val="24"/>
                <w:rtl/>
              </w:rPr>
              <w:t>תשע"</w:t>
            </w:r>
            <w:r w:rsidR="004625EB">
              <w:rPr>
                <w:rFonts w:cs="David" w:hint="cs"/>
                <w:sz w:val="24"/>
                <w:szCs w:val="24"/>
                <w:rtl/>
              </w:rPr>
              <w:t>ד</w:t>
            </w:r>
          </w:p>
          <w:p w:rsidR="00DD5923" w:rsidRPr="00DF107C" w:rsidRDefault="00DD5923" w:rsidP="00123EF5">
            <w:pPr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123EF5">
              <w:rPr>
                <w:rFonts w:cs="David" w:hint="cs"/>
                <w:sz w:val="24"/>
                <w:szCs w:val="24"/>
                <w:rtl/>
              </w:rPr>
              <w:t>26</w:t>
            </w:r>
            <w:r w:rsidR="00A57161">
              <w:rPr>
                <w:rFonts w:cs="David" w:hint="cs"/>
                <w:sz w:val="24"/>
                <w:szCs w:val="24"/>
                <w:rtl/>
              </w:rPr>
              <w:t xml:space="preserve"> ב</w:t>
            </w:r>
            <w:r w:rsidR="00123EF5">
              <w:rPr>
                <w:rFonts w:cs="David" w:hint="cs"/>
                <w:sz w:val="24"/>
                <w:szCs w:val="24"/>
                <w:rtl/>
              </w:rPr>
              <w:t>פברו</w:t>
            </w:r>
            <w:r w:rsidR="00E15796">
              <w:rPr>
                <w:rFonts w:cs="David" w:hint="cs"/>
                <w:sz w:val="24"/>
                <w:szCs w:val="24"/>
                <w:rtl/>
              </w:rPr>
              <w:t>אר</w:t>
            </w:r>
            <w:r>
              <w:rPr>
                <w:rFonts w:cs="David"/>
                <w:sz w:val="24"/>
                <w:szCs w:val="24"/>
                <w:rtl/>
              </w:rPr>
              <w:t xml:space="preserve"> 201</w:t>
            </w:r>
            <w:r w:rsidR="00E15796">
              <w:rPr>
                <w:rFonts w:cs="David" w:hint="cs"/>
                <w:sz w:val="24"/>
                <w:szCs w:val="24"/>
                <w:rtl/>
              </w:rPr>
              <w:t>4</w:t>
            </w:r>
          </w:p>
        </w:tc>
      </w:tr>
    </w:tbl>
    <w:p w:rsidR="00FE034E" w:rsidRDefault="00FE034E" w:rsidP="007E18EE">
      <w:pPr>
        <w:bidi/>
        <w:rPr>
          <w:rtl/>
        </w:rPr>
      </w:pPr>
    </w:p>
    <w:p w:rsidR="007E18EE" w:rsidRDefault="007E18EE" w:rsidP="007E18EE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C04A6B" w:rsidRDefault="002C7213" w:rsidP="00F052F2">
      <w:pPr>
        <w:bidi/>
        <w:spacing w:line="360" w:lineRule="auto"/>
        <w:ind w:right="-101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2C7213">
        <w:rPr>
          <w:rFonts w:cs="David" w:hint="cs"/>
          <w:b/>
          <w:bCs/>
          <w:sz w:val="28"/>
          <w:szCs w:val="28"/>
          <w:u w:val="single"/>
          <w:rtl/>
        </w:rPr>
        <w:t xml:space="preserve">התפתחות החוב במשק </w:t>
      </w:r>
      <w:r w:rsidR="00F052F2">
        <w:rPr>
          <w:rFonts w:cs="David" w:hint="cs"/>
          <w:b/>
          <w:bCs/>
          <w:sz w:val="28"/>
          <w:szCs w:val="28"/>
          <w:u w:val="single"/>
          <w:rtl/>
        </w:rPr>
        <w:t xml:space="preserve">בשנת </w:t>
      </w:r>
      <w:r w:rsidR="00123EF5" w:rsidRPr="00123EF5">
        <w:rPr>
          <w:rFonts w:cs="David" w:hint="cs"/>
          <w:b/>
          <w:bCs/>
          <w:sz w:val="28"/>
          <w:szCs w:val="28"/>
          <w:u w:val="single"/>
          <w:rtl/>
        </w:rPr>
        <w:t>2013</w:t>
      </w:r>
    </w:p>
    <w:p w:rsidR="00123EF5" w:rsidRPr="00123EF5" w:rsidRDefault="00123EF5" w:rsidP="00123EF5">
      <w:pPr>
        <w:numPr>
          <w:ilvl w:val="0"/>
          <w:numId w:val="9"/>
        </w:numPr>
        <w:bidi/>
        <w:spacing w:line="360" w:lineRule="auto"/>
        <w:jc w:val="both"/>
        <w:outlineLvl w:val="0"/>
        <w:rPr>
          <w:rFonts w:cs="David"/>
          <w:b/>
          <w:bCs/>
          <w:sz w:val="24"/>
          <w:szCs w:val="24"/>
          <w:u w:val="single"/>
          <w:rtl/>
          <w:lang w:eastAsia="en-US"/>
        </w:rPr>
      </w:pPr>
      <w:r w:rsidRPr="00123EF5">
        <w:rPr>
          <w:rFonts w:cs="David" w:hint="cs"/>
          <w:b/>
          <w:bCs/>
          <w:sz w:val="24"/>
          <w:szCs w:val="24"/>
          <w:u w:val="single"/>
          <w:rtl/>
          <w:lang w:eastAsia="en-US"/>
        </w:rPr>
        <w:t>תמצית הדברים</w:t>
      </w:r>
    </w:p>
    <w:p w:rsidR="00123EF5" w:rsidRPr="00123EF5" w:rsidRDefault="00123EF5" w:rsidP="00123EF5">
      <w:pPr>
        <w:numPr>
          <w:ilvl w:val="0"/>
          <w:numId w:val="7"/>
        </w:numPr>
        <w:bidi/>
        <w:spacing w:line="360" w:lineRule="auto"/>
        <w:jc w:val="both"/>
        <w:rPr>
          <w:rFonts w:cs="David"/>
          <w:sz w:val="24"/>
          <w:szCs w:val="24"/>
          <w:lang w:eastAsia="en-US"/>
        </w:rPr>
      </w:pPr>
      <w:r w:rsidRPr="00123EF5">
        <w:rPr>
          <w:rFonts w:cs="David" w:hint="cs"/>
          <w:sz w:val="24"/>
          <w:szCs w:val="24"/>
          <w:rtl/>
          <w:lang w:eastAsia="en-US"/>
        </w:rPr>
        <w:t xml:space="preserve">בשנת 2013 גדלה </w:t>
      </w:r>
      <w:r w:rsidRPr="00EA118A">
        <w:rPr>
          <w:rFonts w:cs="David" w:hint="cs"/>
          <w:b/>
          <w:bCs/>
          <w:sz w:val="24"/>
          <w:szCs w:val="24"/>
          <w:rtl/>
          <w:lang w:eastAsia="en-US"/>
        </w:rPr>
        <w:t>יתרת החוב במשק הישראלי</w:t>
      </w:r>
      <w:r w:rsidRPr="00123EF5">
        <w:rPr>
          <w:rFonts w:cs="David" w:hint="cs"/>
          <w:sz w:val="24"/>
          <w:szCs w:val="24"/>
          <w:rtl/>
          <w:lang w:eastAsia="en-US"/>
        </w:rPr>
        <w:t xml:space="preserve"> בכ-43 מיליארדי ש"ח (2.3%) לרמה של כ-1.9 טריליוני ש"ח. זאת עקב  גיוסים נטו של כ-67 מיליארדים, רובם של הממשלה ומשקי בית, אשר קוזזו בחלקם ע"י ייסוף שע"ח של כ-7% שהביא לירידה בשווי השקלי של החוב במט"ח.</w:t>
      </w:r>
    </w:p>
    <w:p w:rsidR="00123EF5" w:rsidRPr="00123EF5" w:rsidRDefault="00123EF5" w:rsidP="00EA118A">
      <w:pPr>
        <w:numPr>
          <w:ilvl w:val="0"/>
          <w:numId w:val="7"/>
        </w:numPr>
        <w:bidi/>
        <w:spacing w:line="360" w:lineRule="auto"/>
        <w:jc w:val="both"/>
        <w:rPr>
          <w:rFonts w:cs="David"/>
          <w:sz w:val="24"/>
          <w:szCs w:val="24"/>
          <w:lang w:eastAsia="en-US"/>
        </w:rPr>
      </w:pPr>
      <w:r w:rsidRPr="00123EF5">
        <w:rPr>
          <w:rFonts w:cs="David" w:hint="cs"/>
          <w:sz w:val="24"/>
          <w:szCs w:val="24"/>
          <w:rtl/>
          <w:lang w:eastAsia="en-US"/>
        </w:rPr>
        <w:t xml:space="preserve">חלה ירידה של 16 מיליארדי ש"ח </w:t>
      </w:r>
      <w:r w:rsidRPr="00EA118A">
        <w:rPr>
          <w:rFonts w:cs="David" w:hint="cs"/>
          <w:b/>
          <w:bCs/>
          <w:sz w:val="24"/>
          <w:szCs w:val="24"/>
          <w:rtl/>
          <w:lang w:eastAsia="en-US"/>
        </w:rPr>
        <w:t>בחוב המגזר העסקי</w:t>
      </w:r>
      <w:r w:rsidRPr="00EA118A">
        <w:rPr>
          <w:rFonts w:cs="David" w:hint="cs"/>
          <w:sz w:val="24"/>
          <w:szCs w:val="24"/>
          <w:rtl/>
          <w:lang w:eastAsia="en-US"/>
        </w:rPr>
        <w:t>,</w:t>
      </w:r>
      <w:r w:rsidRPr="00123EF5">
        <w:rPr>
          <w:rFonts w:cs="David" w:hint="cs"/>
          <w:sz w:val="24"/>
          <w:szCs w:val="24"/>
          <w:rtl/>
          <w:lang w:eastAsia="en-US"/>
        </w:rPr>
        <w:t xml:space="preserve"> לרמה של כ-778 מיליארדי ש"ח (2%-</w:t>
      </w:r>
      <w:r w:rsidR="00EA118A">
        <w:rPr>
          <w:rFonts w:cs="David" w:hint="cs"/>
          <w:sz w:val="24"/>
          <w:szCs w:val="24"/>
          <w:rtl/>
          <w:lang w:eastAsia="en-US"/>
        </w:rPr>
        <w:t xml:space="preserve">) </w:t>
      </w:r>
      <w:r w:rsidRPr="00123EF5">
        <w:rPr>
          <w:rFonts w:cs="David" w:hint="cs"/>
          <w:sz w:val="24"/>
          <w:szCs w:val="24"/>
          <w:rtl/>
          <w:lang w:eastAsia="en-US"/>
        </w:rPr>
        <w:t xml:space="preserve">לעומתה </w:t>
      </w:r>
      <w:r w:rsidRPr="00EA118A">
        <w:rPr>
          <w:rFonts w:cs="David" w:hint="cs"/>
          <w:b/>
          <w:bCs/>
          <w:sz w:val="24"/>
          <w:szCs w:val="24"/>
          <w:rtl/>
          <w:lang w:eastAsia="en-US"/>
        </w:rPr>
        <w:t>יתרת החוב של משקי בית</w:t>
      </w:r>
      <w:r w:rsidRPr="00123EF5">
        <w:rPr>
          <w:rFonts w:cs="David" w:hint="cs"/>
          <w:sz w:val="24"/>
          <w:szCs w:val="24"/>
          <w:rtl/>
          <w:lang w:eastAsia="en-US"/>
        </w:rPr>
        <w:t xml:space="preserve"> גדלה במהלך 2013 בכ-27 מיליארדי ש"ח (7.1%) ועמדה בסוף השנה על כ-410 מיליארדים.</w:t>
      </w:r>
    </w:p>
    <w:p w:rsidR="00123EF5" w:rsidRPr="00123EF5" w:rsidRDefault="00123EF5" w:rsidP="00123EF5">
      <w:pPr>
        <w:numPr>
          <w:ilvl w:val="0"/>
          <w:numId w:val="7"/>
        </w:numPr>
        <w:bidi/>
        <w:spacing w:line="360" w:lineRule="auto"/>
        <w:jc w:val="both"/>
        <w:rPr>
          <w:rFonts w:cs="David"/>
          <w:sz w:val="24"/>
          <w:szCs w:val="24"/>
          <w:lang w:eastAsia="en-US"/>
        </w:rPr>
      </w:pPr>
      <w:r w:rsidRPr="00123EF5">
        <w:rPr>
          <w:rFonts w:cs="David" w:hint="cs"/>
          <w:sz w:val="24"/>
          <w:szCs w:val="24"/>
          <w:rtl/>
          <w:lang w:eastAsia="en-US"/>
        </w:rPr>
        <w:t xml:space="preserve">בשנת 2013 </w:t>
      </w:r>
      <w:r w:rsidRPr="00EA118A">
        <w:rPr>
          <w:rFonts w:cs="David" w:hint="cs"/>
          <w:b/>
          <w:bCs/>
          <w:sz w:val="24"/>
          <w:szCs w:val="24"/>
          <w:rtl/>
          <w:lang w:eastAsia="en-US"/>
        </w:rPr>
        <w:t>הנפיק המגזר העסקי</w:t>
      </w:r>
      <w:r w:rsidRPr="00123EF5">
        <w:rPr>
          <w:rFonts w:cs="David" w:hint="cs"/>
          <w:sz w:val="24"/>
          <w:szCs w:val="24"/>
          <w:rtl/>
          <w:lang w:eastAsia="en-US"/>
        </w:rPr>
        <w:t xml:space="preserve"> (ללא בנקים וביטוח) אג"ח בשווי של כ-30 מיליארדי ש"ח, רובן באמצעות אג"ח סחיר, כ-2 מיליארד יותר מ-2012. </w:t>
      </w:r>
    </w:p>
    <w:p w:rsidR="00123EF5" w:rsidRPr="00123EF5" w:rsidRDefault="00123EF5" w:rsidP="00123EF5">
      <w:pPr>
        <w:numPr>
          <w:ilvl w:val="0"/>
          <w:numId w:val="7"/>
        </w:numPr>
        <w:bidi/>
        <w:spacing w:line="360" w:lineRule="auto"/>
        <w:jc w:val="both"/>
        <w:rPr>
          <w:rFonts w:cs="David"/>
          <w:sz w:val="24"/>
          <w:szCs w:val="24"/>
          <w:rtl/>
          <w:lang w:eastAsia="en-US"/>
        </w:rPr>
      </w:pPr>
      <w:r w:rsidRPr="00123EF5">
        <w:rPr>
          <w:rFonts w:cs="David" w:hint="cs"/>
          <w:sz w:val="24"/>
          <w:szCs w:val="24"/>
          <w:rtl/>
          <w:lang w:eastAsia="en-US"/>
        </w:rPr>
        <w:t xml:space="preserve">בשנת 2013 נרשמו </w:t>
      </w:r>
      <w:r w:rsidRPr="00EA118A">
        <w:rPr>
          <w:rFonts w:cs="David" w:hint="cs"/>
          <w:b/>
          <w:bCs/>
          <w:sz w:val="24"/>
          <w:szCs w:val="24"/>
          <w:rtl/>
          <w:lang w:eastAsia="en-US"/>
        </w:rPr>
        <w:t>ביצועי משכנתאות</w:t>
      </w:r>
      <w:r w:rsidRPr="00123EF5">
        <w:rPr>
          <w:rFonts w:cs="David" w:hint="cs"/>
          <w:sz w:val="24"/>
          <w:szCs w:val="24"/>
          <w:rtl/>
          <w:lang w:eastAsia="en-US"/>
        </w:rPr>
        <w:t xml:space="preserve"> בסך של כ-51.7 מיליארדים, זאת לעומת כ-46.7 מיליארדים בשנת 2012.</w:t>
      </w:r>
    </w:p>
    <w:p w:rsidR="00123EF5" w:rsidRDefault="00123EF5" w:rsidP="00123EF5">
      <w:pPr>
        <w:spacing w:line="360" w:lineRule="auto"/>
        <w:ind w:left="4"/>
        <w:jc w:val="both"/>
        <w:rPr>
          <w:b/>
          <w:bCs/>
          <w:u w:val="single"/>
          <w:rtl/>
        </w:rPr>
      </w:pPr>
    </w:p>
    <w:p w:rsidR="00123EF5" w:rsidRPr="00123EF5" w:rsidRDefault="00123EF5" w:rsidP="00123EF5">
      <w:pPr>
        <w:numPr>
          <w:ilvl w:val="0"/>
          <w:numId w:val="9"/>
        </w:numPr>
        <w:bidi/>
        <w:spacing w:line="360" w:lineRule="auto"/>
        <w:jc w:val="both"/>
        <w:outlineLvl w:val="0"/>
        <w:rPr>
          <w:rFonts w:cs="David"/>
          <w:b/>
          <w:bCs/>
          <w:sz w:val="24"/>
          <w:szCs w:val="24"/>
          <w:u w:val="single"/>
          <w:lang w:eastAsia="en-US"/>
        </w:rPr>
      </w:pPr>
      <w:r w:rsidRPr="00123EF5">
        <w:rPr>
          <w:rFonts w:cs="David" w:hint="cs"/>
          <w:b/>
          <w:bCs/>
          <w:sz w:val="24"/>
          <w:szCs w:val="24"/>
          <w:u w:val="single"/>
          <w:rtl/>
          <w:lang w:eastAsia="en-US"/>
        </w:rPr>
        <w:t>יתרות החוב של המגזר העסקי</w:t>
      </w:r>
    </w:p>
    <w:p w:rsidR="00123EF5" w:rsidRPr="00123EF5" w:rsidRDefault="00123EF5" w:rsidP="00123EF5">
      <w:pPr>
        <w:numPr>
          <w:ilvl w:val="0"/>
          <w:numId w:val="7"/>
        </w:numPr>
        <w:bidi/>
        <w:spacing w:line="360" w:lineRule="auto"/>
        <w:jc w:val="both"/>
        <w:rPr>
          <w:rFonts w:cs="David"/>
          <w:sz w:val="24"/>
          <w:szCs w:val="24"/>
          <w:rtl/>
          <w:lang w:eastAsia="en-US"/>
        </w:rPr>
      </w:pPr>
      <w:r w:rsidRPr="00123EF5">
        <w:rPr>
          <w:rFonts w:cs="David" w:hint="cs"/>
          <w:sz w:val="24"/>
          <w:szCs w:val="24"/>
          <w:rtl/>
          <w:lang w:eastAsia="en-US"/>
        </w:rPr>
        <w:t xml:space="preserve">במהלך השנה חלה ירידה של 16 מיליארדי ש"ח </w:t>
      </w:r>
      <w:r w:rsidRPr="00EA118A">
        <w:rPr>
          <w:rFonts w:cs="David" w:hint="cs"/>
          <w:b/>
          <w:bCs/>
          <w:sz w:val="24"/>
          <w:szCs w:val="24"/>
          <w:rtl/>
          <w:lang w:eastAsia="en-US"/>
        </w:rPr>
        <w:t>בחוב המגזר העסקי</w:t>
      </w:r>
      <w:r w:rsidRPr="00123EF5">
        <w:rPr>
          <w:rFonts w:cs="David" w:hint="cs"/>
          <w:sz w:val="24"/>
          <w:szCs w:val="24"/>
          <w:rtl/>
          <w:lang w:eastAsia="en-US"/>
        </w:rPr>
        <w:t xml:space="preserve">, לרמה של כ-778 מיליארדי ש"ח (2%-). הירידה בחוב נבעה בעיקר מייסוף שע"ח, בעוד שגיוסי החוב הסתכמו בכ-3 מיליארדי ש"ח (0.4%). הגיוסים התרכזו באשראי מחו"ל ובהלוואות הישירות של המוסדיים למגזר העסקי וקוזזו בחלקם על ידי פירעונות של האשראי הבנקאי ואג"ח לא סחיר. </w:t>
      </w:r>
    </w:p>
    <w:p w:rsidR="00123EF5" w:rsidRPr="00123EF5" w:rsidRDefault="00123EF5" w:rsidP="00123EF5">
      <w:pPr>
        <w:numPr>
          <w:ilvl w:val="0"/>
          <w:numId w:val="7"/>
        </w:numPr>
        <w:bidi/>
        <w:spacing w:line="360" w:lineRule="auto"/>
        <w:jc w:val="both"/>
        <w:rPr>
          <w:rFonts w:cs="David"/>
          <w:sz w:val="24"/>
          <w:szCs w:val="24"/>
          <w:lang w:eastAsia="en-US"/>
        </w:rPr>
      </w:pPr>
      <w:r w:rsidRPr="00EA118A">
        <w:rPr>
          <w:rFonts w:cs="David" w:hint="cs"/>
          <w:b/>
          <w:bCs/>
          <w:sz w:val="24"/>
          <w:szCs w:val="24"/>
          <w:rtl/>
          <w:lang w:eastAsia="en-US"/>
        </w:rPr>
        <w:t>יחס החוב של המגזר העסקי לתוצר העסקי</w:t>
      </w:r>
      <w:r w:rsidRPr="00123EF5">
        <w:rPr>
          <w:rFonts w:cs="David" w:hint="cs"/>
          <w:sz w:val="24"/>
          <w:szCs w:val="24"/>
          <w:rtl/>
          <w:lang w:eastAsia="en-US"/>
        </w:rPr>
        <w:t xml:space="preserve"> עמד בסוף 2013 על 101%, ירידה של כ-7 נק' אחוז מתחילת השנה, שילוב של ירידה בחוב ועלייה בתוצר. ירידה זו היא המשך של מגמת הירידה ביחס החוב שהחלה בסוף הרביע הראשון של 2008 והסתכמה מאז ב-29 נק' אחוז.</w:t>
      </w:r>
    </w:p>
    <w:p w:rsidR="00123EF5" w:rsidRPr="00123EF5" w:rsidRDefault="00123EF5" w:rsidP="00123EF5">
      <w:pPr>
        <w:numPr>
          <w:ilvl w:val="0"/>
          <w:numId w:val="7"/>
        </w:numPr>
        <w:bidi/>
        <w:spacing w:line="360" w:lineRule="auto"/>
        <w:jc w:val="both"/>
        <w:rPr>
          <w:rFonts w:cs="David"/>
          <w:sz w:val="24"/>
          <w:szCs w:val="24"/>
          <w:lang w:eastAsia="en-US"/>
        </w:rPr>
      </w:pPr>
      <w:r w:rsidRPr="00EA118A">
        <w:rPr>
          <w:rFonts w:cs="David" w:hint="cs"/>
          <w:b/>
          <w:bCs/>
          <w:sz w:val="24"/>
          <w:szCs w:val="24"/>
          <w:rtl/>
          <w:lang w:eastAsia="en-US"/>
        </w:rPr>
        <w:t>מנתוני התפלגות החוב הבנקאי לפי סקטורים</w:t>
      </w:r>
      <w:r w:rsidRPr="00123EF5">
        <w:rPr>
          <w:rFonts w:cs="David" w:hint="cs"/>
          <w:sz w:val="24"/>
          <w:szCs w:val="24"/>
          <w:rtl/>
          <w:lang w:eastAsia="en-US"/>
        </w:rPr>
        <w:t xml:space="preserve"> עולה, כי בשנתיים  האחרונות חלה תחלופה מסוימת בין האשראי שהעמידו הבנקים למגזר העסקי לבין האשראי למשקי הבית: מסוף 2011 ירדה יתרת החוב של המגזר העסקי לבנקים מרמה של 405 מיליארדי ש"ח לרמה של 390 מיליארדים. מנגד עלתה יתרת החוב של משקי הבית לבנקים מכ-320 מיליארדים לכ-370 מיליארדים. רוב העלייה בחוב של משקי הבית מקורה באשראי לדיור.</w:t>
      </w:r>
    </w:p>
    <w:p w:rsidR="00123EF5" w:rsidRDefault="00123EF5" w:rsidP="003A7BCA">
      <w:pPr>
        <w:spacing w:line="360" w:lineRule="auto"/>
        <w:ind w:left="-567"/>
        <w:jc w:val="center"/>
        <w:outlineLvl w:val="0"/>
      </w:pPr>
      <w:r>
        <w:rPr>
          <w:noProof/>
          <w:lang w:eastAsia="en-US"/>
        </w:rPr>
        <w:lastRenderedPageBreak/>
        <w:drawing>
          <wp:inline distT="0" distB="0" distL="0" distR="0">
            <wp:extent cx="6026785" cy="4651375"/>
            <wp:effectExtent l="0" t="0" r="0" b="0"/>
            <wp:docPr id="23" name="תמונה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85" cy="465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2F5" w:rsidRDefault="009772F5" w:rsidP="00123EF5">
      <w:pPr>
        <w:spacing w:line="360" w:lineRule="auto"/>
        <w:jc w:val="both"/>
        <w:outlineLvl w:val="0"/>
      </w:pPr>
    </w:p>
    <w:p w:rsidR="00123EF5" w:rsidRDefault="00123EF5" w:rsidP="003A7BCA">
      <w:pPr>
        <w:spacing w:line="360" w:lineRule="auto"/>
        <w:ind w:left="-142"/>
        <w:jc w:val="center"/>
        <w:outlineLvl w:val="0"/>
        <w:rPr>
          <w:rtl/>
        </w:rPr>
      </w:pPr>
      <w:r>
        <w:rPr>
          <w:noProof/>
          <w:lang w:eastAsia="en-US"/>
        </w:rPr>
        <w:drawing>
          <wp:inline distT="0" distB="0" distL="0" distR="0">
            <wp:extent cx="5486400" cy="3665855"/>
            <wp:effectExtent l="0" t="0" r="0" b="0"/>
            <wp:docPr id="22" name="תמונה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6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EF5" w:rsidRDefault="00123EF5" w:rsidP="003A7BCA">
      <w:pPr>
        <w:spacing w:line="360" w:lineRule="auto"/>
        <w:jc w:val="both"/>
        <w:outlineLvl w:val="0"/>
      </w:pPr>
      <w:r>
        <w:rPr>
          <w:noProof/>
          <w:lang w:eastAsia="en-US"/>
        </w:rPr>
        <w:lastRenderedPageBreak/>
        <w:drawing>
          <wp:inline distT="0" distB="0" distL="0" distR="0">
            <wp:extent cx="5486400" cy="3721100"/>
            <wp:effectExtent l="0" t="0" r="0" b="0"/>
            <wp:docPr id="19" name="תמונה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2F5" w:rsidRDefault="009772F5" w:rsidP="00123EF5">
      <w:pPr>
        <w:spacing w:line="360" w:lineRule="auto"/>
        <w:ind w:left="360"/>
        <w:jc w:val="both"/>
        <w:outlineLvl w:val="0"/>
        <w:rPr>
          <w:rtl/>
        </w:rPr>
      </w:pPr>
    </w:p>
    <w:p w:rsidR="00123EF5" w:rsidRDefault="00123EF5" w:rsidP="003A7BCA">
      <w:pPr>
        <w:spacing w:line="360" w:lineRule="auto"/>
        <w:ind w:left="142"/>
        <w:jc w:val="both"/>
        <w:outlineLvl w:val="0"/>
        <w:rPr>
          <w:rtl/>
        </w:rPr>
      </w:pPr>
      <w:r>
        <w:rPr>
          <w:noProof/>
          <w:lang w:eastAsia="en-US"/>
        </w:rPr>
        <w:drawing>
          <wp:inline distT="0" distB="0" distL="0" distR="0">
            <wp:extent cx="5486400" cy="3124835"/>
            <wp:effectExtent l="0" t="0" r="0" b="0"/>
            <wp:docPr id="18" name="תמונה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2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EF5" w:rsidRDefault="00123EF5" w:rsidP="00123EF5">
      <w:pPr>
        <w:spacing w:line="360" w:lineRule="auto"/>
        <w:ind w:left="360"/>
        <w:jc w:val="both"/>
        <w:outlineLvl w:val="0"/>
      </w:pPr>
      <w:r>
        <w:rPr>
          <w:rtl/>
        </w:rPr>
        <w:br w:type="page"/>
      </w:r>
    </w:p>
    <w:p w:rsidR="00123EF5" w:rsidRPr="00123EF5" w:rsidRDefault="00123EF5" w:rsidP="00123EF5">
      <w:pPr>
        <w:numPr>
          <w:ilvl w:val="0"/>
          <w:numId w:val="9"/>
        </w:numPr>
        <w:bidi/>
        <w:spacing w:line="360" w:lineRule="auto"/>
        <w:jc w:val="both"/>
        <w:outlineLvl w:val="0"/>
        <w:rPr>
          <w:rFonts w:cs="David"/>
          <w:b/>
          <w:bCs/>
          <w:sz w:val="24"/>
          <w:szCs w:val="24"/>
          <w:u w:val="single"/>
          <w:lang w:eastAsia="en-US"/>
        </w:rPr>
      </w:pPr>
      <w:r w:rsidRPr="00123EF5">
        <w:rPr>
          <w:rFonts w:cs="David" w:hint="cs"/>
          <w:b/>
          <w:bCs/>
          <w:sz w:val="24"/>
          <w:szCs w:val="24"/>
          <w:u w:val="single"/>
          <w:rtl/>
          <w:lang w:eastAsia="en-US"/>
        </w:rPr>
        <w:lastRenderedPageBreak/>
        <w:t>הנפקות אג"ח חברות</w:t>
      </w:r>
    </w:p>
    <w:p w:rsidR="00123EF5" w:rsidRPr="00123EF5" w:rsidRDefault="00123EF5" w:rsidP="00123EF5">
      <w:pPr>
        <w:numPr>
          <w:ilvl w:val="0"/>
          <w:numId w:val="7"/>
        </w:numPr>
        <w:bidi/>
        <w:spacing w:line="360" w:lineRule="auto"/>
        <w:jc w:val="both"/>
        <w:rPr>
          <w:rFonts w:cs="David"/>
          <w:sz w:val="24"/>
          <w:szCs w:val="24"/>
          <w:lang w:eastAsia="en-US"/>
        </w:rPr>
      </w:pPr>
      <w:r w:rsidRPr="00123EF5">
        <w:rPr>
          <w:rFonts w:cs="David" w:hint="cs"/>
          <w:sz w:val="24"/>
          <w:szCs w:val="24"/>
          <w:rtl/>
          <w:lang w:eastAsia="en-US"/>
        </w:rPr>
        <w:t xml:space="preserve">בשנת 2013 </w:t>
      </w:r>
      <w:r w:rsidRPr="00EA118A">
        <w:rPr>
          <w:rFonts w:cs="David" w:hint="cs"/>
          <w:b/>
          <w:bCs/>
          <w:sz w:val="24"/>
          <w:szCs w:val="24"/>
          <w:rtl/>
          <w:lang w:eastAsia="en-US"/>
        </w:rPr>
        <w:t>הנפיק המגזר העסקי</w:t>
      </w:r>
      <w:r w:rsidRPr="00123EF5">
        <w:rPr>
          <w:rFonts w:cs="David" w:hint="cs"/>
          <w:sz w:val="24"/>
          <w:szCs w:val="24"/>
          <w:rtl/>
          <w:lang w:eastAsia="en-US"/>
        </w:rPr>
        <w:t xml:space="preserve"> (ללא בנקים וביטוח) אג"ח בשווי של כ-30 מיליארדי ש"ח, רובן באמצעות אג"ח סחיר, כ-2 מיליארד יותר מ-2012. ממוצע ההנפקות החודשי מתחילת השנה עמד על כ-2.5 מיליארדי ש"ח. </w:t>
      </w:r>
    </w:p>
    <w:p w:rsidR="00123EF5" w:rsidRPr="00123EF5" w:rsidRDefault="00123EF5" w:rsidP="00743447">
      <w:pPr>
        <w:numPr>
          <w:ilvl w:val="0"/>
          <w:numId w:val="7"/>
        </w:numPr>
        <w:bidi/>
        <w:spacing w:line="360" w:lineRule="auto"/>
        <w:jc w:val="both"/>
        <w:rPr>
          <w:rFonts w:cs="David"/>
          <w:sz w:val="24"/>
          <w:szCs w:val="24"/>
          <w:lang w:eastAsia="en-US"/>
        </w:rPr>
      </w:pPr>
      <w:r w:rsidRPr="00EA118A">
        <w:rPr>
          <w:rFonts w:cs="David" w:hint="cs"/>
          <w:b/>
          <w:bCs/>
          <w:sz w:val="24"/>
          <w:szCs w:val="24"/>
          <w:rtl/>
          <w:lang w:eastAsia="en-US"/>
        </w:rPr>
        <w:t>בנטרול אג"ח של חברות ממשלתיות</w:t>
      </w:r>
      <w:r w:rsidRPr="00123EF5">
        <w:rPr>
          <w:rFonts w:cs="David" w:hint="cs"/>
          <w:sz w:val="24"/>
          <w:szCs w:val="24"/>
          <w:rtl/>
          <w:lang w:eastAsia="en-US"/>
        </w:rPr>
        <w:t xml:space="preserve"> חל גידול בולט יותר בהנפקות </w:t>
      </w:r>
      <w:proofErr w:type="spellStart"/>
      <w:r w:rsidRPr="00123EF5">
        <w:rPr>
          <w:rFonts w:cs="David" w:hint="cs"/>
          <w:sz w:val="24"/>
          <w:szCs w:val="24"/>
          <w:rtl/>
          <w:lang w:eastAsia="en-US"/>
        </w:rPr>
        <w:t>הקונצרניות</w:t>
      </w:r>
      <w:proofErr w:type="spellEnd"/>
      <w:r w:rsidRPr="00123EF5">
        <w:rPr>
          <w:rFonts w:cs="David" w:hint="cs"/>
          <w:sz w:val="24"/>
          <w:szCs w:val="24"/>
          <w:rtl/>
          <w:lang w:eastAsia="en-US"/>
        </w:rPr>
        <w:t>, שכן ה</w:t>
      </w:r>
      <w:r w:rsidR="00743447">
        <w:rPr>
          <w:rFonts w:cs="David" w:hint="cs"/>
          <w:sz w:val="24"/>
          <w:szCs w:val="24"/>
          <w:rtl/>
          <w:lang w:eastAsia="en-US"/>
        </w:rPr>
        <w:t>ה</w:t>
      </w:r>
      <w:r w:rsidRPr="00123EF5">
        <w:rPr>
          <w:rFonts w:cs="David" w:hint="cs"/>
          <w:sz w:val="24"/>
          <w:szCs w:val="24"/>
          <w:rtl/>
          <w:lang w:eastAsia="en-US"/>
        </w:rPr>
        <w:t xml:space="preserve">נפקות </w:t>
      </w:r>
      <w:r w:rsidR="00743447">
        <w:rPr>
          <w:rFonts w:cs="David" w:hint="cs"/>
          <w:sz w:val="24"/>
          <w:szCs w:val="24"/>
          <w:rtl/>
          <w:lang w:eastAsia="en-US"/>
        </w:rPr>
        <w:t>הממשלתיות</w:t>
      </w:r>
      <w:r w:rsidRPr="00123EF5">
        <w:rPr>
          <w:rFonts w:cs="David" w:hint="cs"/>
          <w:sz w:val="24"/>
          <w:szCs w:val="24"/>
          <w:rtl/>
          <w:lang w:eastAsia="en-US"/>
        </w:rPr>
        <w:t xml:space="preserve"> קטנו מכ-10 מיליארדי ש"ח ב-2012 ל-2 מיליארדים בלבד ב-2013.</w:t>
      </w:r>
    </w:p>
    <w:p w:rsidR="00123EF5" w:rsidRPr="00123EF5" w:rsidRDefault="00123EF5" w:rsidP="00123EF5">
      <w:pPr>
        <w:numPr>
          <w:ilvl w:val="0"/>
          <w:numId w:val="7"/>
        </w:numPr>
        <w:bidi/>
        <w:spacing w:line="360" w:lineRule="auto"/>
        <w:jc w:val="both"/>
        <w:rPr>
          <w:rFonts w:cs="David"/>
          <w:sz w:val="24"/>
          <w:szCs w:val="24"/>
          <w:lang w:eastAsia="en-US"/>
        </w:rPr>
      </w:pPr>
      <w:r w:rsidRPr="00EA118A">
        <w:rPr>
          <w:rFonts w:cs="David" w:hint="cs"/>
          <w:b/>
          <w:bCs/>
          <w:sz w:val="24"/>
          <w:szCs w:val="24"/>
          <w:rtl/>
          <w:lang w:eastAsia="en-US"/>
        </w:rPr>
        <w:t>בענף הנדל"ן</w:t>
      </w:r>
      <w:r w:rsidRPr="00123EF5">
        <w:rPr>
          <w:rFonts w:cs="David" w:hint="cs"/>
          <w:sz w:val="24"/>
          <w:szCs w:val="24"/>
          <w:rtl/>
          <w:lang w:eastAsia="en-US"/>
        </w:rPr>
        <w:t xml:space="preserve"> חל גידול של כ-60% בהנפקות לעומת 2012, כך שעמדו ב-2013 על כ-16 מיליארד. לעומתו חלה ירידה בהיקף הגיוס בענפי הפיננסים (55%-, 4.9 מ') והמסחר והשרותים (34%-, 7.4 מ').</w:t>
      </w:r>
    </w:p>
    <w:p w:rsidR="00123EF5" w:rsidRDefault="00123EF5" w:rsidP="00123EF5">
      <w:pPr>
        <w:spacing w:line="360" w:lineRule="auto"/>
        <w:ind w:left="360"/>
        <w:jc w:val="both"/>
        <w:outlineLvl w:val="0"/>
      </w:pPr>
    </w:p>
    <w:p w:rsidR="00123EF5" w:rsidRDefault="00123EF5" w:rsidP="00123EF5">
      <w:pPr>
        <w:spacing w:line="360" w:lineRule="auto"/>
        <w:jc w:val="both"/>
        <w:outlineLvl w:val="0"/>
      </w:pPr>
      <w:r>
        <w:rPr>
          <w:noProof/>
          <w:lang w:eastAsia="en-US"/>
        </w:rPr>
        <w:drawing>
          <wp:inline distT="0" distB="0" distL="0" distR="0">
            <wp:extent cx="5486400" cy="2830830"/>
            <wp:effectExtent l="0" t="0" r="0" b="7620"/>
            <wp:docPr id="17" name="תמונה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EF5" w:rsidRPr="00C22B79" w:rsidRDefault="00123EF5" w:rsidP="00123EF5">
      <w:pPr>
        <w:spacing w:line="360" w:lineRule="auto"/>
        <w:ind w:left="360"/>
        <w:jc w:val="both"/>
        <w:outlineLvl w:val="0"/>
      </w:pPr>
    </w:p>
    <w:p w:rsidR="00123EF5" w:rsidRPr="00123EF5" w:rsidRDefault="00123EF5" w:rsidP="00123EF5">
      <w:pPr>
        <w:numPr>
          <w:ilvl w:val="0"/>
          <w:numId w:val="9"/>
        </w:numPr>
        <w:bidi/>
        <w:spacing w:line="360" w:lineRule="auto"/>
        <w:jc w:val="both"/>
        <w:outlineLvl w:val="0"/>
        <w:rPr>
          <w:rFonts w:cs="David"/>
          <w:b/>
          <w:bCs/>
          <w:sz w:val="24"/>
          <w:szCs w:val="24"/>
          <w:u w:val="single"/>
          <w:lang w:eastAsia="en-US"/>
        </w:rPr>
      </w:pPr>
      <w:r w:rsidRPr="00123EF5">
        <w:rPr>
          <w:rFonts w:cs="David" w:hint="cs"/>
          <w:b/>
          <w:bCs/>
          <w:sz w:val="24"/>
          <w:szCs w:val="24"/>
          <w:u w:val="single"/>
          <w:rtl/>
          <w:lang w:eastAsia="en-US"/>
        </w:rPr>
        <w:t>חוב משקי הבית</w:t>
      </w:r>
    </w:p>
    <w:p w:rsidR="00123EF5" w:rsidRPr="00123EF5" w:rsidRDefault="00123EF5" w:rsidP="00123EF5">
      <w:pPr>
        <w:numPr>
          <w:ilvl w:val="0"/>
          <w:numId w:val="7"/>
        </w:numPr>
        <w:bidi/>
        <w:spacing w:line="360" w:lineRule="auto"/>
        <w:jc w:val="both"/>
        <w:rPr>
          <w:rFonts w:cs="David"/>
          <w:sz w:val="24"/>
          <w:szCs w:val="24"/>
          <w:lang w:eastAsia="en-US"/>
        </w:rPr>
      </w:pPr>
      <w:r w:rsidRPr="00EA118A">
        <w:rPr>
          <w:rFonts w:cs="David" w:hint="cs"/>
          <w:b/>
          <w:bCs/>
          <w:sz w:val="24"/>
          <w:szCs w:val="24"/>
          <w:rtl/>
          <w:lang w:eastAsia="en-US"/>
        </w:rPr>
        <w:t>יתרת החוב של משקי בית</w:t>
      </w:r>
      <w:r w:rsidRPr="00123EF5">
        <w:rPr>
          <w:rFonts w:cs="David" w:hint="cs"/>
          <w:sz w:val="24"/>
          <w:szCs w:val="24"/>
          <w:rtl/>
          <w:lang w:eastAsia="en-US"/>
        </w:rPr>
        <w:t xml:space="preserve"> גדלה במהלך 2013 בכ-27 מיליארדי ש"ח (7.1%) ועמדה בסוף השנה על כ-410 מיליארדים. הגידול ביתרת החוב נבע מגיוס חוב חדש מהבנקים. החוב לדיור גדל מתחילת השנה בכ-19 מיליארדי ש"ח (7.3%), רובו נובע מגיוס חוב נטו של כ-16 מיליארדים, קצב  הדומה לקצב הגידול בו בשנתיים הקודמות.</w:t>
      </w:r>
    </w:p>
    <w:p w:rsidR="00123EF5" w:rsidRPr="00123EF5" w:rsidRDefault="00123EF5" w:rsidP="00123EF5">
      <w:pPr>
        <w:numPr>
          <w:ilvl w:val="0"/>
          <w:numId w:val="7"/>
        </w:numPr>
        <w:bidi/>
        <w:spacing w:line="360" w:lineRule="auto"/>
        <w:jc w:val="both"/>
        <w:rPr>
          <w:rFonts w:cs="David"/>
          <w:sz w:val="24"/>
          <w:szCs w:val="24"/>
          <w:lang w:eastAsia="en-US"/>
        </w:rPr>
      </w:pPr>
      <w:r w:rsidRPr="00123EF5">
        <w:rPr>
          <w:rFonts w:cs="David" w:hint="cs"/>
          <w:sz w:val="24"/>
          <w:szCs w:val="24"/>
          <w:rtl/>
          <w:lang w:eastAsia="en-US"/>
        </w:rPr>
        <w:t xml:space="preserve">בשנת 2013 נרשמו </w:t>
      </w:r>
      <w:r w:rsidRPr="00EA118A">
        <w:rPr>
          <w:rFonts w:cs="David" w:hint="cs"/>
          <w:b/>
          <w:bCs/>
          <w:sz w:val="24"/>
          <w:szCs w:val="24"/>
          <w:rtl/>
          <w:lang w:eastAsia="en-US"/>
        </w:rPr>
        <w:t>ביצועי משכנתאות</w:t>
      </w:r>
      <w:r w:rsidRPr="00123EF5">
        <w:rPr>
          <w:rFonts w:cs="David" w:hint="cs"/>
          <w:sz w:val="24"/>
          <w:szCs w:val="24"/>
          <w:rtl/>
          <w:lang w:eastAsia="en-US"/>
        </w:rPr>
        <w:t xml:space="preserve"> בסך של כ-51.7 מיליארדים, זאת לעומת כ-46.7 מיליארדים בשנת 2012. </w:t>
      </w:r>
    </w:p>
    <w:p w:rsidR="00123EF5" w:rsidRPr="00123EF5" w:rsidRDefault="00123EF5" w:rsidP="00123EF5">
      <w:pPr>
        <w:numPr>
          <w:ilvl w:val="0"/>
          <w:numId w:val="7"/>
        </w:numPr>
        <w:bidi/>
        <w:spacing w:line="360" w:lineRule="auto"/>
        <w:jc w:val="both"/>
        <w:rPr>
          <w:rFonts w:cs="David"/>
          <w:sz w:val="24"/>
          <w:szCs w:val="24"/>
          <w:lang w:eastAsia="en-US"/>
        </w:rPr>
      </w:pPr>
      <w:r w:rsidRPr="00EA118A">
        <w:rPr>
          <w:rFonts w:cs="David" w:hint="cs"/>
          <w:b/>
          <w:bCs/>
          <w:sz w:val="24"/>
          <w:szCs w:val="24"/>
          <w:rtl/>
          <w:lang w:eastAsia="en-US"/>
        </w:rPr>
        <w:t>יחס החוב של משקי הבית לתוצר</w:t>
      </w:r>
      <w:r w:rsidRPr="00123EF5">
        <w:rPr>
          <w:rFonts w:cs="David" w:hint="cs"/>
          <w:sz w:val="24"/>
          <w:szCs w:val="24"/>
          <w:rtl/>
          <w:lang w:eastAsia="en-US"/>
        </w:rPr>
        <w:t xml:space="preserve"> עמד בסוף 2013 על 39.4%, גידול מתון של כ-1 נק' אחוז לעומת סוף 2012. גידול זה נבע מעליית החוב של משקי הבית בקצב גבוה יותר מעליית התוצר.</w:t>
      </w:r>
    </w:p>
    <w:p w:rsidR="00123EF5" w:rsidRDefault="00123EF5" w:rsidP="00123EF5">
      <w:pPr>
        <w:spacing w:line="360" w:lineRule="auto"/>
        <w:jc w:val="both"/>
        <w:outlineLvl w:val="0"/>
      </w:pPr>
      <w:r>
        <w:rPr>
          <w:rFonts w:hint="cs"/>
          <w:noProof/>
          <w:lang w:eastAsia="en-US"/>
        </w:rPr>
        <w:lastRenderedPageBreak/>
        <w:drawing>
          <wp:inline distT="0" distB="0" distL="0" distR="0">
            <wp:extent cx="5828030" cy="4730750"/>
            <wp:effectExtent l="0" t="0" r="1270" b="0"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473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2F5" w:rsidRDefault="009772F5" w:rsidP="00123EF5">
      <w:pPr>
        <w:spacing w:line="360" w:lineRule="auto"/>
        <w:jc w:val="both"/>
        <w:outlineLvl w:val="0"/>
        <w:rPr>
          <w:rtl/>
        </w:rPr>
      </w:pPr>
    </w:p>
    <w:p w:rsidR="00123EF5" w:rsidRDefault="00123EF5" w:rsidP="00123EF5">
      <w:pPr>
        <w:spacing w:line="360" w:lineRule="auto"/>
        <w:jc w:val="both"/>
        <w:outlineLvl w:val="0"/>
        <w:rPr>
          <w:rtl/>
        </w:rPr>
      </w:pPr>
      <w:r>
        <w:rPr>
          <w:noProof/>
          <w:lang w:eastAsia="en-US"/>
        </w:rPr>
        <w:drawing>
          <wp:inline distT="0" distB="0" distL="0" distR="0">
            <wp:extent cx="5486400" cy="3402965"/>
            <wp:effectExtent l="0" t="0" r="0" b="6985"/>
            <wp:docPr id="14" name="תמונה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0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EF5" w:rsidRDefault="00123EF5" w:rsidP="00123EF5">
      <w:pPr>
        <w:spacing w:line="360" w:lineRule="auto"/>
        <w:jc w:val="both"/>
        <w:outlineLvl w:val="0"/>
      </w:pPr>
      <w:r>
        <w:rPr>
          <w:noProof/>
          <w:lang w:eastAsia="en-US"/>
        </w:rPr>
        <w:lastRenderedPageBreak/>
        <w:drawing>
          <wp:inline distT="0" distB="0" distL="0" distR="0">
            <wp:extent cx="5486400" cy="3498850"/>
            <wp:effectExtent l="0" t="0" r="0" b="6350"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2F5" w:rsidRDefault="009772F5" w:rsidP="00123EF5">
      <w:pPr>
        <w:spacing w:line="360" w:lineRule="auto"/>
        <w:jc w:val="both"/>
        <w:outlineLvl w:val="0"/>
        <w:rPr>
          <w:rtl/>
        </w:rPr>
      </w:pPr>
    </w:p>
    <w:p w:rsidR="00123EF5" w:rsidRDefault="00876627" w:rsidP="00123EF5">
      <w:pPr>
        <w:spacing w:line="360" w:lineRule="auto"/>
        <w:jc w:val="both"/>
        <w:outlineLvl w:val="0"/>
        <w:rPr>
          <w:rtl/>
        </w:rPr>
      </w:pPr>
      <w:r w:rsidRPr="00876627">
        <w:rPr>
          <w:noProof/>
          <w:lang w:eastAsia="en-US"/>
        </w:rPr>
        <w:drawing>
          <wp:inline distT="0" distB="0" distL="0" distR="0" wp14:anchorId="77674A17" wp14:editId="509251DC">
            <wp:extent cx="5274310" cy="2808082"/>
            <wp:effectExtent l="0" t="0" r="2540" b="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8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EF5" w:rsidRDefault="00123EF5" w:rsidP="00123EF5">
      <w:pPr>
        <w:spacing w:line="360" w:lineRule="auto"/>
        <w:jc w:val="both"/>
        <w:outlineLvl w:val="0"/>
      </w:pPr>
      <w:r>
        <w:rPr>
          <w:rtl/>
        </w:rPr>
        <w:br w:type="page"/>
      </w:r>
    </w:p>
    <w:p w:rsidR="00123EF5" w:rsidRPr="00123EF5" w:rsidRDefault="00123EF5" w:rsidP="00123EF5">
      <w:pPr>
        <w:numPr>
          <w:ilvl w:val="0"/>
          <w:numId w:val="9"/>
        </w:numPr>
        <w:bidi/>
        <w:spacing w:line="360" w:lineRule="auto"/>
        <w:jc w:val="both"/>
        <w:outlineLvl w:val="0"/>
        <w:rPr>
          <w:rFonts w:cs="David"/>
          <w:b/>
          <w:bCs/>
          <w:sz w:val="24"/>
          <w:szCs w:val="24"/>
          <w:u w:val="single"/>
          <w:lang w:eastAsia="en-US"/>
        </w:rPr>
      </w:pPr>
      <w:r w:rsidRPr="00123EF5">
        <w:rPr>
          <w:rFonts w:cs="David" w:hint="cs"/>
          <w:b/>
          <w:bCs/>
          <w:sz w:val="24"/>
          <w:szCs w:val="24"/>
          <w:u w:val="single"/>
          <w:rtl/>
          <w:lang w:eastAsia="en-US"/>
        </w:rPr>
        <w:lastRenderedPageBreak/>
        <w:t>עלויות החוב במשק</w:t>
      </w:r>
    </w:p>
    <w:p w:rsidR="00123EF5" w:rsidRPr="00B856EF" w:rsidRDefault="00123EF5" w:rsidP="00B856EF">
      <w:pPr>
        <w:numPr>
          <w:ilvl w:val="0"/>
          <w:numId w:val="7"/>
        </w:numPr>
        <w:bidi/>
        <w:spacing w:line="360" w:lineRule="auto"/>
        <w:jc w:val="both"/>
        <w:rPr>
          <w:rFonts w:cs="David"/>
          <w:sz w:val="24"/>
          <w:szCs w:val="24"/>
          <w:lang w:eastAsia="en-US"/>
        </w:rPr>
      </w:pPr>
      <w:r w:rsidRPr="00B856EF">
        <w:rPr>
          <w:rFonts w:cs="David" w:hint="cs"/>
          <w:sz w:val="24"/>
          <w:szCs w:val="24"/>
          <w:rtl/>
          <w:lang w:eastAsia="en-US"/>
        </w:rPr>
        <w:t xml:space="preserve">במהלך שנת 2013 ירדה הריבית על </w:t>
      </w:r>
      <w:r w:rsidRPr="00B856EF">
        <w:rPr>
          <w:rFonts w:cs="David" w:hint="cs"/>
          <w:b/>
          <w:bCs/>
          <w:sz w:val="24"/>
          <w:szCs w:val="24"/>
          <w:rtl/>
          <w:lang w:eastAsia="en-US"/>
        </w:rPr>
        <w:t>האשראי הבנקאי הצמוד</w:t>
      </w:r>
      <w:r w:rsidRPr="00B856EF">
        <w:rPr>
          <w:rFonts w:cs="David" w:hint="cs"/>
          <w:sz w:val="24"/>
          <w:szCs w:val="24"/>
          <w:rtl/>
          <w:lang w:eastAsia="en-US"/>
        </w:rPr>
        <w:t xml:space="preserve"> שניתן בכ-0.</w:t>
      </w:r>
      <w:r w:rsidR="00AC6DD6" w:rsidRPr="00B856EF">
        <w:rPr>
          <w:rFonts w:cs="David" w:hint="cs"/>
          <w:sz w:val="24"/>
          <w:szCs w:val="24"/>
          <w:rtl/>
          <w:lang w:eastAsia="en-US"/>
        </w:rPr>
        <w:t>3</w:t>
      </w:r>
      <w:r w:rsidRPr="00B856EF">
        <w:rPr>
          <w:rFonts w:cs="David" w:hint="cs"/>
          <w:sz w:val="24"/>
          <w:szCs w:val="24"/>
          <w:rtl/>
          <w:lang w:eastAsia="en-US"/>
        </w:rPr>
        <w:t xml:space="preserve"> נקודות אחוז עד לרמה של 2.</w:t>
      </w:r>
      <w:r w:rsidR="00AC6DD6" w:rsidRPr="00B856EF">
        <w:rPr>
          <w:rFonts w:cs="David" w:hint="cs"/>
          <w:sz w:val="24"/>
          <w:szCs w:val="24"/>
          <w:rtl/>
          <w:lang w:eastAsia="en-US"/>
        </w:rPr>
        <w:t>5</w:t>
      </w:r>
      <w:r w:rsidRPr="00B856EF">
        <w:rPr>
          <w:rFonts w:cs="David" w:hint="cs"/>
          <w:sz w:val="24"/>
          <w:szCs w:val="24"/>
          <w:rtl/>
          <w:lang w:eastAsia="en-US"/>
        </w:rPr>
        <w:t>%. פער הריבית בין אשראי לפיקדונות במגזר הצמוד ירד ב-0.</w:t>
      </w:r>
      <w:r w:rsidR="00B856EF" w:rsidRPr="00B856EF">
        <w:rPr>
          <w:rFonts w:cs="David" w:hint="cs"/>
          <w:sz w:val="24"/>
          <w:szCs w:val="24"/>
          <w:rtl/>
          <w:lang w:eastAsia="en-US"/>
        </w:rPr>
        <w:t>1</w:t>
      </w:r>
      <w:r w:rsidRPr="00B856EF">
        <w:rPr>
          <w:rFonts w:cs="David" w:hint="cs"/>
          <w:sz w:val="24"/>
          <w:szCs w:val="24"/>
          <w:rtl/>
          <w:lang w:eastAsia="en-US"/>
        </w:rPr>
        <w:t xml:space="preserve"> נקודות אחוז במהלך השנה.</w:t>
      </w:r>
    </w:p>
    <w:p w:rsidR="00123EF5" w:rsidRPr="00123EF5" w:rsidRDefault="00123EF5" w:rsidP="00123EF5">
      <w:pPr>
        <w:numPr>
          <w:ilvl w:val="0"/>
          <w:numId w:val="7"/>
        </w:numPr>
        <w:bidi/>
        <w:spacing w:line="360" w:lineRule="auto"/>
        <w:jc w:val="both"/>
        <w:rPr>
          <w:rFonts w:cs="David"/>
          <w:sz w:val="24"/>
          <w:szCs w:val="24"/>
          <w:lang w:eastAsia="en-US"/>
        </w:rPr>
      </w:pPr>
      <w:r w:rsidRPr="00123EF5">
        <w:rPr>
          <w:rFonts w:cs="David" w:hint="cs"/>
          <w:sz w:val="24"/>
          <w:szCs w:val="24"/>
          <w:rtl/>
          <w:lang w:eastAsia="en-US"/>
        </w:rPr>
        <w:t xml:space="preserve">שיעור </w:t>
      </w:r>
      <w:r w:rsidRPr="00EA118A">
        <w:rPr>
          <w:rFonts w:cs="David" w:hint="cs"/>
          <w:b/>
          <w:bCs/>
          <w:sz w:val="24"/>
          <w:szCs w:val="24"/>
          <w:rtl/>
          <w:lang w:eastAsia="en-US"/>
        </w:rPr>
        <w:t>הריבית הממוצעת על משכנתאות חדשות</w:t>
      </w:r>
      <w:r w:rsidRPr="00123EF5">
        <w:rPr>
          <w:rFonts w:cs="David" w:hint="cs"/>
          <w:sz w:val="24"/>
          <w:szCs w:val="24"/>
          <w:rtl/>
          <w:lang w:eastAsia="en-US"/>
        </w:rPr>
        <w:t xml:space="preserve"> במסלול הלא צמוד בריבית משתנה ירד במהלך השנה בכ-0.9 נקודות אחוז, זאת במקביל לירידה של 1 נק' אחוז בריבית ב"י. במסלול הצמוד למדד נרשמו ירידות של כ-0.5 נק' אחוז בשיעורי הריבית הממוצעת במחצית הראשונה של השנה, ועליות של כ-0.75 נק' אחוז במחצית השנייה, עד לרמה של כ-2.5% בסוף השנה.</w:t>
      </w:r>
    </w:p>
    <w:p w:rsidR="00123EF5" w:rsidRDefault="00123EF5" w:rsidP="00123EF5">
      <w:pPr>
        <w:numPr>
          <w:ilvl w:val="0"/>
          <w:numId w:val="7"/>
        </w:numPr>
        <w:bidi/>
        <w:spacing w:line="360" w:lineRule="auto"/>
        <w:jc w:val="both"/>
        <w:rPr>
          <w:rFonts w:cs="David"/>
          <w:sz w:val="24"/>
          <w:szCs w:val="24"/>
          <w:lang w:eastAsia="en-US"/>
        </w:rPr>
      </w:pPr>
      <w:r w:rsidRPr="00EA118A">
        <w:rPr>
          <w:rFonts w:cs="David"/>
          <w:b/>
          <w:bCs/>
          <w:sz w:val="24"/>
          <w:szCs w:val="24"/>
          <w:rtl/>
          <w:lang w:eastAsia="en-US"/>
        </w:rPr>
        <w:t>המרווח בין תשואת מדד האג"ח הקונצרני הצמוד, תל בונד 60, לבין ממוצע תשואות האג"ח הממשלתיות הצמודות</w:t>
      </w:r>
      <w:r w:rsidRPr="00123EF5">
        <w:rPr>
          <w:rFonts w:cs="David"/>
          <w:sz w:val="24"/>
          <w:szCs w:val="24"/>
          <w:rtl/>
          <w:lang w:eastAsia="en-US"/>
        </w:rPr>
        <w:t xml:space="preserve"> הצטמצם </w:t>
      </w:r>
      <w:r w:rsidRPr="00123EF5">
        <w:rPr>
          <w:rFonts w:cs="David" w:hint="cs"/>
          <w:sz w:val="24"/>
          <w:szCs w:val="24"/>
          <w:rtl/>
          <w:lang w:eastAsia="en-US"/>
        </w:rPr>
        <w:t xml:space="preserve">במהלך שנת 2013 </w:t>
      </w:r>
      <w:r w:rsidRPr="00123EF5">
        <w:rPr>
          <w:rFonts w:cs="David"/>
          <w:sz w:val="24"/>
          <w:szCs w:val="24"/>
          <w:rtl/>
          <w:lang w:eastAsia="en-US"/>
        </w:rPr>
        <w:t>בכ-</w:t>
      </w:r>
      <w:r w:rsidRPr="00123EF5">
        <w:rPr>
          <w:rFonts w:cs="David" w:hint="cs"/>
          <w:sz w:val="24"/>
          <w:szCs w:val="24"/>
          <w:rtl/>
          <w:lang w:eastAsia="en-US"/>
        </w:rPr>
        <w:t>0.5</w:t>
      </w:r>
      <w:r w:rsidRPr="00123EF5">
        <w:rPr>
          <w:rFonts w:cs="David"/>
          <w:sz w:val="24"/>
          <w:szCs w:val="24"/>
          <w:rtl/>
          <w:lang w:eastAsia="en-US"/>
        </w:rPr>
        <w:t xml:space="preserve"> נק' אחוז</w:t>
      </w:r>
      <w:r w:rsidRPr="00123EF5">
        <w:rPr>
          <w:rFonts w:cs="David" w:hint="cs"/>
          <w:sz w:val="24"/>
          <w:szCs w:val="24"/>
          <w:rtl/>
          <w:lang w:eastAsia="en-US"/>
        </w:rPr>
        <w:t xml:space="preserve"> לרמה של 1.22 נק' אחוז.</w:t>
      </w:r>
    </w:p>
    <w:p w:rsidR="00B856EF" w:rsidRDefault="00B856EF" w:rsidP="00B856EF">
      <w:pPr>
        <w:pStyle w:val="a9"/>
        <w:bidi/>
        <w:spacing w:line="360" w:lineRule="auto"/>
        <w:ind w:left="360" w:right="-101"/>
        <w:rPr>
          <w:rFonts w:cs="David"/>
          <w:b/>
          <w:bCs/>
          <w:sz w:val="24"/>
          <w:szCs w:val="24"/>
          <w:rtl/>
        </w:rPr>
      </w:pPr>
    </w:p>
    <w:p w:rsidR="00B856EF" w:rsidRDefault="00B856EF" w:rsidP="00B856EF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לוח 4: </w:t>
      </w:r>
      <w:r>
        <w:rPr>
          <w:rFonts w:cs="David" w:hint="cs"/>
          <w:b/>
          <w:bCs/>
          <w:sz w:val="24"/>
          <w:szCs w:val="24"/>
          <w:u w:val="single"/>
          <w:rtl/>
        </w:rPr>
        <w:t>עלויות החוב והמרווחים</w:t>
      </w:r>
    </w:p>
    <w:p w:rsidR="00B856EF" w:rsidRDefault="00B856EF" w:rsidP="00AC6C96">
      <w:pPr>
        <w:pStyle w:val="a9"/>
        <w:bidi/>
        <w:spacing w:line="360" w:lineRule="auto"/>
        <w:ind w:left="-619" w:right="-101"/>
        <w:jc w:val="center"/>
        <w:rPr>
          <w:rFonts w:cs="David"/>
          <w:b/>
          <w:bCs/>
          <w:sz w:val="24"/>
          <w:szCs w:val="24"/>
          <w:u w:val="single"/>
        </w:rPr>
      </w:pPr>
      <w:r w:rsidRPr="00B856EF">
        <w:rPr>
          <w:noProof/>
          <w:lang w:eastAsia="en-US"/>
        </w:rPr>
        <w:drawing>
          <wp:inline distT="0" distB="0" distL="0" distR="0" wp14:anchorId="5CF533C7" wp14:editId="45D0469D">
            <wp:extent cx="5274310" cy="2526663"/>
            <wp:effectExtent l="0" t="0" r="2540" b="762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6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6EF" w:rsidRDefault="00AC6C96" w:rsidP="00AC6C96">
      <w:pPr>
        <w:pStyle w:val="a9"/>
        <w:bidi/>
        <w:spacing w:line="360" w:lineRule="auto"/>
        <w:ind w:left="90" w:right="-101"/>
        <w:jc w:val="center"/>
        <w:rPr>
          <w:rFonts w:cs="David" w:hint="cs"/>
          <w:b/>
          <w:bCs/>
          <w:sz w:val="24"/>
          <w:szCs w:val="24"/>
          <w:u w:val="single"/>
          <w:rtl/>
        </w:rPr>
      </w:pPr>
      <w:r>
        <w:rPr>
          <w:rFonts w:hint="cs"/>
          <w:noProof/>
          <w:lang w:eastAsia="en-US"/>
        </w:rPr>
        <w:drawing>
          <wp:anchor distT="0" distB="0" distL="114300" distR="114300" simplePos="0" relativeHeight="251664384" behindDoc="0" locked="0" layoutInCell="1" allowOverlap="1" wp14:anchorId="386AF660" wp14:editId="7A7A825C">
            <wp:simplePos x="0" y="0"/>
            <wp:positionH relativeFrom="column">
              <wp:posOffset>-28575</wp:posOffset>
            </wp:positionH>
            <wp:positionV relativeFrom="paragraph">
              <wp:posOffset>233045</wp:posOffset>
            </wp:positionV>
            <wp:extent cx="5828030" cy="3872230"/>
            <wp:effectExtent l="0" t="0" r="1270" b="0"/>
            <wp:wrapSquare wrapText="bothSides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387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DDE" w:rsidRDefault="00801DDE" w:rsidP="00AC6C96">
      <w:pPr>
        <w:spacing w:after="200" w:line="276" w:lineRule="auto"/>
        <w:rPr>
          <w:rFonts w:cs="David"/>
          <w:b/>
          <w:bCs/>
          <w:sz w:val="24"/>
          <w:szCs w:val="24"/>
          <w:u w:val="single"/>
          <w:lang w:eastAsia="en-US"/>
        </w:rPr>
      </w:pPr>
      <w:r>
        <w:rPr>
          <w:rFonts w:hint="cs"/>
          <w:noProof/>
          <w:lang w:eastAsia="en-US"/>
        </w:rPr>
        <w:lastRenderedPageBreak/>
        <w:drawing>
          <wp:anchor distT="0" distB="0" distL="114300" distR="114300" simplePos="0" relativeHeight="251659264" behindDoc="0" locked="0" layoutInCell="1" allowOverlap="1" wp14:anchorId="0E1FD423" wp14:editId="761A037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28030" cy="3339465"/>
            <wp:effectExtent l="0" t="0" r="1270" b="0"/>
            <wp:wrapSquare wrapText="bothSides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333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DDE" w:rsidRDefault="00801DDE" w:rsidP="00801DDE">
      <w:pPr>
        <w:bidi/>
        <w:spacing w:line="360" w:lineRule="auto"/>
        <w:ind w:left="720"/>
        <w:jc w:val="both"/>
        <w:outlineLvl w:val="0"/>
        <w:rPr>
          <w:rFonts w:cs="David"/>
          <w:b/>
          <w:bCs/>
          <w:sz w:val="24"/>
          <w:szCs w:val="24"/>
          <w:u w:val="single"/>
          <w:lang w:eastAsia="en-US"/>
        </w:rPr>
      </w:pPr>
      <w:bookmarkStart w:id="0" w:name="_GoBack"/>
      <w:r w:rsidRPr="00801DDE"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 wp14:anchorId="7C2797BA" wp14:editId="15F4C1D2">
            <wp:simplePos x="0" y="0"/>
            <wp:positionH relativeFrom="column">
              <wp:posOffset>136525</wp:posOffset>
            </wp:positionH>
            <wp:positionV relativeFrom="paragraph">
              <wp:posOffset>0</wp:posOffset>
            </wp:positionV>
            <wp:extent cx="5274310" cy="3451225"/>
            <wp:effectExtent l="0" t="0" r="2540" b="0"/>
            <wp:wrapSquare wrapText="bothSides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5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23EF5" w:rsidRPr="00123EF5" w:rsidRDefault="00123EF5" w:rsidP="00801DDE">
      <w:pPr>
        <w:numPr>
          <w:ilvl w:val="0"/>
          <w:numId w:val="9"/>
        </w:numPr>
        <w:bidi/>
        <w:spacing w:line="360" w:lineRule="auto"/>
        <w:jc w:val="both"/>
        <w:outlineLvl w:val="0"/>
        <w:rPr>
          <w:rFonts w:cs="David"/>
          <w:b/>
          <w:bCs/>
          <w:sz w:val="24"/>
          <w:szCs w:val="24"/>
          <w:u w:val="single"/>
          <w:rtl/>
          <w:lang w:eastAsia="en-US"/>
        </w:rPr>
      </w:pPr>
      <w:r w:rsidRPr="00123EF5">
        <w:rPr>
          <w:rFonts w:cs="David" w:hint="cs"/>
          <w:b/>
          <w:bCs/>
          <w:sz w:val="24"/>
          <w:szCs w:val="24"/>
          <w:u w:val="single"/>
          <w:rtl/>
          <w:lang w:eastAsia="en-US"/>
        </w:rPr>
        <w:t>חודש דצמבר 2013/ינואר 2014</w:t>
      </w:r>
    </w:p>
    <w:p w:rsidR="00123EF5" w:rsidRPr="00123EF5" w:rsidRDefault="00123EF5" w:rsidP="00123EF5">
      <w:pPr>
        <w:bidi/>
        <w:spacing w:line="360" w:lineRule="auto"/>
        <w:jc w:val="both"/>
        <w:rPr>
          <w:rFonts w:cs="David"/>
          <w:sz w:val="24"/>
          <w:szCs w:val="24"/>
          <w:u w:val="single"/>
          <w:rtl/>
          <w:lang w:eastAsia="en-US"/>
        </w:rPr>
      </w:pPr>
      <w:r w:rsidRPr="00123EF5">
        <w:rPr>
          <w:rFonts w:cs="David" w:hint="cs"/>
          <w:sz w:val="24"/>
          <w:szCs w:val="24"/>
          <w:u w:val="single"/>
          <w:rtl/>
          <w:lang w:eastAsia="en-US"/>
        </w:rPr>
        <w:t>יתרות</w:t>
      </w:r>
    </w:p>
    <w:p w:rsidR="00123EF5" w:rsidRPr="00123EF5" w:rsidRDefault="00123EF5" w:rsidP="00123EF5">
      <w:pPr>
        <w:numPr>
          <w:ilvl w:val="0"/>
          <w:numId w:val="7"/>
        </w:numPr>
        <w:bidi/>
        <w:spacing w:line="360" w:lineRule="auto"/>
        <w:jc w:val="both"/>
        <w:rPr>
          <w:rFonts w:cs="David"/>
          <w:sz w:val="24"/>
          <w:szCs w:val="24"/>
          <w:lang w:eastAsia="en-US"/>
        </w:rPr>
      </w:pPr>
      <w:r w:rsidRPr="00123EF5">
        <w:rPr>
          <w:rFonts w:cs="David" w:hint="cs"/>
          <w:sz w:val="24"/>
          <w:szCs w:val="24"/>
          <w:rtl/>
          <w:lang w:eastAsia="en-US"/>
        </w:rPr>
        <w:t xml:space="preserve">בחודש דצמבר 2013 ירדה יתרת </w:t>
      </w:r>
      <w:r w:rsidRPr="00EA118A">
        <w:rPr>
          <w:rFonts w:cs="David" w:hint="cs"/>
          <w:b/>
          <w:bCs/>
          <w:sz w:val="24"/>
          <w:szCs w:val="24"/>
          <w:rtl/>
          <w:lang w:eastAsia="en-US"/>
        </w:rPr>
        <w:t>החוב במשק הישראלי</w:t>
      </w:r>
      <w:r w:rsidRPr="00123EF5">
        <w:rPr>
          <w:rFonts w:cs="David" w:hint="cs"/>
          <w:sz w:val="24"/>
          <w:szCs w:val="24"/>
          <w:rtl/>
          <w:lang w:eastAsia="en-US"/>
        </w:rPr>
        <w:t xml:space="preserve"> בכ-4 מיליארדי ש"ח (0.2%-). מקורה של ירידה זו בעיקר בייסוף שע"ח של כ-1.5%, בעוד שגיוסי חוב של משקי בית קוזזו ע"י פירעונות של הממשלה. </w:t>
      </w:r>
    </w:p>
    <w:p w:rsidR="00123EF5" w:rsidRPr="00123EF5" w:rsidRDefault="00123EF5" w:rsidP="00123EF5">
      <w:pPr>
        <w:numPr>
          <w:ilvl w:val="0"/>
          <w:numId w:val="7"/>
        </w:numPr>
        <w:bidi/>
        <w:spacing w:line="360" w:lineRule="auto"/>
        <w:jc w:val="both"/>
        <w:rPr>
          <w:rFonts w:cs="David"/>
          <w:sz w:val="24"/>
          <w:szCs w:val="24"/>
          <w:lang w:eastAsia="en-US"/>
        </w:rPr>
      </w:pPr>
      <w:r w:rsidRPr="00123EF5">
        <w:rPr>
          <w:rFonts w:cs="David" w:hint="cs"/>
          <w:sz w:val="24"/>
          <w:szCs w:val="24"/>
          <w:rtl/>
          <w:lang w:eastAsia="en-US"/>
        </w:rPr>
        <w:lastRenderedPageBreak/>
        <w:t xml:space="preserve">יתרת </w:t>
      </w:r>
      <w:r w:rsidRPr="00EA118A">
        <w:rPr>
          <w:rFonts w:cs="David" w:hint="cs"/>
          <w:b/>
          <w:bCs/>
          <w:sz w:val="24"/>
          <w:szCs w:val="24"/>
          <w:rtl/>
          <w:lang w:eastAsia="en-US"/>
        </w:rPr>
        <w:t>החוב של המגזר העסקי</w:t>
      </w:r>
      <w:r w:rsidRPr="00123EF5">
        <w:rPr>
          <w:rFonts w:cs="David" w:hint="cs"/>
          <w:sz w:val="24"/>
          <w:szCs w:val="24"/>
          <w:rtl/>
          <w:lang w:eastAsia="en-US"/>
        </w:rPr>
        <w:t xml:space="preserve"> ירדה בכ-4 מיליארדי ש"ח. הירידה ביתרה נבעה כאמור מהשפעת ייסוף השקל, בעוד שפירעון אג"ח קוזז בחלקו ע"י גיוס חוב מהבנקים. יתרת </w:t>
      </w:r>
      <w:r w:rsidRPr="00EA118A">
        <w:rPr>
          <w:rFonts w:cs="David" w:hint="cs"/>
          <w:b/>
          <w:bCs/>
          <w:sz w:val="24"/>
          <w:szCs w:val="24"/>
          <w:rtl/>
          <w:lang w:eastAsia="en-US"/>
        </w:rPr>
        <w:t xml:space="preserve">החוב של משקי הבית </w:t>
      </w:r>
      <w:r w:rsidRPr="00123EF5">
        <w:rPr>
          <w:rFonts w:cs="David" w:hint="cs"/>
          <w:sz w:val="24"/>
          <w:szCs w:val="24"/>
          <w:rtl/>
          <w:lang w:eastAsia="en-US"/>
        </w:rPr>
        <w:t>עלתה בכ-2.3 מיליארדי ש"ח, רובה כתוצאה מגיוס חוב מהבנקים.</w:t>
      </w:r>
    </w:p>
    <w:p w:rsidR="00123EF5" w:rsidRPr="00123EF5" w:rsidRDefault="00123EF5" w:rsidP="00123EF5">
      <w:pPr>
        <w:bidi/>
        <w:spacing w:line="360" w:lineRule="auto"/>
        <w:jc w:val="both"/>
        <w:rPr>
          <w:rFonts w:cs="David"/>
          <w:sz w:val="24"/>
          <w:szCs w:val="24"/>
          <w:u w:val="single"/>
          <w:rtl/>
          <w:lang w:eastAsia="en-US"/>
        </w:rPr>
      </w:pPr>
      <w:r w:rsidRPr="00123EF5">
        <w:rPr>
          <w:rFonts w:cs="David" w:hint="cs"/>
          <w:sz w:val="24"/>
          <w:szCs w:val="24"/>
          <w:u w:val="single"/>
          <w:rtl/>
          <w:lang w:eastAsia="en-US"/>
        </w:rPr>
        <w:t>ביצועים והנפקות</w:t>
      </w:r>
    </w:p>
    <w:p w:rsidR="00123EF5" w:rsidRPr="00123EF5" w:rsidRDefault="00123EF5" w:rsidP="00123EF5">
      <w:pPr>
        <w:numPr>
          <w:ilvl w:val="0"/>
          <w:numId w:val="7"/>
        </w:numPr>
        <w:bidi/>
        <w:spacing w:line="360" w:lineRule="auto"/>
        <w:jc w:val="both"/>
        <w:rPr>
          <w:rFonts w:cs="David"/>
          <w:sz w:val="24"/>
          <w:szCs w:val="24"/>
          <w:lang w:eastAsia="en-US"/>
        </w:rPr>
      </w:pPr>
      <w:r w:rsidRPr="00EA118A">
        <w:rPr>
          <w:rFonts w:cs="David" w:hint="cs"/>
          <w:b/>
          <w:bCs/>
          <w:sz w:val="24"/>
          <w:szCs w:val="24"/>
          <w:rtl/>
          <w:lang w:eastAsia="en-US"/>
        </w:rPr>
        <w:t>ביצועי האשראי</w:t>
      </w:r>
      <w:r w:rsidRPr="00123EF5">
        <w:rPr>
          <w:rFonts w:cs="David" w:hint="cs"/>
          <w:sz w:val="24"/>
          <w:szCs w:val="24"/>
          <w:rtl/>
          <w:lang w:eastAsia="en-US"/>
        </w:rPr>
        <w:t xml:space="preserve"> (מנוכי עונתיות) עמדו בחודש ינואר על כ-7.4 מיליארדי ש"ח, דומה לממוצע הביצועים בשנת 2013 (7.5 מיליארדים). </w:t>
      </w:r>
      <w:r w:rsidRPr="00123EF5">
        <w:rPr>
          <w:rFonts w:cs="David" w:hint="eastAsia"/>
          <w:sz w:val="24"/>
          <w:szCs w:val="24"/>
          <w:rtl/>
          <w:lang w:eastAsia="en-US"/>
        </w:rPr>
        <w:t>בחודש</w:t>
      </w:r>
      <w:r w:rsidRPr="00123EF5">
        <w:rPr>
          <w:rFonts w:cs="David"/>
          <w:sz w:val="24"/>
          <w:szCs w:val="24"/>
          <w:rtl/>
          <w:lang w:eastAsia="en-US"/>
        </w:rPr>
        <w:t xml:space="preserve"> </w:t>
      </w:r>
      <w:r w:rsidRPr="00123EF5">
        <w:rPr>
          <w:rFonts w:cs="David" w:hint="cs"/>
          <w:sz w:val="24"/>
          <w:szCs w:val="24"/>
          <w:rtl/>
          <w:lang w:eastAsia="en-US"/>
        </w:rPr>
        <w:t>ינואר</w:t>
      </w:r>
      <w:r w:rsidRPr="00123EF5">
        <w:rPr>
          <w:rFonts w:cs="David"/>
          <w:sz w:val="24"/>
          <w:szCs w:val="24"/>
          <w:rtl/>
          <w:lang w:eastAsia="en-US"/>
        </w:rPr>
        <w:t xml:space="preserve"> </w:t>
      </w:r>
      <w:r w:rsidRPr="00123EF5">
        <w:rPr>
          <w:rFonts w:cs="David" w:hint="eastAsia"/>
          <w:sz w:val="24"/>
          <w:szCs w:val="24"/>
          <w:rtl/>
          <w:lang w:eastAsia="en-US"/>
        </w:rPr>
        <w:t>הסתכמו</w:t>
      </w:r>
      <w:r w:rsidRPr="00123EF5">
        <w:rPr>
          <w:rFonts w:cs="David"/>
          <w:sz w:val="24"/>
          <w:szCs w:val="24"/>
          <w:rtl/>
          <w:lang w:eastAsia="en-US"/>
        </w:rPr>
        <w:t xml:space="preserve"> </w:t>
      </w:r>
      <w:r w:rsidRPr="00EA118A">
        <w:rPr>
          <w:rFonts w:cs="David" w:hint="eastAsia"/>
          <w:b/>
          <w:bCs/>
          <w:sz w:val="24"/>
          <w:szCs w:val="24"/>
          <w:rtl/>
          <w:lang w:eastAsia="en-US"/>
        </w:rPr>
        <w:t>ביצועי</w:t>
      </w:r>
      <w:r w:rsidRPr="00EA118A">
        <w:rPr>
          <w:rFonts w:cs="David"/>
          <w:b/>
          <w:bCs/>
          <w:sz w:val="24"/>
          <w:szCs w:val="24"/>
          <w:rtl/>
          <w:lang w:eastAsia="en-US"/>
        </w:rPr>
        <w:t xml:space="preserve"> </w:t>
      </w:r>
      <w:r w:rsidRPr="00EA118A">
        <w:rPr>
          <w:rFonts w:cs="David" w:hint="eastAsia"/>
          <w:b/>
          <w:bCs/>
          <w:sz w:val="24"/>
          <w:szCs w:val="24"/>
          <w:rtl/>
          <w:lang w:eastAsia="en-US"/>
        </w:rPr>
        <w:t>המשכנתאות</w:t>
      </w:r>
      <w:r w:rsidRPr="00123EF5">
        <w:rPr>
          <w:rFonts w:cs="David" w:hint="cs"/>
          <w:sz w:val="24"/>
          <w:szCs w:val="24"/>
          <w:rtl/>
          <w:lang w:eastAsia="en-US"/>
        </w:rPr>
        <w:t xml:space="preserve"> </w:t>
      </w:r>
      <w:r w:rsidRPr="00123EF5">
        <w:rPr>
          <w:rFonts w:cs="David"/>
          <w:sz w:val="24"/>
          <w:szCs w:val="24"/>
          <w:rtl/>
          <w:lang w:eastAsia="en-US"/>
        </w:rPr>
        <w:t>(</w:t>
      </w:r>
      <w:r w:rsidRPr="00123EF5">
        <w:rPr>
          <w:rFonts w:cs="David" w:hint="eastAsia"/>
          <w:sz w:val="24"/>
          <w:szCs w:val="24"/>
          <w:rtl/>
          <w:lang w:eastAsia="en-US"/>
        </w:rPr>
        <w:t>נטילות</w:t>
      </w:r>
      <w:r w:rsidRPr="00123EF5">
        <w:rPr>
          <w:rFonts w:cs="David"/>
          <w:sz w:val="24"/>
          <w:szCs w:val="24"/>
          <w:rtl/>
          <w:lang w:eastAsia="en-US"/>
        </w:rPr>
        <w:t xml:space="preserve"> </w:t>
      </w:r>
      <w:r w:rsidRPr="00123EF5">
        <w:rPr>
          <w:rFonts w:cs="David" w:hint="eastAsia"/>
          <w:sz w:val="24"/>
          <w:szCs w:val="24"/>
          <w:rtl/>
          <w:lang w:eastAsia="en-US"/>
        </w:rPr>
        <w:t>של</w:t>
      </w:r>
      <w:r w:rsidRPr="00123EF5">
        <w:rPr>
          <w:rFonts w:cs="David"/>
          <w:sz w:val="24"/>
          <w:szCs w:val="24"/>
          <w:rtl/>
          <w:lang w:eastAsia="en-US"/>
        </w:rPr>
        <w:t xml:space="preserve"> </w:t>
      </w:r>
      <w:r w:rsidRPr="00123EF5">
        <w:rPr>
          <w:rFonts w:cs="David" w:hint="eastAsia"/>
          <w:sz w:val="24"/>
          <w:szCs w:val="24"/>
          <w:rtl/>
          <w:lang w:eastAsia="en-US"/>
        </w:rPr>
        <w:t>משכנתאות</w:t>
      </w:r>
      <w:r w:rsidRPr="00123EF5">
        <w:rPr>
          <w:rFonts w:cs="David"/>
          <w:sz w:val="24"/>
          <w:szCs w:val="24"/>
          <w:rtl/>
          <w:lang w:eastAsia="en-US"/>
        </w:rPr>
        <w:t>)</w:t>
      </w:r>
      <w:r w:rsidRPr="00123EF5">
        <w:rPr>
          <w:rFonts w:cs="David" w:hint="cs"/>
          <w:sz w:val="24"/>
          <w:szCs w:val="24"/>
          <w:rtl/>
          <w:lang w:eastAsia="en-US"/>
        </w:rPr>
        <w:t xml:space="preserve"> </w:t>
      </w:r>
      <w:r w:rsidRPr="00123EF5">
        <w:rPr>
          <w:rFonts w:cs="David" w:hint="eastAsia"/>
          <w:sz w:val="24"/>
          <w:szCs w:val="24"/>
          <w:rtl/>
          <w:lang w:eastAsia="en-US"/>
        </w:rPr>
        <w:t>בכ</w:t>
      </w:r>
      <w:r w:rsidRPr="00123EF5">
        <w:rPr>
          <w:rFonts w:cs="David"/>
          <w:sz w:val="24"/>
          <w:szCs w:val="24"/>
          <w:rtl/>
          <w:lang w:eastAsia="en-US"/>
        </w:rPr>
        <w:t>-</w:t>
      </w:r>
      <w:r w:rsidRPr="00123EF5">
        <w:rPr>
          <w:rFonts w:cs="David" w:hint="cs"/>
          <w:sz w:val="24"/>
          <w:szCs w:val="24"/>
          <w:rtl/>
          <w:lang w:eastAsia="en-US"/>
        </w:rPr>
        <w:t>3.8</w:t>
      </w:r>
      <w:r w:rsidRPr="00123EF5">
        <w:rPr>
          <w:rFonts w:cs="David"/>
          <w:sz w:val="24"/>
          <w:szCs w:val="24"/>
          <w:rtl/>
          <w:lang w:eastAsia="en-US"/>
        </w:rPr>
        <w:t xml:space="preserve"> </w:t>
      </w:r>
      <w:r w:rsidRPr="00123EF5">
        <w:rPr>
          <w:rFonts w:cs="David" w:hint="eastAsia"/>
          <w:sz w:val="24"/>
          <w:szCs w:val="24"/>
          <w:rtl/>
          <w:lang w:eastAsia="en-US"/>
        </w:rPr>
        <w:t>מיליארדי</w:t>
      </w:r>
      <w:r w:rsidRPr="00123EF5">
        <w:rPr>
          <w:rFonts w:cs="David"/>
          <w:sz w:val="24"/>
          <w:szCs w:val="24"/>
          <w:rtl/>
          <w:lang w:eastAsia="en-US"/>
        </w:rPr>
        <w:t xml:space="preserve"> </w:t>
      </w:r>
      <w:r w:rsidRPr="00123EF5">
        <w:rPr>
          <w:rFonts w:cs="David" w:hint="eastAsia"/>
          <w:sz w:val="24"/>
          <w:szCs w:val="24"/>
          <w:rtl/>
          <w:lang w:eastAsia="en-US"/>
        </w:rPr>
        <w:t>ש</w:t>
      </w:r>
      <w:r w:rsidRPr="00123EF5">
        <w:rPr>
          <w:rFonts w:cs="David"/>
          <w:sz w:val="24"/>
          <w:szCs w:val="24"/>
          <w:rtl/>
          <w:lang w:eastAsia="en-US"/>
        </w:rPr>
        <w:t>"</w:t>
      </w:r>
      <w:r w:rsidRPr="00123EF5">
        <w:rPr>
          <w:rFonts w:cs="David" w:hint="eastAsia"/>
          <w:sz w:val="24"/>
          <w:szCs w:val="24"/>
          <w:rtl/>
          <w:lang w:eastAsia="en-US"/>
        </w:rPr>
        <w:t>ח</w:t>
      </w:r>
      <w:r w:rsidRPr="00123EF5">
        <w:rPr>
          <w:rFonts w:cs="David" w:hint="cs"/>
          <w:sz w:val="24"/>
          <w:szCs w:val="24"/>
          <w:rtl/>
          <w:lang w:eastAsia="en-US"/>
        </w:rPr>
        <w:t>, נמוך מעט מה</w:t>
      </w:r>
      <w:r w:rsidRPr="00123EF5">
        <w:rPr>
          <w:rFonts w:cs="David" w:hint="eastAsia"/>
          <w:sz w:val="24"/>
          <w:szCs w:val="24"/>
          <w:rtl/>
          <w:lang w:eastAsia="en-US"/>
        </w:rPr>
        <w:t>ממוצע</w:t>
      </w:r>
      <w:r w:rsidRPr="00123EF5">
        <w:rPr>
          <w:rFonts w:cs="David"/>
          <w:sz w:val="24"/>
          <w:szCs w:val="24"/>
          <w:rtl/>
          <w:lang w:eastAsia="en-US"/>
        </w:rPr>
        <w:t xml:space="preserve"> </w:t>
      </w:r>
      <w:r w:rsidRPr="00123EF5">
        <w:rPr>
          <w:rFonts w:cs="David" w:hint="eastAsia"/>
          <w:sz w:val="24"/>
          <w:szCs w:val="24"/>
          <w:rtl/>
          <w:lang w:eastAsia="en-US"/>
        </w:rPr>
        <w:t>החודשי</w:t>
      </w:r>
      <w:r w:rsidRPr="00123EF5">
        <w:rPr>
          <w:rFonts w:cs="David"/>
          <w:sz w:val="24"/>
          <w:szCs w:val="24"/>
          <w:rtl/>
          <w:lang w:eastAsia="en-US"/>
        </w:rPr>
        <w:t xml:space="preserve"> </w:t>
      </w:r>
      <w:r w:rsidRPr="00123EF5">
        <w:rPr>
          <w:rFonts w:cs="David" w:hint="cs"/>
          <w:sz w:val="24"/>
          <w:szCs w:val="24"/>
          <w:rtl/>
          <w:lang w:eastAsia="en-US"/>
        </w:rPr>
        <w:t>בשנת 2013 (4.3 מיליארדים).</w:t>
      </w:r>
    </w:p>
    <w:p w:rsidR="00123EF5" w:rsidRPr="00123EF5" w:rsidRDefault="00123EF5" w:rsidP="00123EF5">
      <w:pPr>
        <w:numPr>
          <w:ilvl w:val="0"/>
          <w:numId w:val="7"/>
        </w:numPr>
        <w:bidi/>
        <w:spacing w:line="360" w:lineRule="auto"/>
        <w:jc w:val="both"/>
        <w:rPr>
          <w:rFonts w:cs="David"/>
          <w:sz w:val="24"/>
          <w:szCs w:val="24"/>
          <w:lang w:eastAsia="en-US"/>
        </w:rPr>
      </w:pPr>
      <w:r w:rsidRPr="00123EF5">
        <w:rPr>
          <w:rFonts w:cs="David"/>
          <w:sz w:val="24"/>
          <w:szCs w:val="24"/>
          <w:rtl/>
          <w:lang w:eastAsia="en-US"/>
        </w:rPr>
        <w:t xml:space="preserve">בחודש </w:t>
      </w:r>
      <w:r w:rsidRPr="00123EF5">
        <w:rPr>
          <w:rFonts w:cs="David" w:hint="cs"/>
          <w:sz w:val="24"/>
          <w:szCs w:val="24"/>
          <w:rtl/>
          <w:lang w:eastAsia="en-US"/>
        </w:rPr>
        <w:t>ינואר</w:t>
      </w:r>
      <w:r w:rsidRPr="00123EF5">
        <w:rPr>
          <w:rFonts w:cs="David"/>
          <w:sz w:val="24"/>
          <w:szCs w:val="24"/>
          <w:rtl/>
          <w:lang w:eastAsia="en-US"/>
        </w:rPr>
        <w:t> </w:t>
      </w:r>
      <w:r w:rsidRPr="00EA118A">
        <w:rPr>
          <w:rFonts w:cs="David" w:hint="cs"/>
          <w:b/>
          <w:bCs/>
          <w:sz w:val="24"/>
          <w:szCs w:val="24"/>
          <w:rtl/>
          <w:lang w:eastAsia="en-US"/>
        </w:rPr>
        <w:t>הנפיק המגזר העסקי</w:t>
      </w:r>
      <w:r w:rsidRPr="00123EF5">
        <w:rPr>
          <w:rFonts w:cs="David" w:hint="cs"/>
          <w:sz w:val="24"/>
          <w:szCs w:val="24"/>
          <w:rtl/>
          <w:lang w:eastAsia="en-US"/>
        </w:rPr>
        <w:t xml:space="preserve"> (ללא בנקים וביטוח) אג"ח בשווי של </w:t>
      </w:r>
      <w:r w:rsidRPr="00123EF5">
        <w:rPr>
          <w:rFonts w:cs="David"/>
          <w:sz w:val="24"/>
          <w:szCs w:val="24"/>
          <w:rtl/>
          <w:lang w:eastAsia="en-US"/>
        </w:rPr>
        <w:t>כ-</w:t>
      </w:r>
      <w:r w:rsidRPr="00123EF5">
        <w:rPr>
          <w:rFonts w:cs="David" w:hint="cs"/>
          <w:sz w:val="24"/>
          <w:szCs w:val="24"/>
          <w:rtl/>
          <w:lang w:eastAsia="en-US"/>
        </w:rPr>
        <w:t xml:space="preserve">0.7 </w:t>
      </w:r>
      <w:r w:rsidRPr="00123EF5">
        <w:rPr>
          <w:rFonts w:cs="David"/>
          <w:sz w:val="24"/>
          <w:szCs w:val="24"/>
          <w:rtl/>
          <w:lang w:eastAsia="en-US"/>
        </w:rPr>
        <w:t>מיליארד</w:t>
      </w:r>
      <w:r w:rsidRPr="00123EF5">
        <w:rPr>
          <w:rFonts w:cs="David" w:hint="cs"/>
          <w:sz w:val="24"/>
          <w:szCs w:val="24"/>
          <w:rtl/>
          <w:lang w:eastAsia="en-US"/>
        </w:rPr>
        <w:t>י</w:t>
      </w:r>
      <w:r w:rsidRPr="00123EF5">
        <w:rPr>
          <w:rFonts w:cs="David"/>
          <w:sz w:val="24"/>
          <w:szCs w:val="24"/>
          <w:rtl/>
          <w:lang w:eastAsia="en-US"/>
        </w:rPr>
        <w:t xml:space="preserve"> </w:t>
      </w:r>
      <w:r w:rsidRPr="00123EF5">
        <w:rPr>
          <w:rFonts w:cs="David" w:hint="cs"/>
          <w:sz w:val="24"/>
          <w:szCs w:val="24"/>
          <w:rtl/>
          <w:lang w:eastAsia="en-US"/>
        </w:rPr>
        <w:t>ש"ח</w:t>
      </w:r>
      <w:r w:rsidRPr="00123EF5">
        <w:rPr>
          <w:rFonts w:cs="David"/>
          <w:sz w:val="24"/>
          <w:szCs w:val="24"/>
          <w:rtl/>
          <w:lang w:eastAsia="en-US"/>
        </w:rPr>
        <w:t xml:space="preserve">, </w:t>
      </w:r>
      <w:r w:rsidRPr="00123EF5">
        <w:rPr>
          <w:rFonts w:cs="David" w:hint="cs"/>
          <w:sz w:val="24"/>
          <w:szCs w:val="24"/>
          <w:rtl/>
          <w:lang w:eastAsia="en-US"/>
        </w:rPr>
        <w:t>כולן באג"ח סחיר.</w:t>
      </w:r>
    </w:p>
    <w:p w:rsidR="00123EF5" w:rsidRPr="00123EF5" w:rsidRDefault="00123EF5" w:rsidP="00123EF5">
      <w:pPr>
        <w:bidi/>
        <w:spacing w:line="360" w:lineRule="auto"/>
        <w:jc w:val="both"/>
        <w:rPr>
          <w:rFonts w:cs="David"/>
          <w:sz w:val="24"/>
          <w:szCs w:val="24"/>
          <w:u w:val="single"/>
          <w:rtl/>
          <w:lang w:eastAsia="en-US"/>
        </w:rPr>
      </w:pPr>
      <w:r w:rsidRPr="00123EF5">
        <w:rPr>
          <w:rFonts w:cs="David" w:hint="cs"/>
          <w:sz w:val="24"/>
          <w:szCs w:val="24"/>
          <w:u w:val="single"/>
          <w:rtl/>
          <w:lang w:eastAsia="en-US"/>
        </w:rPr>
        <w:t>מחירים</w:t>
      </w:r>
    </w:p>
    <w:p w:rsidR="00123EF5" w:rsidRPr="00123EF5" w:rsidRDefault="00123EF5" w:rsidP="00123EF5">
      <w:pPr>
        <w:numPr>
          <w:ilvl w:val="0"/>
          <w:numId w:val="7"/>
        </w:numPr>
        <w:bidi/>
        <w:spacing w:line="360" w:lineRule="auto"/>
        <w:jc w:val="both"/>
        <w:rPr>
          <w:rFonts w:cs="David"/>
          <w:sz w:val="24"/>
          <w:szCs w:val="24"/>
          <w:lang w:eastAsia="en-US"/>
        </w:rPr>
      </w:pPr>
      <w:r w:rsidRPr="00EA118A">
        <w:rPr>
          <w:rFonts w:cs="David" w:hint="cs"/>
          <w:b/>
          <w:bCs/>
          <w:sz w:val="24"/>
          <w:szCs w:val="24"/>
          <w:rtl/>
          <w:lang w:eastAsia="en-US"/>
        </w:rPr>
        <w:t>פער הריביות</w:t>
      </w:r>
      <w:r w:rsidRPr="00123EF5">
        <w:rPr>
          <w:rFonts w:cs="David" w:hint="cs"/>
          <w:sz w:val="24"/>
          <w:szCs w:val="24"/>
          <w:rtl/>
          <w:lang w:eastAsia="en-US"/>
        </w:rPr>
        <w:t xml:space="preserve"> במגזר הלא צמוד בחודש דצמבר עלה בכ-0.06 נק' אחוז, כתוצאה מירידה בריבית על יתרת הפיקדונות. בחודש דצמבר קטן פער הריביות במגזר הצמוד בכ-0.05 נק' אחוז עקב עליה בריבית על הפיקדונות הגדולה יותר מהירידה בריבית על האשראי הצמוד השולי (שניתן במהלך החודש).</w:t>
      </w:r>
    </w:p>
    <w:p w:rsidR="00FC1281" w:rsidRPr="00123EF5" w:rsidRDefault="00FC1281" w:rsidP="00FC1281">
      <w:pPr>
        <w:pStyle w:val="a9"/>
        <w:bidi/>
        <w:spacing w:line="360" w:lineRule="auto"/>
        <w:ind w:left="360" w:right="-101"/>
        <w:rPr>
          <w:rFonts w:cs="David"/>
          <w:b/>
          <w:bCs/>
          <w:sz w:val="24"/>
          <w:szCs w:val="24"/>
          <w:u w:val="single"/>
          <w:rtl/>
        </w:rPr>
      </w:pPr>
    </w:p>
    <w:p w:rsidR="00DE4BB3" w:rsidRDefault="00F2699B" w:rsidP="003A7BCA">
      <w:pPr>
        <w:pStyle w:val="a9"/>
        <w:bidi/>
        <w:spacing w:line="276" w:lineRule="auto"/>
        <w:ind w:left="360" w:right="-101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רא</w:t>
      </w:r>
      <w:r w:rsidR="008B10B8">
        <w:rPr>
          <w:rFonts w:cs="David" w:hint="cs"/>
          <w:sz w:val="24"/>
          <w:szCs w:val="24"/>
          <w:rtl/>
        </w:rPr>
        <w:t>ה</w:t>
      </w:r>
      <w:r>
        <w:rPr>
          <w:rFonts w:cs="David" w:hint="cs"/>
          <w:sz w:val="24"/>
          <w:szCs w:val="24"/>
          <w:rtl/>
        </w:rPr>
        <w:t xml:space="preserve"> קישור למידע נוסף בנושא המופיע באתר הבנק בדף </w:t>
      </w:r>
      <w:hyperlink r:id="rId23" w:history="1">
        <w:r w:rsidRPr="00F2699B">
          <w:rPr>
            <w:rStyle w:val="Hyperlink"/>
            <w:rFonts w:cs="David" w:hint="cs"/>
            <w:sz w:val="24"/>
            <w:szCs w:val="24"/>
            <w:rtl/>
          </w:rPr>
          <w:t>יתרות האשראי במשק</w:t>
        </w:r>
      </w:hyperlink>
    </w:p>
    <w:p w:rsidR="00F2699B" w:rsidRPr="00F2699B" w:rsidRDefault="00F2699B" w:rsidP="00F2699B">
      <w:pPr>
        <w:pStyle w:val="a9"/>
        <w:bidi/>
        <w:spacing w:line="360" w:lineRule="auto"/>
        <w:ind w:left="360" w:right="-101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קישור </w:t>
      </w:r>
      <w:hyperlink r:id="rId24" w:history="1">
        <w:r w:rsidRPr="00F2699B">
          <w:rPr>
            <w:rStyle w:val="Hyperlink"/>
            <w:rFonts w:cs="David" w:hint="cs"/>
            <w:sz w:val="24"/>
            <w:szCs w:val="24"/>
            <w:rtl/>
          </w:rPr>
          <w:t>לנתוני משכנתאות</w:t>
        </w:r>
      </w:hyperlink>
    </w:p>
    <w:sectPr w:rsidR="00F2699B" w:rsidRPr="00F2699B" w:rsidSect="00AC6C96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077" w:right="1797" w:bottom="1134" w:left="1797" w:header="624" w:footer="17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6A0" w:rsidRDefault="00E056A0" w:rsidP="00C04A6B">
      <w:r>
        <w:separator/>
      </w:r>
    </w:p>
  </w:endnote>
  <w:endnote w:type="continuationSeparator" w:id="0">
    <w:p w:rsidR="00E056A0" w:rsidRDefault="00E056A0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C7F" w:rsidRDefault="00AE1C7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rtl/>
      </w:rPr>
      <w:id w:val="1001085329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Fonts w:cs="David"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2438E2" w:rsidRPr="002438E2" w:rsidRDefault="003A7BCA" w:rsidP="003A7BCA">
            <w:pPr>
              <w:pStyle w:val="a7"/>
              <w:tabs>
                <w:tab w:val="clear" w:pos="8306"/>
                <w:tab w:val="right" w:pos="8873"/>
              </w:tabs>
              <w:bidi/>
              <w:ind w:left="-625"/>
              <w:jc w:val="right"/>
              <w:rPr>
                <w:rFonts w:cs="David"/>
                <w:rtl/>
                <w:cs/>
              </w:rPr>
            </w:pPr>
            <w:r>
              <w:rPr>
                <w:rFonts w:cs="David" w:hint="cs"/>
                <w:rtl/>
                <w:cs/>
                <w:lang w:val="he-IL"/>
              </w:rPr>
              <w:t xml:space="preserve">בנק ישראל - </w:t>
            </w:r>
            <w:r w:rsidR="002438E2">
              <w:rPr>
                <w:rFonts w:cs="David" w:hint="cs"/>
                <w:rtl/>
                <w:cs/>
                <w:lang w:val="he-IL"/>
              </w:rPr>
              <w:t xml:space="preserve">התפתחות החוב במשק </w:t>
            </w:r>
            <w:r>
              <w:rPr>
                <w:rFonts w:cs="David" w:hint="cs"/>
                <w:rtl/>
                <w:lang w:val="he-IL"/>
              </w:rPr>
              <w:t>ב</w:t>
            </w:r>
            <w:r>
              <w:rPr>
                <w:rFonts w:cs="David" w:hint="cs"/>
                <w:rtl/>
                <w:cs/>
                <w:lang w:val="he-IL"/>
              </w:rPr>
              <w:t>שנת</w:t>
            </w:r>
            <w:r w:rsidR="009F574F" w:rsidRPr="009F574F">
              <w:rPr>
                <w:rFonts w:cs="David" w:hint="cs"/>
                <w:rtl/>
                <w:cs/>
                <w:lang w:val="he-IL"/>
              </w:rPr>
              <w:t xml:space="preserve"> 2013</w:t>
            </w:r>
            <w:r w:rsidR="002438E2" w:rsidRPr="009F574F">
              <w:rPr>
                <w:rFonts w:cs="David" w:hint="cs"/>
                <w:rtl/>
                <w:cs/>
                <w:lang w:val="he-IL"/>
              </w:rPr>
              <w:t xml:space="preserve"> </w:t>
            </w:r>
            <w:r w:rsidR="002438E2">
              <w:rPr>
                <w:rFonts w:cs="David" w:hint="cs"/>
                <w:rtl/>
                <w:cs/>
                <w:lang w:val="he-IL"/>
              </w:rPr>
              <w:tab/>
            </w:r>
            <w:r w:rsidR="002438E2">
              <w:rPr>
                <w:rFonts w:cs="David" w:hint="cs"/>
                <w:rtl/>
                <w:cs/>
                <w:lang w:val="he-IL"/>
              </w:rPr>
              <w:tab/>
            </w:r>
            <w:r w:rsidR="002438E2" w:rsidRPr="002438E2">
              <w:rPr>
                <w:rFonts w:cs="David"/>
                <w:rtl/>
                <w:cs/>
                <w:lang w:val="he-IL"/>
              </w:rPr>
              <w:t xml:space="preserve">עמוד </w:t>
            </w:r>
            <w:r w:rsidR="002438E2" w:rsidRPr="002438E2">
              <w:rPr>
                <w:rFonts w:cs="David"/>
                <w:b/>
                <w:bCs/>
              </w:rPr>
              <w:fldChar w:fldCharType="begin"/>
            </w:r>
            <w:r w:rsidR="002438E2" w:rsidRPr="002438E2">
              <w:rPr>
                <w:rFonts w:cs="David"/>
                <w:b/>
                <w:bCs/>
                <w:rtl/>
                <w:cs/>
              </w:rPr>
              <w:instrText>PAGE</w:instrText>
            </w:r>
            <w:r w:rsidR="002438E2" w:rsidRPr="002438E2">
              <w:rPr>
                <w:rFonts w:cs="David"/>
                <w:b/>
                <w:bCs/>
              </w:rPr>
              <w:fldChar w:fldCharType="separate"/>
            </w:r>
            <w:r w:rsidR="000204C8">
              <w:rPr>
                <w:rFonts w:cs="David"/>
                <w:b/>
                <w:bCs/>
                <w:noProof/>
                <w:rtl/>
              </w:rPr>
              <w:t>1</w:t>
            </w:r>
            <w:r w:rsidR="002438E2" w:rsidRPr="002438E2">
              <w:rPr>
                <w:rFonts w:cs="David"/>
                <w:b/>
                <w:bCs/>
              </w:rPr>
              <w:fldChar w:fldCharType="end"/>
            </w:r>
            <w:r w:rsidR="002438E2" w:rsidRPr="002438E2">
              <w:rPr>
                <w:rFonts w:cs="David"/>
                <w:rtl/>
                <w:cs/>
                <w:lang w:val="he-IL"/>
              </w:rPr>
              <w:t xml:space="preserve"> מתוך </w:t>
            </w:r>
            <w:r w:rsidR="002438E2" w:rsidRPr="002438E2">
              <w:rPr>
                <w:rFonts w:cs="David"/>
                <w:b/>
                <w:bCs/>
              </w:rPr>
              <w:fldChar w:fldCharType="begin"/>
            </w:r>
            <w:r w:rsidR="002438E2" w:rsidRPr="002438E2">
              <w:rPr>
                <w:rFonts w:cs="David"/>
                <w:b/>
                <w:bCs/>
                <w:rtl/>
                <w:cs/>
              </w:rPr>
              <w:instrText>NUMPAGES</w:instrText>
            </w:r>
            <w:r w:rsidR="002438E2" w:rsidRPr="002438E2">
              <w:rPr>
                <w:rFonts w:cs="David"/>
                <w:b/>
                <w:bCs/>
              </w:rPr>
              <w:fldChar w:fldCharType="separate"/>
            </w:r>
            <w:r w:rsidR="000204C8">
              <w:rPr>
                <w:rFonts w:cs="David"/>
                <w:b/>
                <w:bCs/>
                <w:noProof/>
                <w:rtl/>
              </w:rPr>
              <w:t>9</w:t>
            </w:r>
            <w:r w:rsidR="002438E2" w:rsidRPr="002438E2">
              <w:rPr>
                <w:rFonts w:cs="David"/>
                <w:b/>
                <w:bCs/>
              </w:rPr>
              <w:fldChar w:fldCharType="end"/>
            </w:r>
          </w:p>
        </w:sdtContent>
      </w:sdt>
    </w:sdtContent>
  </w:sdt>
  <w:p w:rsidR="00C04A6B" w:rsidRDefault="00C04A6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C7F" w:rsidRDefault="00AE1C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6A0" w:rsidRDefault="00E056A0" w:rsidP="00C04A6B">
      <w:r>
        <w:separator/>
      </w:r>
    </w:p>
  </w:footnote>
  <w:footnote w:type="continuationSeparator" w:id="0">
    <w:p w:rsidR="00E056A0" w:rsidRDefault="00E056A0" w:rsidP="00C04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C7F" w:rsidRDefault="00AE1C7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C7F" w:rsidRDefault="00AE1C7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C7F" w:rsidRDefault="00AE1C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884"/>
    <w:multiLevelType w:val="hybridMultilevel"/>
    <w:tmpl w:val="C14C09DE"/>
    <w:lvl w:ilvl="0" w:tplc="F2568F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9530283"/>
    <w:multiLevelType w:val="hybridMultilevel"/>
    <w:tmpl w:val="09067F40"/>
    <w:lvl w:ilvl="0" w:tplc="658C360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AE6066"/>
    <w:multiLevelType w:val="hybridMultilevel"/>
    <w:tmpl w:val="06B0D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934BD"/>
    <w:multiLevelType w:val="hybridMultilevel"/>
    <w:tmpl w:val="F672F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B70643"/>
    <w:multiLevelType w:val="hybridMultilevel"/>
    <w:tmpl w:val="8260315A"/>
    <w:lvl w:ilvl="0" w:tplc="F2568F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6AF624B"/>
    <w:multiLevelType w:val="hybridMultilevel"/>
    <w:tmpl w:val="6E06736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B4B5811"/>
    <w:multiLevelType w:val="hybridMultilevel"/>
    <w:tmpl w:val="AB0EC1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8036B50"/>
    <w:multiLevelType w:val="hybridMultilevel"/>
    <w:tmpl w:val="424CA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BE95A15"/>
    <w:multiLevelType w:val="hybridMultilevel"/>
    <w:tmpl w:val="ACDCE11A"/>
    <w:lvl w:ilvl="0" w:tplc="CF2EA926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16D86"/>
    <w:rsid w:val="000204C8"/>
    <w:rsid w:val="000911D7"/>
    <w:rsid w:val="000C62F4"/>
    <w:rsid w:val="000F0D97"/>
    <w:rsid w:val="000F5E2D"/>
    <w:rsid w:val="00115A82"/>
    <w:rsid w:val="00123EF5"/>
    <w:rsid w:val="001316A1"/>
    <w:rsid w:val="00150A3E"/>
    <w:rsid w:val="00177686"/>
    <w:rsid w:val="00180E8A"/>
    <w:rsid w:val="001D0E31"/>
    <w:rsid w:val="001D7646"/>
    <w:rsid w:val="001E5A00"/>
    <w:rsid w:val="0024167B"/>
    <w:rsid w:val="002438E2"/>
    <w:rsid w:val="002B3FB0"/>
    <w:rsid w:val="002C7213"/>
    <w:rsid w:val="002C756B"/>
    <w:rsid w:val="002F2629"/>
    <w:rsid w:val="003055E7"/>
    <w:rsid w:val="0033214F"/>
    <w:rsid w:val="003509EF"/>
    <w:rsid w:val="003537B9"/>
    <w:rsid w:val="003901E0"/>
    <w:rsid w:val="00391F51"/>
    <w:rsid w:val="003A7BCA"/>
    <w:rsid w:val="003E68CF"/>
    <w:rsid w:val="00420F93"/>
    <w:rsid w:val="0044713E"/>
    <w:rsid w:val="004625EB"/>
    <w:rsid w:val="00472EDE"/>
    <w:rsid w:val="00497BD0"/>
    <w:rsid w:val="004B5D8D"/>
    <w:rsid w:val="004F06E0"/>
    <w:rsid w:val="004F426F"/>
    <w:rsid w:val="00502068"/>
    <w:rsid w:val="00520122"/>
    <w:rsid w:val="00523008"/>
    <w:rsid w:val="00604E10"/>
    <w:rsid w:val="00614095"/>
    <w:rsid w:val="00626A71"/>
    <w:rsid w:val="006C01FB"/>
    <w:rsid w:val="006D416D"/>
    <w:rsid w:val="00737755"/>
    <w:rsid w:val="00743447"/>
    <w:rsid w:val="00762D5A"/>
    <w:rsid w:val="00781240"/>
    <w:rsid w:val="0078308F"/>
    <w:rsid w:val="007C2446"/>
    <w:rsid w:val="007E18EE"/>
    <w:rsid w:val="00801DDE"/>
    <w:rsid w:val="008121D7"/>
    <w:rsid w:val="00826810"/>
    <w:rsid w:val="00843E29"/>
    <w:rsid w:val="00852D44"/>
    <w:rsid w:val="0086330B"/>
    <w:rsid w:val="00876627"/>
    <w:rsid w:val="00881EF7"/>
    <w:rsid w:val="008B0765"/>
    <w:rsid w:val="008B10B8"/>
    <w:rsid w:val="008B2B4C"/>
    <w:rsid w:val="008B55E9"/>
    <w:rsid w:val="008D2EA6"/>
    <w:rsid w:val="00950E50"/>
    <w:rsid w:val="00960CFD"/>
    <w:rsid w:val="00961EFC"/>
    <w:rsid w:val="009772F5"/>
    <w:rsid w:val="009818C2"/>
    <w:rsid w:val="009A7195"/>
    <w:rsid w:val="009C1434"/>
    <w:rsid w:val="009C16BD"/>
    <w:rsid w:val="009C24AF"/>
    <w:rsid w:val="009F574F"/>
    <w:rsid w:val="00A46B0C"/>
    <w:rsid w:val="00A57161"/>
    <w:rsid w:val="00A96BDC"/>
    <w:rsid w:val="00AA51B0"/>
    <w:rsid w:val="00AB409F"/>
    <w:rsid w:val="00AC6C96"/>
    <w:rsid w:val="00AC6DD6"/>
    <w:rsid w:val="00AC75BF"/>
    <w:rsid w:val="00AD5FFC"/>
    <w:rsid w:val="00AD759C"/>
    <w:rsid w:val="00AE1C7F"/>
    <w:rsid w:val="00AE591E"/>
    <w:rsid w:val="00AF126A"/>
    <w:rsid w:val="00B058F3"/>
    <w:rsid w:val="00B2503D"/>
    <w:rsid w:val="00B31EFB"/>
    <w:rsid w:val="00B77CFC"/>
    <w:rsid w:val="00B80AE5"/>
    <w:rsid w:val="00B84BD7"/>
    <w:rsid w:val="00B856EF"/>
    <w:rsid w:val="00BE235C"/>
    <w:rsid w:val="00BE49A2"/>
    <w:rsid w:val="00C04A6B"/>
    <w:rsid w:val="00C25C1C"/>
    <w:rsid w:val="00C45C9C"/>
    <w:rsid w:val="00C656C3"/>
    <w:rsid w:val="00C84B20"/>
    <w:rsid w:val="00C94676"/>
    <w:rsid w:val="00CA53B7"/>
    <w:rsid w:val="00CB1B2B"/>
    <w:rsid w:val="00D25967"/>
    <w:rsid w:val="00D3721C"/>
    <w:rsid w:val="00D40D4B"/>
    <w:rsid w:val="00D81866"/>
    <w:rsid w:val="00D87DC1"/>
    <w:rsid w:val="00DD5923"/>
    <w:rsid w:val="00DE4BB3"/>
    <w:rsid w:val="00E056A0"/>
    <w:rsid w:val="00E15796"/>
    <w:rsid w:val="00E577A9"/>
    <w:rsid w:val="00E67ECB"/>
    <w:rsid w:val="00E85E11"/>
    <w:rsid w:val="00E870DD"/>
    <w:rsid w:val="00EA118A"/>
    <w:rsid w:val="00EC65F0"/>
    <w:rsid w:val="00ED153D"/>
    <w:rsid w:val="00F052F2"/>
    <w:rsid w:val="00F1596F"/>
    <w:rsid w:val="00F2699B"/>
    <w:rsid w:val="00F35B9D"/>
    <w:rsid w:val="00F4440F"/>
    <w:rsid w:val="00F96916"/>
    <w:rsid w:val="00FC1281"/>
    <w:rsid w:val="00FE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34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33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emf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e.boi.org.il/he/BankingSupervision/Data/Pages/Tables.aspx?ChapterId=13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hyperlink" Target="https://e.boi.org.il/he/DataAndStatistics/Pages/MainPage.aspx?Level=4&amp;Sid=53&amp;SubjectType=2" TargetMode="External"/><Relationship Id="rId28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35" Type="http://schemas.openxmlformats.org/officeDocument/2006/relationships/customXml" Target="../customXml/item4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>2014-02-26T06:00:00+00:00</PublishingStartDate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E4A2BA-42E9-4E73-9068-C91AEB8DC4A6}"/>
</file>

<file path=customXml/itemProps2.xml><?xml version="1.0" encoding="utf-8"?>
<ds:datastoreItem xmlns:ds="http://schemas.openxmlformats.org/officeDocument/2006/customXml" ds:itemID="{F8C8AA6C-89F7-495C-A458-91B3760A6415}"/>
</file>

<file path=customXml/itemProps3.xml><?xml version="1.0" encoding="utf-8"?>
<ds:datastoreItem xmlns:ds="http://schemas.openxmlformats.org/officeDocument/2006/customXml" ds:itemID="{2B47D4AB-9BD9-46CA-A82C-85E90DB669CD}"/>
</file>

<file path=customXml/itemProps4.xml><?xml version="1.0" encoding="utf-8"?>
<ds:datastoreItem xmlns:ds="http://schemas.openxmlformats.org/officeDocument/2006/customXml" ds:itemID="{C1A5237D-17DA-4C71-A2CF-F4B7B55B8A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813</Words>
  <Characters>4068</Characters>
  <Application>Microsoft Office Word</Application>
  <DocSecurity>0</DocSecurity>
  <Lines>33</Lines>
  <Paragraphs>9</Paragraphs>
  <ScaleCrop>false</ScaleCrop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2014-02-25T12:52:00Z</dcterms:created>
  <dcterms:modified xsi:type="dcterms:W3CDTF">2014-02-25T12:52:00Z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