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95"/>
        <w:bidiVisual/>
        <w:tblW w:w="0" w:type="auto"/>
        <w:tblLayout w:type="fixed"/>
        <w:tblLook w:val="0000" w:firstRow="0" w:lastRow="0" w:firstColumn="0" w:lastColumn="0" w:noHBand="0" w:noVBand="0"/>
      </w:tblPr>
      <w:tblGrid>
        <w:gridCol w:w="2840"/>
        <w:gridCol w:w="2596"/>
        <w:gridCol w:w="3084"/>
      </w:tblGrid>
      <w:tr w:rsidR="00CD453E" w:rsidRPr="00CD453E" w:rsidTr="00CD453E">
        <w:trPr>
          <w:cantSplit/>
        </w:trPr>
        <w:tc>
          <w:tcPr>
            <w:tcW w:w="2840" w:type="dxa"/>
            <w:tcBorders>
              <w:top w:val="nil"/>
              <w:left w:val="nil"/>
              <w:bottom w:val="nil"/>
              <w:right w:val="nil"/>
            </w:tcBorders>
            <w:vAlign w:val="center"/>
          </w:tcPr>
          <w:p w:rsidR="00CD453E" w:rsidRPr="00CD453E" w:rsidRDefault="00CD453E" w:rsidP="00CD453E">
            <w:pPr>
              <w:spacing w:line="360" w:lineRule="auto"/>
              <w:jc w:val="center"/>
              <w:rPr>
                <w:rFonts w:cs="David"/>
                <w:b/>
                <w:bCs/>
                <w:sz w:val="24"/>
                <w:szCs w:val="24"/>
              </w:rPr>
            </w:pPr>
            <w:r w:rsidRPr="00CD453E">
              <w:rPr>
                <w:rFonts w:cs="David"/>
                <w:b/>
                <w:bCs/>
                <w:sz w:val="24"/>
                <w:szCs w:val="24"/>
                <w:rtl/>
              </w:rPr>
              <w:t>בנק ישראל</w:t>
            </w:r>
          </w:p>
          <w:p w:rsidR="00CD453E" w:rsidRPr="008554AE" w:rsidRDefault="00CD453E" w:rsidP="00CD453E">
            <w:pPr>
              <w:spacing w:line="360" w:lineRule="auto"/>
              <w:ind w:right="-101"/>
              <w:jc w:val="center"/>
            </w:pPr>
            <w:r w:rsidRPr="00CD453E">
              <w:rPr>
                <w:rFonts w:cs="David"/>
                <w:sz w:val="24"/>
                <w:szCs w:val="24"/>
                <w:rtl/>
              </w:rPr>
              <w:t>דוברות והסברה כלכלית</w:t>
            </w:r>
          </w:p>
        </w:tc>
        <w:tc>
          <w:tcPr>
            <w:tcW w:w="2596" w:type="dxa"/>
            <w:tcBorders>
              <w:top w:val="nil"/>
              <w:left w:val="nil"/>
              <w:bottom w:val="nil"/>
              <w:right w:val="nil"/>
            </w:tcBorders>
          </w:tcPr>
          <w:p w:rsidR="00CD453E" w:rsidRPr="008554AE" w:rsidRDefault="00CD453E" w:rsidP="00CD453E">
            <w:pPr>
              <w:jc w:val="center"/>
            </w:pPr>
            <w:r w:rsidRPr="003B4F5D">
              <w:rPr>
                <w:noProof/>
              </w:rPr>
              <w:drawing>
                <wp:inline distT="0" distB="0" distL="0" distR="0" wp14:anchorId="4D3EBE4F" wp14:editId="7B17CB24">
                  <wp:extent cx="889248" cy="889248"/>
                  <wp:effectExtent l="0" t="0" r="0" b="0"/>
                  <wp:docPr id="1" name="תמונה 7"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descr="לוגו בנק ישראל" title="לוגו בנק ישראל"/>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CD453E" w:rsidRPr="00CD453E" w:rsidRDefault="00CD453E" w:rsidP="00CD453E">
            <w:pPr>
              <w:spacing w:line="480" w:lineRule="auto"/>
              <w:jc w:val="right"/>
              <w:rPr>
                <w:rFonts w:cs="David"/>
                <w:sz w:val="24"/>
                <w:szCs w:val="24"/>
              </w:rPr>
            </w:pPr>
            <w:r w:rsidRPr="00CD453E">
              <w:rPr>
                <w:rFonts w:cs="David" w:hint="eastAsia"/>
                <w:sz w:val="24"/>
                <w:szCs w:val="24"/>
                <w:rtl/>
              </w:rPr>
              <w:t>‏</w:t>
            </w:r>
            <w:r w:rsidRPr="00CD453E">
              <w:rPr>
                <w:rFonts w:cs="David"/>
                <w:sz w:val="24"/>
                <w:szCs w:val="24"/>
                <w:rtl/>
              </w:rPr>
              <w:t>ירושלים,</w:t>
            </w:r>
            <w:r w:rsidRPr="00CD453E">
              <w:rPr>
                <w:rFonts w:cs="David" w:hint="cs"/>
                <w:sz w:val="24"/>
                <w:szCs w:val="24"/>
                <w:rtl/>
              </w:rPr>
              <w:t xml:space="preserve"> י"ד בשבט </w:t>
            </w:r>
            <w:r w:rsidRPr="00CD453E">
              <w:rPr>
                <w:rFonts w:cs="David"/>
                <w:sz w:val="24"/>
                <w:szCs w:val="24"/>
                <w:rtl/>
              </w:rPr>
              <w:t>תש</w:t>
            </w:r>
            <w:r w:rsidRPr="00CD453E">
              <w:rPr>
                <w:rFonts w:cs="David" w:hint="cs"/>
                <w:sz w:val="24"/>
                <w:szCs w:val="24"/>
                <w:rtl/>
              </w:rPr>
              <w:t>פ"א</w:t>
            </w:r>
          </w:p>
          <w:p w:rsidR="00CD453E" w:rsidRPr="00CD453E" w:rsidRDefault="00CD453E" w:rsidP="00CD453E">
            <w:pPr>
              <w:spacing w:line="480" w:lineRule="auto"/>
              <w:jc w:val="right"/>
              <w:rPr>
                <w:rFonts w:cs="David"/>
                <w:sz w:val="24"/>
                <w:szCs w:val="24"/>
              </w:rPr>
            </w:pPr>
            <w:r w:rsidRPr="00CD453E">
              <w:rPr>
                <w:rFonts w:cs="David" w:hint="eastAsia"/>
                <w:sz w:val="24"/>
                <w:szCs w:val="24"/>
                <w:rtl/>
              </w:rPr>
              <w:t>‏‏</w:t>
            </w:r>
            <w:r w:rsidRPr="00CD453E">
              <w:rPr>
                <w:rFonts w:cs="David" w:hint="cs"/>
                <w:sz w:val="24"/>
                <w:szCs w:val="24"/>
                <w:rtl/>
              </w:rPr>
              <w:t>27</w:t>
            </w:r>
            <w:r w:rsidRPr="00CD453E">
              <w:rPr>
                <w:rFonts w:cs="David"/>
                <w:sz w:val="24"/>
                <w:szCs w:val="24"/>
                <w:rtl/>
              </w:rPr>
              <w:t xml:space="preserve"> </w:t>
            </w:r>
            <w:r w:rsidRPr="00CD453E">
              <w:rPr>
                <w:rFonts w:cs="David" w:hint="cs"/>
                <w:sz w:val="24"/>
                <w:szCs w:val="24"/>
                <w:rtl/>
              </w:rPr>
              <w:t>בינואר</w:t>
            </w:r>
            <w:r w:rsidRPr="00CD453E">
              <w:rPr>
                <w:rFonts w:cs="David"/>
                <w:sz w:val="24"/>
                <w:szCs w:val="24"/>
                <w:rtl/>
              </w:rPr>
              <w:t xml:space="preserve"> 20</w:t>
            </w:r>
            <w:r w:rsidRPr="00CD453E">
              <w:rPr>
                <w:rFonts w:cs="David" w:hint="cs"/>
                <w:sz w:val="24"/>
                <w:szCs w:val="24"/>
                <w:rtl/>
              </w:rPr>
              <w:t>21</w:t>
            </w:r>
          </w:p>
        </w:tc>
      </w:tr>
    </w:tbl>
    <w:p w:rsidR="00CD453E" w:rsidRDefault="00CD453E" w:rsidP="00CD453E">
      <w:pPr>
        <w:spacing w:line="360" w:lineRule="auto"/>
        <w:rPr>
          <w:rFonts w:cs="David"/>
          <w:rtl/>
        </w:rPr>
      </w:pPr>
    </w:p>
    <w:p w:rsidR="00CD453E" w:rsidRPr="00A12B4E" w:rsidRDefault="00CD453E" w:rsidP="00CD453E">
      <w:pPr>
        <w:spacing w:line="360" w:lineRule="auto"/>
        <w:rPr>
          <w:rFonts w:cs="David"/>
          <w:b/>
          <w:bCs/>
          <w:rtl/>
        </w:rPr>
      </w:pPr>
    </w:p>
    <w:p w:rsidR="00CD453E" w:rsidRPr="00CD453E" w:rsidRDefault="00CD453E" w:rsidP="00CD453E">
      <w:pPr>
        <w:spacing w:line="360" w:lineRule="auto"/>
        <w:rPr>
          <w:rFonts w:cs="David"/>
          <w:sz w:val="24"/>
          <w:szCs w:val="24"/>
          <w:rtl/>
        </w:rPr>
      </w:pPr>
      <w:r w:rsidRPr="00CD453E">
        <w:rPr>
          <w:rFonts w:cs="David" w:hint="cs"/>
          <w:sz w:val="24"/>
          <w:szCs w:val="24"/>
          <w:rtl/>
        </w:rPr>
        <w:t>הודעה לעיתונות:</w:t>
      </w:r>
    </w:p>
    <w:p w:rsidR="00916B57" w:rsidRDefault="00916B57" w:rsidP="00916B57">
      <w:pPr>
        <w:rPr>
          <w:rFonts w:ascii="David" w:hAnsi="David" w:cs="David"/>
        </w:rPr>
      </w:pPr>
    </w:p>
    <w:p w:rsidR="00CD453E" w:rsidRDefault="00353880" w:rsidP="00A12EEE">
      <w:pPr>
        <w:jc w:val="center"/>
        <w:rPr>
          <w:rFonts w:ascii="David" w:hAnsi="David" w:cs="David"/>
          <w:b/>
          <w:bCs/>
          <w:sz w:val="28"/>
          <w:szCs w:val="28"/>
          <w:rtl/>
        </w:rPr>
      </w:pPr>
      <w:r>
        <w:rPr>
          <w:rFonts w:ascii="David" w:hAnsi="David" w:cs="David" w:hint="cs"/>
          <w:b/>
          <w:bCs/>
          <w:sz w:val="32"/>
          <w:szCs w:val="32"/>
          <w:rtl/>
        </w:rPr>
        <w:t xml:space="preserve"> </w:t>
      </w:r>
      <w:r w:rsidR="00C63A9C" w:rsidRPr="00CD453E">
        <w:rPr>
          <w:rFonts w:ascii="David" w:hAnsi="David" w:cs="David" w:hint="cs"/>
          <w:b/>
          <w:bCs/>
          <w:sz w:val="28"/>
          <w:szCs w:val="28"/>
          <w:rtl/>
        </w:rPr>
        <w:t xml:space="preserve">ניתוח מיוחד: </w:t>
      </w:r>
    </w:p>
    <w:p w:rsidR="00916B57" w:rsidRPr="00CD453E" w:rsidRDefault="00353880" w:rsidP="00A12EEE">
      <w:pPr>
        <w:jc w:val="center"/>
        <w:rPr>
          <w:rFonts w:ascii="David" w:hAnsi="David" w:cs="David"/>
          <w:b/>
          <w:bCs/>
          <w:sz w:val="28"/>
          <w:szCs w:val="28"/>
          <w:rtl/>
        </w:rPr>
      </w:pPr>
      <w:r w:rsidRPr="00CD453E">
        <w:rPr>
          <w:rFonts w:ascii="David" w:hAnsi="David" w:cs="David" w:hint="cs"/>
          <w:b/>
          <w:bCs/>
          <w:sz w:val="28"/>
          <w:szCs w:val="28"/>
          <w:rtl/>
        </w:rPr>
        <w:t>שיקים</w:t>
      </w:r>
      <w:r w:rsidR="006C1EDE" w:rsidRPr="00CD453E">
        <w:rPr>
          <w:rFonts w:ascii="David" w:hAnsi="David" w:cs="David" w:hint="cs"/>
          <w:b/>
          <w:bCs/>
          <w:sz w:val="28"/>
          <w:szCs w:val="28"/>
          <w:rtl/>
        </w:rPr>
        <w:t xml:space="preserve"> ולקוחות שהוטלה עליהם הגבלה</w:t>
      </w:r>
      <w:r w:rsidRPr="00CD453E">
        <w:rPr>
          <w:rFonts w:ascii="David" w:hAnsi="David" w:cs="David"/>
          <w:b/>
          <w:bCs/>
          <w:sz w:val="28"/>
          <w:szCs w:val="28"/>
          <w:rtl/>
        </w:rPr>
        <w:t>–</w:t>
      </w:r>
      <w:r w:rsidRPr="00CD453E">
        <w:rPr>
          <w:rFonts w:ascii="David" w:hAnsi="David" w:cs="David" w:hint="cs"/>
          <w:b/>
          <w:bCs/>
          <w:sz w:val="28"/>
          <w:szCs w:val="28"/>
          <w:rtl/>
        </w:rPr>
        <w:t xml:space="preserve"> </w:t>
      </w:r>
      <w:r w:rsidR="00A12EEE" w:rsidRPr="00CD453E">
        <w:rPr>
          <w:rFonts w:ascii="David" w:hAnsi="David" w:cs="David" w:hint="cs"/>
          <w:b/>
          <w:bCs/>
          <w:sz w:val="28"/>
          <w:szCs w:val="28"/>
          <w:rtl/>
        </w:rPr>
        <w:t>נתונים</w:t>
      </w:r>
      <w:r w:rsidR="006C1EDE" w:rsidRPr="00CD453E">
        <w:rPr>
          <w:rFonts w:ascii="David" w:hAnsi="David" w:cs="David" w:hint="cs"/>
          <w:b/>
          <w:bCs/>
          <w:sz w:val="28"/>
          <w:szCs w:val="28"/>
          <w:rtl/>
        </w:rPr>
        <w:t xml:space="preserve"> </w:t>
      </w:r>
      <w:r w:rsidRPr="00CD453E">
        <w:rPr>
          <w:rFonts w:ascii="David" w:hAnsi="David" w:cs="David" w:hint="cs"/>
          <w:b/>
          <w:bCs/>
          <w:sz w:val="28"/>
          <w:szCs w:val="28"/>
          <w:rtl/>
        </w:rPr>
        <w:t>ומגמות</w:t>
      </w:r>
      <w:r w:rsidR="00792C2A" w:rsidRPr="00CD453E">
        <w:rPr>
          <w:rFonts w:ascii="David" w:hAnsi="David" w:cs="David" w:hint="cs"/>
          <w:b/>
          <w:bCs/>
          <w:sz w:val="28"/>
          <w:szCs w:val="28"/>
          <w:rtl/>
        </w:rPr>
        <w:t xml:space="preserve"> במהלך משבר הקורונה</w:t>
      </w:r>
    </w:p>
    <w:p w:rsidR="00CD453E" w:rsidRDefault="00CD453E" w:rsidP="00E22DE4">
      <w:pPr>
        <w:rPr>
          <w:rFonts w:ascii="David" w:hAnsi="David" w:cs="David"/>
          <w:b/>
          <w:bCs/>
          <w:sz w:val="24"/>
          <w:szCs w:val="24"/>
          <w:rtl/>
        </w:rPr>
      </w:pPr>
    </w:p>
    <w:p w:rsidR="00E22DE4" w:rsidRPr="00CD453E" w:rsidRDefault="002C3DC9" w:rsidP="00CD453E">
      <w:pPr>
        <w:spacing w:line="276" w:lineRule="auto"/>
        <w:rPr>
          <w:rFonts w:ascii="David" w:hAnsi="David" w:cs="David"/>
          <w:b/>
          <w:bCs/>
          <w:sz w:val="24"/>
          <w:szCs w:val="24"/>
          <w:rtl/>
        </w:rPr>
      </w:pPr>
      <w:r w:rsidRPr="00CD453E">
        <w:rPr>
          <w:rFonts w:ascii="David" w:hAnsi="David" w:cs="David" w:hint="cs"/>
          <w:b/>
          <w:bCs/>
          <w:sz w:val="24"/>
          <w:szCs w:val="24"/>
          <w:rtl/>
        </w:rPr>
        <w:t>תיאור תמציתי</w:t>
      </w:r>
      <w:r w:rsidR="00342F40" w:rsidRPr="00CD453E">
        <w:rPr>
          <w:rStyle w:val="af3"/>
          <w:rFonts w:ascii="David" w:hAnsi="David" w:cs="David"/>
          <w:b/>
          <w:bCs/>
          <w:sz w:val="24"/>
          <w:szCs w:val="24"/>
          <w:rtl/>
        </w:rPr>
        <w:footnoteReference w:id="1"/>
      </w:r>
      <w:r w:rsidR="00342F40" w:rsidRPr="00CD453E">
        <w:rPr>
          <w:rFonts w:ascii="David" w:hAnsi="David" w:cs="David" w:hint="cs"/>
          <w:b/>
          <w:bCs/>
          <w:sz w:val="24"/>
          <w:szCs w:val="24"/>
          <w:rtl/>
        </w:rPr>
        <w:t>,</w:t>
      </w:r>
      <w:r w:rsidR="00342F40" w:rsidRPr="00CD453E">
        <w:rPr>
          <w:rStyle w:val="af3"/>
          <w:rFonts w:ascii="David" w:hAnsi="David" w:cs="David"/>
          <w:b/>
          <w:bCs/>
          <w:sz w:val="24"/>
          <w:szCs w:val="24"/>
          <w:rtl/>
        </w:rPr>
        <w:footnoteReference w:id="2"/>
      </w:r>
    </w:p>
    <w:p w:rsidR="00C42F0D" w:rsidRPr="00CD453E" w:rsidRDefault="000175FF" w:rsidP="00CD453E">
      <w:pPr>
        <w:spacing w:line="276" w:lineRule="auto"/>
        <w:jc w:val="both"/>
        <w:rPr>
          <w:rFonts w:ascii="David" w:hAnsi="David" w:cs="David"/>
          <w:sz w:val="24"/>
          <w:szCs w:val="24"/>
          <w:rtl/>
        </w:rPr>
      </w:pPr>
      <w:r w:rsidRPr="00CD453E">
        <w:rPr>
          <w:rFonts w:ascii="David" w:hAnsi="David" w:cs="David" w:hint="cs"/>
          <w:sz w:val="24"/>
          <w:szCs w:val="24"/>
          <w:rtl/>
        </w:rPr>
        <w:t>מתוך הנתונים ותיאור המגמות שלהלן, ניתן לקבוע שרמת הסיכון בעסקאות שיקים במשק הישראלי ירדה משמעותית בחודשים האחרונים</w:t>
      </w:r>
      <w:r w:rsidR="00256D60" w:rsidRPr="00CD453E">
        <w:rPr>
          <w:rFonts w:ascii="David" w:hAnsi="David" w:cs="David" w:hint="cs"/>
          <w:sz w:val="24"/>
          <w:szCs w:val="24"/>
          <w:rtl/>
        </w:rPr>
        <w:t xml:space="preserve">. ירידה זו באה לידי ביטוי </w:t>
      </w:r>
      <w:r w:rsidR="001C1E95" w:rsidRPr="00CD453E">
        <w:rPr>
          <w:rFonts w:ascii="David" w:hAnsi="David" w:cs="David" w:hint="cs"/>
          <w:sz w:val="24"/>
          <w:szCs w:val="24"/>
          <w:rtl/>
        </w:rPr>
        <w:t>בירידה ב</w:t>
      </w:r>
      <w:r w:rsidR="00256D60" w:rsidRPr="00CD453E">
        <w:rPr>
          <w:rFonts w:ascii="David" w:hAnsi="David" w:cs="David" w:hint="cs"/>
          <w:sz w:val="24"/>
          <w:szCs w:val="24"/>
          <w:rtl/>
        </w:rPr>
        <w:t>שיעור ו</w:t>
      </w:r>
      <w:r w:rsidRPr="00CD453E">
        <w:rPr>
          <w:rFonts w:ascii="David" w:hAnsi="David" w:cs="David" w:hint="cs"/>
          <w:sz w:val="24"/>
          <w:szCs w:val="24"/>
          <w:rtl/>
        </w:rPr>
        <w:t xml:space="preserve">היקף שיקים ללא כיסוי, אפילו ביחס לשגרה. </w:t>
      </w:r>
      <w:r w:rsidR="008C34EB" w:rsidRPr="00CD453E">
        <w:rPr>
          <w:rFonts w:ascii="David" w:hAnsi="David" w:cs="David" w:hint="cs"/>
          <w:sz w:val="24"/>
          <w:szCs w:val="24"/>
          <w:rtl/>
        </w:rPr>
        <w:t>מצב זה משקף גם ירידה מתמדת ועקבית במספר</w:t>
      </w:r>
      <w:r w:rsidR="00DA44CD" w:rsidRPr="00CD453E">
        <w:rPr>
          <w:rFonts w:ascii="David" w:hAnsi="David" w:cs="David" w:hint="cs"/>
          <w:sz w:val="24"/>
          <w:szCs w:val="24"/>
          <w:rtl/>
        </w:rPr>
        <w:t xml:space="preserve"> החשבונות שהוטלה עליהם הגבלה</w:t>
      </w:r>
      <w:r w:rsidR="008214E6" w:rsidRPr="00CD453E">
        <w:rPr>
          <w:rFonts w:ascii="David" w:hAnsi="David" w:cs="David" w:hint="cs"/>
          <w:sz w:val="24"/>
          <w:szCs w:val="24"/>
          <w:rtl/>
        </w:rPr>
        <w:t xml:space="preserve"> "בנקאית" (דהיינו, הגבלה שהוטלה בעקבות סירוב שיקים ללא כיסוי, בניגוד להגבלה "חוץ בנקאית" שמוטלת בעקבות חוב לרשות האכיפה או הליך פשיטת רגל)</w:t>
      </w:r>
      <w:r w:rsidR="008C34EB" w:rsidRPr="00CD453E">
        <w:rPr>
          <w:rFonts w:ascii="David" w:hAnsi="David" w:cs="David" w:hint="cs"/>
          <w:sz w:val="24"/>
          <w:szCs w:val="24"/>
          <w:rtl/>
        </w:rPr>
        <w:t xml:space="preserve">, ירידה </w:t>
      </w:r>
      <w:r w:rsidR="00DA44CD" w:rsidRPr="00CD453E">
        <w:rPr>
          <w:rFonts w:ascii="David" w:hAnsi="David" w:cs="David" w:hint="cs"/>
          <w:sz w:val="24"/>
          <w:szCs w:val="24"/>
          <w:rtl/>
        </w:rPr>
        <w:t>הנמשכת</w:t>
      </w:r>
      <w:r w:rsidR="008C34EB" w:rsidRPr="00CD453E">
        <w:rPr>
          <w:rFonts w:ascii="David" w:hAnsi="David" w:cs="David" w:hint="cs"/>
          <w:sz w:val="24"/>
          <w:szCs w:val="24"/>
          <w:rtl/>
        </w:rPr>
        <w:t xml:space="preserve"> </w:t>
      </w:r>
      <w:r w:rsidR="008214E6" w:rsidRPr="00CD453E">
        <w:rPr>
          <w:rFonts w:ascii="David" w:hAnsi="David" w:cs="David" w:hint="cs"/>
          <w:sz w:val="24"/>
          <w:szCs w:val="24"/>
          <w:rtl/>
        </w:rPr>
        <w:t xml:space="preserve">עד לסוף שנת 2020, משמע , גם </w:t>
      </w:r>
      <w:r w:rsidR="008C34EB" w:rsidRPr="00CD453E">
        <w:rPr>
          <w:rFonts w:ascii="David" w:hAnsi="David" w:cs="David" w:hint="cs"/>
          <w:sz w:val="24"/>
          <w:szCs w:val="24"/>
          <w:rtl/>
        </w:rPr>
        <w:t>לאחר סיום ההקלות שפרסם משרד המשפטים בנוגע להטלת הגבלות בגין שיקים ללא כיסוי.</w:t>
      </w:r>
    </w:p>
    <w:p w:rsidR="008C34EB" w:rsidRPr="00CD453E" w:rsidRDefault="00C80F46" w:rsidP="00CD453E">
      <w:pPr>
        <w:spacing w:line="276" w:lineRule="auto"/>
        <w:jc w:val="both"/>
        <w:rPr>
          <w:rFonts w:ascii="David" w:hAnsi="David" w:cs="David"/>
          <w:sz w:val="24"/>
          <w:szCs w:val="24"/>
          <w:rtl/>
        </w:rPr>
      </w:pPr>
      <w:r w:rsidRPr="00CD453E">
        <w:rPr>
          <w:rFonts w:ascii="David" w:hAnsi="David" w:cs="David" w:hint="cs"/>
          <w:sz w:val="24"/>
          <w:szCs w:val="24"/>
          <w:rtl/>
        </w:rPr>
        <w:t xml:space="preserve">לצד זאת, </w:t>
      </w:r>
      <w:r w:rsidR="008C34EB" w:rsidRPr="00CD453E">
        <w:rPr>
          <w:rFonts w:ascii="David" w:hAnsi="David" w:cs="David" w:hint="cs"/>
          <w:sz w:val="24"/>
          <w:szCs w:val="24"/>
          <w:rtl/>
        </w:rPr>
        <w:t>ככל הנראה</w:t>
      </w:r>
      <w:r w:rsidR="001C1E95" w:rsidRPr="00CD453E">
        <w:rPr>
          <w:rFonts w:ascii="David" w:hAnsi="David" w:cs="David" w:hint="cs"/>
          <w:sz w:val="24"/>
          <w:szCs w:val="24"/>
          <w:rtl/>
        </w:rPr>
        <w:t>, הירידה בפעילות המשקית</w:t>
      </w:r>
      <w:r w:rsidR="00C63A9C" w:rsidRPr="00CD453E">
        <w:rPr>
          <w:rFonts w:ascii="David" w:hAnsi="David" w:cs="David" w:hint="cs"/>
          <w:sz w:val="24"/>
          <w:szCs w:val="24"/>
          <w:rtl/>
        </w:rPr>
        <w:t xml:space="preserve"> לנוכח התפשטות המגפה,</w:t>
      </w:r>
      <w:r w:rsidR="001C1E95" w:rsidRPr="00CD453E">
        <w:rPr>
          <w:rFonts w:ascii="David" w:hAnsi="David" w:cs="David" w:hint="cs"/>
          <w:sz w:val="24"/>
          <w:szCs w:val="24"/>
          <w:rtl/>
        </w:rPr>
        <w:t xml:space="preserve"> הסגרים והמגבלות</w:t>
      </w:r>
      <w:r w:rsidR="00FA448F" w:rsidRPr="00CD453E">
        <w:rPr>
          <w:rFonts w:ascii="David" w:hAnsi="David" w:cs="David" w:hint="cs"/>
          <w:sz w:val="24"/>
          <w:szCs w:val="24"/>
          <w:rtl/>
        </w:rPr>
        <w:t xml:space="preserve"> הבריאותיות</w:t>
      </w:r>
      <w:r w:rsidR="001C1E95" w:rsidRPr="00CD453E">
        <w:rPr>
          <w:rFonts w:ascii="David" w:hAnsi="David" w:cs="David" w:hint="cs"/>
          <w:sz w:val="24"/>
          <w:szCs w:val="24"/>
          <w:rtl/>
        </w:rPr>
        <w:t>, לצד</w:t>
      </w:r>
      <w:r w:rsidR="008C34EB" w:rsidRPr="00CD453E">
        <w:rPr>
          <w:rFonts w:ascii="David" w:hAnsi="David" w:cs="David" w:hint="cs"/>
          <w:sz w:val="24"/>
          <w:szCs w:val="24"/>
          <w:rtl/>
        </w:rPr>
        <w:t xml:space="preserve"> גל ביטולי השיקים והשהיית ההגבלות בתחילת המשבר הביאו להפחתה בהיקף השימוש בשיקים, ובמקביל להעלאת רמת הזהירות בעסקאות שהמשיכו להתבצע לאורך התקופה הנמדדת.</w:t>
      </w:r>
    </w:p>
    <w:p w:rsidR="00B104A8" w:rsidRPr="00CD453E" w:rsidRDefault="00B104A8" w:rsidP="00CD453E">
      <w:pPr>
        <w:spacing w:line="276" w:lineRule="auto"/>
        <w:jc w:val="both"/>
        <w:rPr>
          <w:rFonts w:ascii="David" w:hAnsi="David" w:cs="David"/>
          <w:b/>
          <w:bCs/>
          <w:sz w:val="24"/>
          <w:szCs w:val="24"/>
          <w:rtl/>
        </w:rPr>
      </w:pPr>
    </w:p>
    <w:p w:rsidR="00C42F0D" w:rsidRPr="00CD453E" w:rsidRDefault="005B58B8" w:rsidP="00CD453E">
      <w:pPr>
        <w:spacing w:line="276" w:lineRule="auto"/>
        <w:jc w:val="both"/>
        <w:rPr>
          <w:rFonts w:ascii="David" w:hAnsi="David" w:cs="David"/>
          <w:b/>
          <w:bCs/>
          <w:sz w:val="24"/>
          <w:szCs w:val="24"/>
          <w:rtl/>
        </w:rPr>
      </w:pPr>
      <w:r w:rsidRPr="00CD453E">
        <w:rPr>
          <w:rFonts w:ascii="David" w:hAnsi="David" w:cs="David" w:hint="cs"/>
          <w:b/>
          <w:bCs/>
          <w:sz w:val="24"/>
          <w:szCs w:val="24"/>
          <w:rtl/>
        </w:rPr>
        <w:t>אינדיקטורים המעידים על סיכון בעסקאות עם תשלום באמצעות שיקים</w:t>
      </w:r>
    </w:p>
    <w:p w:rsidR="00C42F0D" w:rsidRPr="00CD453E" w:rsidRDefault="00E20759" w:rsidP="00CD453E">
      <w:pPr>
        <w:spacing w:line="276" w:lineRule="auto"/>
        <w:jc w:val="both"/>
        <w:rPr>
          <w:rFonts w:ascii="David" w:hAnsi="David" w:cs="David"/>
          <w:sz w:val="24"/>
          <w:szCs w:val="24"/>
          <w:rtl/>
        </w:rPr>
      </w:pPr>
      <w:r w:rsidRPr="00CD453E">
        <w:rPr>
          <w:rFonts w:ascii="David" w:hAnsi="David" w:cs="David" w:hint="cs"/>
          <w:sz w:val="24"/>
          <w:szCs w:val="24"/>
          <w:rtl/>
        </w:rPr>
        <w:t xml:space="preserve">על פי הנתונים ניתן לראות שהאינדיקטורים העיקריים המעידים על </w:t>
      </w:r>
      <w:r w:rsidR="00DA44CD" w:rsidRPr="00CD453E">
        <w:rPr>
          <w:rFonts w:ascii="David" w:hAnsi="David" w:cs="David" w:hint="cs"/>
          <w:sz w:val="24"/>
          <w:szCs w:val="24"/>
          <w:rtl/>
        </w:rPr>
        <w:t>הסיכון</w:t>
      </w:r>
      <w:r w:rsidRPr="00CD453E">
        <w:rPr>
          <w:rFonts w:ascii="David" w:hAnsi="David" w:cs="David" w:hint="cs"/>
          <w:sz w:val="24"/>
          <w:szCs w:val="24"/>
          <w:rtl/>
        </w:rPr>
        <w:t>, עומדים על ערכים נמוכים, אפילו ביחס לשגרה, ובפרט:</w:t>
      </w:r>
    </w:p>
    <w:p w:rsidR="00E20759" w:rsidRPr="00CD453E" w:rsidRDefault="00E20759" w:rsidP="00CD453E">
      <w:pPr>
        <w:spacing w:line="276" w:lineRule="auto"/>
        <w:jc w:val="both"/>
        <w:rPr>
          <w:rFonts w:ascii="David" w:hAnsi="David" w:cs="David"/>
          <w:b/>
          <w:bCs/>
          <w:sz w:val="24"/>
          <w:szCs w:val="24"/>
          <w:rtl/>
        </w:rPr>
      </w:pPr>
      <w:r w:rsidRPr="00CD453E">
        <w:rPr>
          <w:rFonts w:ascii="David" w:hAnsi="David" w:cs="David" w:hint="cs"/>
          <w:b/>
          <w:bCs/>
          <w:sz w:val="24"/>
          <w:szCs w:val="24"/>
          <w:rtl/>
        </w:rPr>
        <w:t>שיעור ש</w:t>
      </w:r>
      <w:r w:rsidR="006C1EDE" w:rsidRPr="00CD453E">
        <w:rPr>
          <w:rFonts w:ascii="David" w:hAnsi="David" w:cs="David" w:hint="cs"/>
          <w:b/>
          <w:bCs/>
          <w:sz w:val="24"/>
          <w:szCs w:val="24"/>
          <w:rtl/>
        </w:rPr>
        <w:t>י</w:t>
      </w:r>
      <w:r w:rsidRPr="00CD453E">
        <w:rPr>
          <w:rFonts w:ascii="David" w:hAnsi="David" w:cs="David" w:hint="cs"/>
          <w:b/>
          <w:bCs/>
          <w:sz w:val="24"/>
          <w:szCs w:val="24"/>
          <w:rtl/>
        </w:rPr>
        <w:t>קים ללא כיסוי</w:t>
      </w:r>
    </w:p>
    <w:p w:rsidR="00E20759" w:rsidRPr="00CD453E" w:rsidRDefault="00256D60" w:rsidP="00CD453E">
      <w:pPr>
        <w:spacing w:line="276" w:lineRule="auto"/>
        <w:jc w:val="both"/>
        <w:rPr>
          <w:rFonts w:ascii="David" w:hAnsi="David" w:cs="David"/>
          <w:sz w:val="24"/>
          <w:szCs w:val="24"/>
          <w:rtl/>
        </w:rPr>
      </w:pPr>
      <w:r w:rsidRPr="00CD453E">
        <w:rPr>
          <w:rFonts w:ascii="David" w:hAnsi="David" w:cs="David" w:hint="cs"/>
          <w:sz w:val="24"/>
          <w:szCs w:val="24"/>
          <w:rtl/>
        </w:rPr>
        <w:t xml:space="preserve">נתוני </w:t>
      </w:r>
      <w:r w:rsidR="00E20759" w:rsidRPr="00CD453E">
        <w:rPr>
          <w:rFonts w:ascii="David" w:hAnsi="David" w:cs="David" w:hint="cs"/>
          <w:sz w:val="24"/>
          <w:szCs w:val="24"/>
          <w:rtl/>
        </w:rPr>
        <w:t xml:space="preserve">שיקים ללא כיסוי מהווים </w:t>
      </w:r>
      <w:r w:rsidRPr="00CD453E">
        <w:rPr>
          <w:rFonts w:ascii="David" w:hAnsi="David" w:cs="David" w:hint="cs"/>
          <w:sz w:val="24"/>
          <w:szCs w:val="24"/>
          <w:rtl/>
        </w:rPr>
        <w:t>תמרור</w:t>
      </w:r>
      <w:r w:rsidR="00E20759" w:rsidRPr="00CD453E">
        <w:rPr>
          <w:rFonts w:ascii="David" w:hAnsi="David" w:cs="David" w:hint="cs"/>
          <w:sz w:val="24"/>
          <w:szCs w:val="24"/>
          <w:rtl/>
        </w:rPr>
        <w:t xml:space="preserve"> אזהרה מרכ</w:t>
      </w:r>
      <w:r w:rsidRPr="00CD453E">
        <w:rPr>
          <w:rFonts w:ascii="David" w:hAnsi="David" w:cs="David" w:hint="cs"/>
          <w:sz w:val="24"/>
          <w:szCs w:val="24"/>
          <w:rtl/>
        </w:rPr>
        <w:t>זי</w:t>
      </w:r>
      <w:r w:rsidR="00EE485F" w:rsidRPr="00CD453E">
        <w:rPr>
          <w:rFonts w:ascii="David" w:hAnsi="David" w:cs="David" w:hint="cs"/>
          <w:sz w:val="24"/>
          <w:szCs w:val="24"/>
          <w:rtl/>
        </w:rPr>
        <w:t xml:space="preserve"> באיתור כשלים בשימוש בשיקים. </w:t>
      </w:r>
      <w:r w:rsidR="00E20759" w:rsidRPr="00CD453E">
        <w:rPr>
          <w:rFonts w:ascii="David" w:hAnsi="David" w:cs="David" w:hint="cs"/>
          <w:sz w:val="24"/>
          <w:szCs w:val="24"/>
          <w:rtl/>
        </w:rPr>
        <w:t xml:space="preserve">החלק של </w:t>
      </w:r>
      <w:r w:rsidR="00EE485F" w:rsidRPr="00CD453E">
        <w:rPr>
          <w:rFonts w:ascii="David" w:hAnsi="David" w:cs="David" w:hint="cs"/>
          <w:sz w:val="24"/>
          <w:szCs w:val="24"/>
          <w:rtl/>
        </w:rPr>
        <w:t>שיקים שאין להם כיסוי מתוך סך השיקים שהוצגו לפירעון, מוצג בגרף שלהלן</w:t>
      </w:r>
      <w:r w:rsidR="00DA44CD" w:rsidRPr="00CD453E">
        <w:rPr>
          <w:rFonts w:ascii="David" w:hAnsi="David" w:cs="David" w:hint="cs"/>
          <w:sz w:val="24"/>
          <w:szCs w:val="24"/>
          <w:rtl/>
        </w:rPr>
        <w:t xml:space="preserve"> (איור 1)</w:t>
      </w:r>
      <w:r w:rsidR="00EE485F" w:rsidRPr="00CD453E">
        <w:rPr>
          <w:rFonts w:ascii="David" w:hAnsi="David" w:cs="David" w:hint="cs"/>
          <w:sz w:val="24"/>
          <w:szCs w:val="24"/>
          <w:rtl/>
        </w:rPr>
        <w:t xml:space="preserve">. כפי שניתן לראות, לאחר </w:t>
      </w:r>
      <w:r w:rsidR="00DA44CD" w:rsidRPr="00CD453E">
        <w:rPr>
          <w:rFonts w:ascii="David" w:hAnsi="David" w:cs="David" w:hint="cs"/>
          <w:sz w:val="24"/>
          <w:szCs w:val="24"/>
          <w:rtl/>
        </w:rPr>
        <w:t xml:space="preserve">עלייה </w:t>
      </w:r>
      <w:r w:rsidR="00EE485F" w:rsidRPr="00CD453E">
        <w:rPr>
          <w:rFonts w:ascii="David" w:hAnsi="David" w:cs="David" w:hint="cs"/>
          <w:sz w:val="24"/>
          <w:szCs w:val="24"/>
          <w:rtl/>
        </w:rPr>
        <w:t>משמעותית י</w:t>
      </w:r>
      <w:r w:rsidR="0043130F" w:rsidRPr="00CD453E">
        <w:rPr>
          <w:rFonts w:ascii="David" w:hAnsi="David" w:cs="David" w:hint="cs"/>
          <w:sz w:val="24"/>
          <w:szCs w:val="24"/>
          <w:rtl/>
        </w:rPr>
        <w:t>חסית בשבועות הראשונים של המשבר (עם שיא של העדר כיסוי ב - 2.</w:t>
      </w:r>
      <w:r w:rsidR="00B15562" w:rsidRPr="00CD453E">
        <w:rPr>
          <w:rFonts w:ascii="David" w:hAnsi="David" w:cs="David" w:hint="cs"/>
          <w:sz w:val="24"/>
          <w:szCs w:val="24"/>
          <w:rtl/>
        </w:rPr>
        <w:t>4</w:t>
      </w:r>
      <w:r w:rsidR="0043130F" w:rsidRPr="00CD453E">
        <w:rPr>
          <w:rFonts w:ascii="David" w:hAnsi="David" w:cs="David" w:hint="cs"/>
          <w:sz w:val="24"/>
          <w:szCs w:val="24"/>
          <w:rtl/>
        </w:rPr>
        <w:t xml:space="preserve">% מהשיקים המוצגים לתקופה), שיעור השיקים ללא כיסוי מסך השיקים המוצגים הלך וירד באופן עקבי (כמו גם מספרם האבסולוטי של שיקים ללא כיסוי ומספר </w:t>
      </w:r>
      <w:r w:rsidR="00DA44CD" w:rsidRPr="00CD453E">
        <w:rPr>
          <w:rFonts w:ascii="David" w:hAnsi="David" w:cs="David" w:hint="cs"/>
          <w:sz w:val="24"/>
          <w:szCs w:val="24"/>
          <w:rtl/>
        </w:rPr>
        <w:t xml:space="preserve">החשבונות שהוטלה עליהם </w:t>
      </w:r>
      <w:r w:rsidR="00B15562" w:rsidRPr="00CD453E">
        <w:rPr>
          <w:rFonts w:ascii="David" w:hAnsi="David" w:cs="David" w:hint="cs"/>
          <w:sz w:val="24"/>
          <w:szCs w:val="24"/>
          <w:rtl/>
        </w:rPr>
        <w:t>הגבלה "בנקאית" (בגין סירוב של שקים מסיבת אין כיסוי מספיק)</w:t>
      </w:r>
      <w:r w:rsidR="0043130F" w:rsidRPr="00CD453E">
        <w:rPr>
          <w:rFonts w:ascii="David" w:hAnsi="David" w:cs="David" w:hint="cs"/>
          <w:sz w:val="24"/>
          <w:szCs w:val="24"/>
          <w:rtl/>
        </w:rPr>
        <w:t xml:space="preserve">) עד לרמות </w:t>
      </w:r>
      <w:r w:rsidR="00B15562" w:rsidRPr="00CD453E">
        <w:rPr>
          <w:rFonts w:ascii="David" w:hAnsi="David" w:cs="David" w:hint="cs"/>
          <w:sz w:val="24"/>
          <w:szCs w:val="24"/>
          <w:rtl/>
        </w:rPr>
        <w:t>נמוכות מהממוצע בשנים שלפני המשבר</w:t>
      </w:r>
      <w:r w:rsidR="0043130F" w:rsidRPr="00CD453E">
        <w:rPr>
          <w:rFonts w:ascii="David" w:hAnsi="David" w:cs="David" w:hint="cs"/>
          <w:sz w:val="24"/>
          <w:szCs w:val="24"/>
          <w:rtl/>
        </w:rPr>
        <w:t xml:space="preserve"> (שפל של 0.49% באמצע דצמבר 2020). </w:t>
      </w:r>
      <w:r w:rsidR="000D50C3" w:rsidRPr="00CD453E">
        <w:rPr>
          <w:rFonts w:ascii="David" w:hAnsi="David" w:cs="David" w:hint="cs"/>
          <w:sz w:val="24"/>
          <w:szCs w:val="24"/>
          <w:rtl/>
        </w:rPr>
        <w:t>חשוב לראות כי ג</w:t>
      </w:r>
      <w:r w:rsidR="0043130F" w:rsidRPr="00CD453E">
        <w:rPr>
          <w:rFonts w:ascii="David" w:hAnsi="David" w:cs="David" w:hint="cs"/>
          <w:sz w:val="24"/>
          <w:szCs w:val="24"/>
          <w:rtl/>
        </w:rPr>
        <w:t>ם לאחר סיום ההקלות</w:t>
      </w:r>
      <w:r w:rsidR="00B15562" w:rsidRPr="00CD453E">
        <w:rPr>
          <w:rFonts w:ascii="David" w:hAnsi="David" w:cs="David" w:hint="cs"/>
          <w:sz w:val="24"/>
          <w:szCs w:val="24"/>
          <w:rtl/>
        </w:rPr>
        <w:t xml:space="preserve"> (הסתיימו ב </w:t>
      </w:r>
      <w:r w:rsidR="00B15562" w:rsidRPr="00CD453E">
        <w:rPr>
          <w:rFonts w:ascii="David" w:hAnsi="David" w:cs="David"/>
          <w:sz w:val="24"/>
          <w:szCs w:val="24"/>
          <w:rtl/>
        </w:rPr>
        <w:t>–</w:t>
      </w:r>
      <w:r w:rsidR="00B15562" w:rsidRPr="00CD453E">
        <w:rPr>
          <w:rFonts w:ascii="David" w:hAnsi="David" w:cs="David" w:hint="cs"/>
          <w:sz w:val="24"/>
          <w:szCs w:val="24"/>
          <w:rtl/>
        </w:rPr>
        <w:t xml:space="preserve"> 10 באוגוסט 2020)</w:t>
      </w:r>
      <w:r w:rsidR="0043130F" w:rsidRPr="00CD453E">
        <w:rPr>
          <w:rFonts w:ascii="David" w:hAnsi="David" w:cs="David" w:hint="cs"/>
          <w:sz w:val="24"/>
          <w:szCs w:val="24"/>
          <w:rtl/>
        </w:rPr>
        <w:t>, המשיכה</w:t>
      </w:r>
      <w:r w:rsidR="00B15562" w:rsidRPr="00CD453E">
        <w:rPr>
          <w:rFonts w:ascii="David" w:hAnsi="David" w:cs="David" w:hint="cs"/>
          <w:sz w:val="24"/>
          <w:szCs w:val="24"/>
          <w:rtl/>
        </w:rPr>
        <w:t xml:space="preserve"> מגמת</w:t>
      </w:r>
      <w:r w:rsidR="0043130F" w:rsidRPr="00CD453E">
        <w:rPr>
          <w:rFonts w:ascii="David" w:hAnsi="David" w:cs="David" w:hint="cs"/>
          <w:sz w:val="24"/>
          <w:szCs w:val="24"/>
          <w:rtl/>
        </w:rPr>
        <w:t xml:space="preserve"> היריד</w:t>
      </w:r>
      <w:r w:rsidR="0043130F" w:rsidRPr="00CD453E">
        <w:rPr>
          <w:rFonts w:ascii="David" w:hAnsi="David" w:cs="David" w:hint="eastAsia"/>
          <w:sz w:val="24"/>
          <w:szCs w:val="24"/>
          <w:rtl/>
        </w:rPr>
        <w:t>ה</w:t>
      </w:r>
      <w:r w:rsidR="0043130F" w:rsidRPr="00CD453E">
        <w:rPr>
          <w:rFonts w:ascii="David" w:hAnsi="David" w:cs="David" w:hint="cs"/>
          <w:sz w:val="24"/>
          <w:szCs w:val="24"/>
          <w:rtl/>
        </w:rPr>
        <w:t xml:space="preserve"> בשיעור שיקים ללא כיסוי.</w:t>
      </w:r>
    </w:p>
    <w:p w:rsidR="00EE485F" w:rsidRPr="00CD453E" w:rsidRDefault="00EE485F" w:rsidP="00CD453E">
      <w:pPr>
        <w:spacing w:line="276" w:lineRule="auto"/>
        <w:jc w:val="both"/>
        <w:rPr>
          <w:rFonts w:ascii="David" w:hAnsi="David" w:cs="David"/>
          <w:sz w:val="24"/>
          <w:szCs w:val="24"/>
          <w:rtl/>
        </w:rPr>
      </w:pPr>
    </w:p>
    <w:p w:rsidR="00EE485F" w:rsidRPr="00CD453E" w:rsidRDefault="00342F40" w:rsidP="00CD453E">
      <w:pPr>
        <w:spacing w:line="276" w:lineRule="auto"/>
        <w:jc w:val="both"/>
        <w:rPr>
          <w:rFonts w:ascii="David" w:hAnsi="David" w:cs="David"/>
          <w:sz w:val="24"/>
          <w:szCs w:val="24"/>
          <w:rtl/>
        </w:rPr>
      </w:pPr>
      <w:r w:rsidRPr="00CD453E">
        <w:rPr>
          <w:rFonts w:ascii="David" w:hAnsi="David" w:cs="David"/>
          <w:noProof/>
          <w:sz w:val="24"/>
          <w:szCs w:val="24"/>
          <w:rtl/>
        </w:rPr>
        <w:lastRenderedPageBreak/>
        <w:drawing>
          <wp:inline distT="0" distB="0" distL="0" distR="0" wp14:anchorId="7B994AD6" wp14:editId="42D8E2A3">
            <wp:extent cx="6096851" cy="3429479"/>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96851" cy="3429479"/>
                    </a:xfrm>
                    <a:prstGeom prst="rect">
                      <a:avLst/>
                    </a:prstGeom>
                  </pic:spPr>
                </pic:pic>
              </a:graphicData>
            </a:graphic>
          </wp:inline>
        </w:drawing>
      </w:r>
    </w:p>
    <w:p w:rsidR="00440998" w:rsidRPr="00CD453E" w:rsidRDefault="00440998" w:rsidP="00CD453E">
      <w:pPr>
        <w:spacing w:line="276" w:lineRule="auto"/>
        <w:jc w:val="both"/>
        <w:rPr>
          <w:rFonts w:ascii="David" w:hAnsi="David" w:cs="David"/>
          <w:b/>
          <w:bCs/>
          <w:sz w:val="24"/>
          <w:szCs w:val="24"/>
          <w:rtl/>
        </w:rPr>
      </w:pPr>
      <w:r w:rsidRPr="00CD453E">
        <w:rPr>
          <w:rFonts w:ascii="David" w:hAnsi="David" w:cs="David" w:hint="cs"/>
          <w:b/>
          <w:bCs/>
          <w:sz w:val="24"/>
          <w:szCs w:val="24"/>
          <w:rtl/>
        </w:rPr>
        <w:t>שיעור שקים חוזרים מחמת ביטול</w:t>
      </w:r>
    </w:p>
    <w:p w:rsidR="00440998" w:rsidRPr="00CD453E" w:rsidRDefault="00440998" w:rsidP="00CD453E">
      <w:pPr>
        <w:spacing w:line="276" w:lineRule="auto"/>
        <w:jc w:val="both"/>
        <w:rPr>
          <w:rFonts w:ascii="David" w:hAnsi="David" w:cs="David"/>
          <w:sz w:val="24"/>
          <w:szCs w:val="24"/>
          <w:rtl/>
        </w:rPr>
      </w:pPr>
      <w:r w:rsidRPr="00CD453E">
        <w:rPr>
          <w:rFonts w:ascii="David" w:hAnsi="David" w:cs="David" w:hint="cs"/>
          <w:sz w:val="24"/>
          <w:szCs w:val="24"/>
          <w:rtl/>
        </w:rPr>
        <w:t xml:space="preserve">בדומה לשיעור שיקים ללא כיסוי, שיעור השיקים שחזרו מחמת ביטול </w:t>
      </w:r>
      <w:r w:rsidR="00792C2A" w:rsidRPr="00CD453E">
        <w:rPr>
          <w:rFonts w:ascii="David" w:hAnsi="David" w:cs="David" w:hint="cs"/>
          <w:sz w:val="24"/>
          <w:szCs w:val="24"/>
          <w:rtl/>
        </w:rPr>
        <w:t xml:space="preserve">השיק על ידי </w:t>
      </w:r>
      <w:r w:rsidR="00281146" w:rsidRPr="00CD453E">
        <w:rPr>
          <w:rFonts w:ascii="David" w:hAnsi="David" w:cs="David" w:hint="cs"/>
          <w:sz w:val="24"/>
          <w:szCs w:val="24"/>
          <w:rtl/>
        </w:rPr>
        <w:t>משלם השיק (המושך)</w:t>
      </w:r>
      <w:r w:rsidR="00792C2A" w:rsidRPr="00CD453E">
        <w:rPr>
          <w:rFonts w:ascii="David" w:hAnsi="David" w:cs="David" w:hint="cs"/>
          <w:sz w:val="24"/>
          <w:szCs w:val="24"/>
          <w:rtl/>
        </w:rPr>
        <w:t xml:space="preserve"> גדל </w:t>
      </w:r>
      <w:r w:rsidRPr="00CD453E">
        <w:rPr>
          <w:rFonts w:ascii="David" w:hAnsi="David" w:cs="David" w:hint="cs"/>
          <w:sz w:val="24"/>
          <w:szCs w:val="24"/>
          <w:rtl/>
        </w:rPr>
        <w:t xml:space="preserve">באופן </w:t>
      </w:r>
      <w:r w:rsidR="00792C2A" w:rsidRPr="00CD453E">
        <w:rPr>
          <w:rFonts w:ascii="David" w:hAnsi="David" w:cs="David" w:hint="cs"/>
          <w:sz w:val="24"/>
          <w:szCs w:val="24"/>
          <w:rtl/>
        </w:rPr>
        <w:t xml:space="preserve">משמעותי </w:t>
      </w:r>
      <w:r w:rsidRPr="00CD453E">
        <w:rPr>
          <w:rFonts w:ascii="David" w:hAnsi="David" w:cs="David" w:hint="cs"/>
          <w:sz w:val="24"/>
          <w:szCs w:val="24"/>
          <w:rtl/>
        </w:rPr>
        <w:t>בתחילת המשבר</w:t>
      </w:r>
      <w:r w:rsidR="00792C2A" w:rsidRPr="00CD453E">
        <w:rPr>
          <w:rFonts w:ascii="David" w:hAnsi="David" w:cs="David" w:hint="cs"/>
          <w:sz w:val="24"/>
          <w:szCs w:val="24"/>
          <w:rtl/>
        </w:rPr>
        <w:t xml:space="preserve"> (בשיא עמד על 2.3% מסך השיקים שהוצגו)</w:t>
      </w:r>
      <w:r w:rsidRPr="00CD453E">
        <w:rPr>
          <w:rFonts w:ascii="David" w:hAnsi="David" w:cs="David" w:hint="cs"/>
          <w:sz w:val="24"/>
          <w:szCs w:val="24"/>
          <w:rtl/>
        </w:rPr>
        <w:t>, בעיקר בעקבות</w:t>
      </w:r>
      <w:r w:rsidR="00281146" w:rsidRPr="00CD453E">
        <w:rPr>
          <w:rFonts w:ascii="David" w:hAnsi="David" w:cs="David" w:hint="cs"/>
          <w:sz w:val="24"/>
          <w:szCs w:val="24"/>
          <w:rtl/>
        </w:rPr>
        <w:t xml:space="preserve"> ביטולי עסקאות</w:t>
      </w:r>
      <w:r w:rsidRPr="00CD453E">
        <w:rPr>
          <w:rFonts w:ascii="David" w:hAnsi="David" w:cs="David" w:hint="cs"/>
          <w:sz w:val="24"/>
          <w:szCs w:val="24"/>
          <w:rtl/>
        </w:rPr>
        <w:t xml:space="preserve"> וחוסר הוודאות ששר</w:t>
      </w:r>
      <w:r w:rsidR="00C80F46" w:rsidRPr="00CD453E">
        <w:rPr>
          <w:rFonts w:ascii="David" w:hAnsi="David" w:cs="David" w:hint="cs"/>
          <w:sz w:val="24"/>
          <w:szCs w:val="24"/>
          <w:rtl/>
        </w:rPr>
        <w:t>ר</w:t>
      </w:r>
      <w:r w:rsidRPr="00CD453E">
        <w:rPr>
          <w:rFonts w:ascii="David" w:hAnsi="David" w:cs="David" w:hint="cs"/>
          <w:sz w:val="24"/>
          <w:szCs w:val="24"/>
          <w:rtl/>
        </w:rPr>
        <w:t xml:space="preserve"> במשק. כפי שניתן לראות בגרף שלהלן, שיעור זה הלך והתמתן לאורך הזמן, וחזר לרמות דומות לשגרה</w:t>
      </w:r>
      <w:r w:rsidR="00FB2BE5" w:rsidRPr="00CD453E">
        <w:rPr>
          <w:rStyle w:val="ac"/>
          <w:rFonts w:hint="cs"/>
          <w:rtl/>
        </w:rPr>
        <w:t xml:space="preserve">. </w:t>
      </w:r>
      <w:r w:rsidR="00C80F46" w:rsidRPr="00CD453E">
        <w:rPr>
          <w:rFonts w:ascii="David" w:hAnsi="David" w:cs="David" w:hint="cs"/>
          <w:sz w:val="24"/>
          <w:szCs w:val="24"/>
          <w:rtl/>
        </w:rPr>
        <w:t>ש</w:t>
      </w:r>
      <w:r w:rsidR="00792C2A" w:rsidRPr="00CD453E">
        <w:rPr>
          <w:rFonts w:ascii="David" w:hAnsi="David" w:cs="David" w:hint="cs"/>
          <w:sz w:val="24"/>
          <w:szCs w:val="24"/>
          <w:rtl/>
        </w:rPr>
        <w:t>יעור זה עומד היום על ממוצע של 0.4%, כפול מהמצב טרום המשבר</w:t>
      </w:r>
      <w:r w:rsidRPr="00CD453E">
        <w:rPr>
          <w:rFonts w:ascii="David" w:hAnsi="David" w:cs="David" w:hint="cs"/>
          <w:sz w:val="24"/>
          <w:szCs w:val="24"/>
          <w:rtl/>
        </w:rPr>
        <w:t>, ואולם</w:t>
      </w:r>
      <w:r w:rsidR="00281146" w:rsidRPr="00CD453E">
        <w:rPr>
          <w:rFonts w:ascii="David" w:hAnsi="David" w:cs="David" w:hint="cs"/>
          <w:sz w:val="24"/>
          <w:szCs w:val="24"/>
          <w:rtl/>
        </w:rPr>
        <w:t xml:space="preserve">, לפער זה השפעה זניחה על רמת האמינות של עסקאות שיקים במשק, הן מפני שמספר העסקאות שבוטלו מסיבה לגיטימית גדל (עסקאות של אירועי שמחה, תיירות, </w:t>
      </w:r>
      <w:r w:rsidR="00FB2BE5" w:rsidRPr="00CD453E">
        <w:rPr>
          <w:rFonts w:ascii="David" w:hAnsi="David" w:cs="David" w:hint="cs"/>
          <w:sz w:val="24"/>
          <w:szCs w:val="24"/>
          <w:rtl/>
        </w:rPr>
        <w:t>כנסים מקצועיים וכל'</w:t>
      </w:r>
      <w:r w:rsidRPr="00CD453E">
        <w:rPr>
          <w:rFonts w:ascii="David" w:hAnsi="David" w:cs="David" w:hint="cs"/>
          <w:sz w:val="24"/>
          <w:szCs w:val="24"/>
          <w:rtl/>
        </w:rPr>
        <w:t>)</w:t>
      </w:r>
      <w:r w:rsidR="00FB2BE5" w:rsidRPr="00CD453E">
        <w:rPr>
          <w:rFonts w:ascii="David" w:hAnsi="David" w:cs="David" w:hint="cs"/>
          <w:sz w:val="24"/>
          <w:szCs w:val="24"/>
          <w:rtl/>
        </w:rPr>
        <w:t xml:space="preserve">, והן בגלל ששיעור זה מייצג מספר זניח ביחס לכלל השיקים </w:t>
      </w:r>
      <w:proofErr w:type="spellStart"/>
      <w:r w:rsidR="00FB2BE5" w:rsidRPr="00CD453E">
        <w:rPr>
          <w:rFonts w:ascii="David" w:hAnsi="David" w:cs="David" w:hint="cs"/>
          <w:sz w:val="24"/>
          <w:szCs w:val="24"/>
          <w:rtl/>
        </w:rPr>
        <w:t>הנסלקים</w:t>
      </w:r>
      <w:proofErr w:type="spellEnd"/>
      <w:r w:rsidR="00FB2BE5" w:rsidRPr="00CD453E">
        <w:rPr>
          <w:rFonts w:ascii="David" w:hAnsi="David" w:cs="David" w:hint="cs"/>
          <w:sz w:val="24"/>
          <w:szCs w:val="24"/>
          <w:rtl/>
        </w:rPr>
        <w:t xml:space="preserve"> (פער של כ </w:t>
      </w:r>
      <w:r w:rsidR="00FB2BE5" w:rsidRPr="00CD453E">
        <w:rPr>
          <w:rFonts w:ascii="David" w:hAnsi="David" w:cs="David"/>
          <w:sz w:val="24"/>
          <w:szCs w:val="24"/>
          <w:rtl/>
        </w:rPr>
        <w:t>–</w:t>
      </w:r>
      <w:r w:rsidR="00FB2BE5" w:rsidRPr="00CD453E">
        <w:rPr>
          <w:rFonts w:ascii="David" w:hAnsi="David" w:cs="David" w:hint="cs"/>
          <w:sz w:val="24"/>
          <w:szCs w:val="24"/>
          <w:rtl/>
        </w:rPr>
        <w:t xml:space="preserve"> 4,000 שיקים מתוך מחזור של 1.5 מיליון שיקים בשבוע)</w:t>
      </w:r>
      <w:r w:rsidRPr="00CD453E">
        <w:rPr>
          <w:rFonts w:ascii="David" w:hAnsi="David" w:cs="David" w:hint="cs"/>
          <w:sz w:val="24"/>
          <w:szCs w:val="24"/>
          <w:rtl/>
        </w:rPr>
        <w:t>.</w:t>
      </w:r>
    </w:p>
    <w:p w:rsidR="00440998" w:rsidRPr="00CD453E" w:rsidRDefault="00342F40" w:rsidP="00CD453E">
      <w:pPr>
        <w:spacing w:line="276" w:lineRule="auto"/>
        <w:jc w:val="both"/>
        <w:rPr>
          <w:rFonts w:ascii="David" w:hAnsi="David" w:cs="David"/>
          <w:sz w:val="24"/>
          <w:szCs w:val="24"/>
          <w:rtl/>
        </w:rPr>
      </w:pPr>
      <w:r w:rsidRPr="00CD453E">
        <w:rPr>
          <w:rFonts w:ascii="David" w:hAnsi="David" w:cs="David"/>
          <w:noProof/>
          <w:sz w:val="24"/>
          <w:szCs w:val="24"/>
          <w:rtl/>
        </w:rPr>
        <w:drawing>
          <wp:inline distT="0" distB="0" distL="0" distR="0" wp14:anchorId="0295CA0F" wp14:editId="47754D82">
            <wp:extent cx="6096851" cy="3429479"/>
            <wp:effectExtent l="0" t="0" r="0" b="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96851" cy="3429479"/>
                    </a:xfrm>
                    <a:prstGeom prst="rect">
                      <a:avLst/>
                    </a:prstGeom>
                  </pic:spPr>
                </pic:pic>
              </a:graphicData>
            </a:graphic>
          </wp:inline>
        </w:drawing>
      </w:r>
    </w:p>
    <w:p w:rsidR="00440998" w:rsidRPr="00CD453E" w:rsidRDefault="00440998" w:rsidP="00CD453E">
      <w:pPr>
        <w:spacing w:line="276" w:lineRule="auto"/>
        <w:jc w:val="both"/>
        <w:rPr>
          <w:rFonts w:ascii="David" w:hAnsi="David" w:cs="David"/>
          <w:b/>
          <w:bCs/>
          <w:sz w:val="24"/>
          <w:szCs w:val="24"/>
          <w:rtl/>
        </w:rPr>
      </w:pPr>
      <w:r w:rsidRPr="00CD453E">
        <w:rPr>
          <w:rFonts w:ascii="David" w:hAnsi="David" w:cs="David" w:hint="cs"/>
          <w:b/>
          <w:bCs/>
          <w:sz w:val="24"/>
          <w:szCs w:val="24"/>
          <w:rtl/>
        </w:rPr>
        <w:lastRenderedPageBreak/>
        <w:t>מספר ביטולי שיקים</w:t>
      </w:r>
    </w:p>
    <w:p w:rsidR="00440998" w:rsidRPr="00CD453E" w:rsidRDefault="009E62D5" w:rsidP="00CD453E">
      <w:pPr>
        <w:spacing w:line="276" w:lineRule="auto"/>
        <w:rPr>
          <w:rFonts w:ascii="David" w:hAnsi="David" w:cs="David"/>
          <w:sz w:val="24"/>
          <w:szCs w:val="24"/>
          <w:rtl/>
        </w:rPr>
      </w:pPr>
      <w:r w:rsidRPr="00CD453E">
        <w:rPr>
          <w:rFonts w:ascii="David" w:hAnsi="David" w:cs="David" w:hint="cs"/>
          <w:sz w:val="24"/>
          <w:szCs w:val="24"/>
          <w:rtl/>
        </w:rPr>
        <w:t>כפי שניתן לראות בגרף שלהלן מגמה דומה נצפתה גם במספר ביטולי השיקים הכללי (</w:t>
      </w:r>
      <w:r w:rsidR="001C303E" w:rsidRPr="00CD453E">
        <w:rPr>
          <w:rFonts w:ascii="David" w:hAnsi="David" w:cs="David" w:hint="cs"/>
          <w:sz w:val="24"/>
          <w:szCs w:val="24"/>
          <w:rtl/>
        </w:rPr>
        <w:t xml:space="preserve">נתון זה </w:t>
      </w:r>
      <w:r w:rsidRPr="00CD453E">
        <w:rPr>
          <w:rFonts w:ascii="David" w:hAnsi="David" w:cs="David" w:hint="cs"/>
          <w:sz w:val="24"/>
          <w:szCs w:val="24"/>
          <w:rtl/>
        </w:rPr>
        <w:t>כולל</w:t>
      </w:r>
      <w:r w:rsidR="001C303E" w:rsidRPr="00CD453E">
        <w:rPr>
          <w:rFonts w:ascii="David" w:hAnsi="David" w:cs="David" w:hint="cs"/>
          <w:sz w:val="24"/>
          <w:szCs w:val="24"/>
          <w:rtl/>
        </w:rPr>
        <w:t xml:space="preserve"> גם</w:t>
      </w:r>
      <w:r w:rsidRPr="00CD453E">
        <w:rPr>
          <w:rFonts w:ascii="David" w:hAnsi="David" w:cs="David" w:hint="cs"/>
          <w:sz w:val="24"/>
          <w:szCs w:val="24"/>
          <w:rtl/>
        </w:rPr>
        <w:t xml:space="preserve"> ביטולים של שיקים לפירעון עתידי</w:t>
      </w:r>
      <w:r w:rsidR="001C303E" w:rsidRPr="00CD453E">
        <w:rPr>
          <w:rFonts w:ascii="David" w:hAnsi="David" w:cs="David" w:hint="cs"/>
          <w:sz w:val="24"/>
          <w:szCs w:val="24"/>
          <w:rtl/>
        </w:rPr>
        <w:t>)</w:t>
      </w:r>
      <w:r w:rsidRPr="00CD453E">
        <w:rPr>
          <w:rFonts w:ascii="David" w:hAnsi="David" w:cs="David" w:hint="cs"/>
          <w:sz w:val="24"/>
          <w:szCs w:val="24"/>
          <w:rtl/>
        </w:rPr>
        <w:t>.</w:t>
      </w:r>
    </w:p>
    <w:p w:rsidR="00440998" w:rsidRPr="00CD453E" w:rsidRDefault="00FB2BE5" w:rsidP="00CD453E">
      <w:pPr>
        <w:spacing w:line="276" w:lineRule="auto"/>
        <w:rPr>
          <w:rFonts w:ascii="David" w:hAnsi="David" w:cs="David"/>
          <w:b/>
          <w:bCs/>
          <w:sz w:val="24"/>
          <w:szCs w:val="24"/>
          <w:rtl/>
        </w:rPr>
      </w:pPr>
      <w:r w:rsidRPr="00CD453E">
        <w:rPr>
          <w:rFonts w:ascii="David" w:hAnsi="David" w:cs="David"/>
          <w:b/>
          <w:bCs/>
          <w:noProof/>
          <w:sz w:val="24"/>
          <w:szCs w:val="24"/>
          <w:rtl/>
        </w:rPr>
        <w:drawing>
          <wp:inline distT="0" distB="0" distL="0" distR="0" wp14:anchorId="7C34BCA7" wp14:editId="0E363D85">
            <wp:extent cx="6096851" cy="3429479"/>
            <wp:effectExtent l="0" t="0" r="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851" cy="3429479"/>
                    </a:xfrm>
                    <a:prstGeom prst="rect">
                      <a:avLst/>
                    </a:prstGeom>
                  </pic:spPr>
                </pic:pic>
              </a:graphicData>
            </a:graphic>
          </wp:inline>
        </w:drawing>
      </w:r>
    </w:p>
    <w:p w:rsidR="005B58B8" w:rsidRPr="00CD453E" w:rsidRDefault="005B58B8" w:rsidP="00CD453E">
      <w:pPr>
        <w:spacing w:line="276" w:lineRule="auto"/>
        <w:rPr>
          <w:rFonts w:ascii="David" w:hAnsi="David" w:cs="David"/>
          <w:b/>
          <w:bCs/>
          <w:sz w:val="24"/>
          <w:szCs w:val="24"/>
          <w:rtl/>
        </w:rPr>
      </w:pPr>
      <w:r w:rsidRPr="00CD453E">
        <w:rPr>
          <w:rFonts w:ascii="David" w:hAnsi="David" w:cs="David" w:hint="cs"/>
          <w:b/>
          <w:bCs/>
          <w:sz w:val="24"/>
          <w:szCs w:val="24"/>
          <w:rtl/>
        </w:rPr>
        <w:t>היקף השימוש בשיקים לאורך התקופה</w:t>
      </w:r>
    </w:p>
    <w:p w:rsidR="005B58B8" w:rsidRPr="00CD453E" w:rsidRDefault="009E62D5" w:rsidP="00CD453E">
      <w:pPr>
        <w:spacing w:line="276" w:lineRule="auto"/>
        <w:jc w:val="both"/>
        <w:rPr>
          <w:rFonts w:ascii="David" w:hAnsi="David" w:cs="David"/>
          <w:sz w:val="24"/>
          <w:szCs w:val="24"/>
          <w:rtl/>
        </w:rPr>
      </w:pPr>
      <w:r w:rsidRPr="00CD453E">
        <w:rPr>
          <w:rFonts w:ascii="David" w:hAnsi="David" w:cs="David" w:hint="cs"/>
          <w:sz w:val="24"/>
          <w:szCs w:val="24"/>
          <w:rtl/>
        </w:rPr>
        <w:t>הנתונים מלמדים שהציבור הפחית את השימוש בשיקים לאורך המשבר,</w:t>
      </w:r>
      <w:r w:rsidR="001C303E" w:rsidRPr="00CD453E">
        <w:rPr>
          <w:rFonts w:ascii="David" w:hAnsi="David" w:cs="David" w:hint="cs"/>
          <w:sz w:val="24"/>
          <w:szCs w:val="24"/>
          <w:rtl/>
        </w:rPr>
        <w:t xml:space="preserve"> הירידה ב</w:t>
      </w:r>
      <w:r w:rsidRPr="00CD453E">
        <w:rPr>
          <w:rFonts w:ascii="David" w:hAnsi="David" w:cs="David" w:hint="cs"/>
          <w:sz w:val="24"/>
          <w:szCs w:val="24"/>
          <w:rtl/>
        </w:rPr>
        <w:t xml:space="preserve">היקף הסליקה נעה בין 25% ל </w:t>
      </w:r>
      <w:r w:rsidRPr="00CD453E">
        <w:rPr>
          <w:rFonts w:ascii="David" w:hAnsi="David" w:cs="David"/>
          <w:sz w:val="24"/>
          <w:szCs w:val="24"/>
          <w:rtl/>
        </w:rPr>
        <w:t>–</w:t>
      </w:r>
      <w:r w:rsidRPr="00CD453E">
        <w:rPr>
          <w:rFonts w:ascii="David" w:hAnsi="David" w:cs="David" w:hint="cs"/>
          <w:sz w:val="24"/>
          <w:szCs w:val="24"/>
          <w:rtl/>
        </w:rPr>
        <w:t xml:space="preserve"> 35%. </w:t>
      </w:r>
      <w:r w:rsidR="001C303E" w:rsidRPr="00CD453E">
        <w:rPr>
          <w:rFonts w:ascii="David" w:hAnsi="David" w:cs="David" w:hint="cs"/>
          <w:sz w:val="24"/>
          <w:szCs w:val="24"/>
          <w:rtl/>
        </w:rPr>
        <w:t xml:space="preserve">ירידה זו נובעת </w:t>
      </w:r>
      <w:r w:rsidR="000B1F5B" w:rsidRPr="00CD453E">
        <w:rPr>
          <w:rFonts w:ascii="David" w:hAnsi="David" w:cs="David" w:hint="cs"/>
          <w:sz w:val="24"/>
          <w:szCs w:val="24"/>
          <w:rtl/>
        </w:rPr>
        <w:t xml:space="preserve">בחלקה </w:t>
      </w:r>
      <w:r w:rsidRPr="00CD453E">
        <w:rPr>
          <w:rFonts w:ascii="David" w:hAnsi="David" w:cs="David" w:hint="cs"/>
          <w:sz w:val="24"/>
          <w:szCs w:val="24"/>
          <w:rtl/>
        </w:rPr>
        <w:t xml:space="preserve">ככל הנראה מזהירות רבה יותר של מקבלי תשלומים בעסקאות עם שיקים, ובדיקות אמינות קפדניות יותר, מה שיכול להסביר חלק מן הירידה בשיעור </w:t>
      </w:r>
      <w:r w:rsidR="000B1F5B" w:rsidRPr="00CD453E">
        <w:rPr>
          <w:rFonts w:ascii="David" w:hAnsi="David" w:cs="David" w:hint="cs"/>
          <w:sz w:val="24"/>
          <w:szCs w:val="24"/>
          <w:rtl/>
        </w:rPr>
        <w:t>ה</w:t>
      </w:r>
      <w:r w:rsidRPr="00CD453E">
        <w:rPr>
          <w:rFonts w:ascii="David" w:hAnsi="David" w:cs="David" w:hint="cs"/>
          <w:sz w:val="24"/>
          <w:szCs w:val="24"/>
          <w:rtl/>
        </w:rPr>
        <w:t>שיקים ללא כיסוי לאורך התקופה. חשוב לציין עם זאת, שהירידה בשיעור שיקים ללא כיסוי אינה תלויה באופן ישיר בהיקף העסקאות, והיא מייצגת את איכותן היחסית.</w:t>
      </w:r>
    </w:p>
    <w:p w:rsidR="009E62D5" w:rsidRDefault="00FB2BE5" w:rsidP="00CD453E">
      <w:pPr>
        <w:spacing w:line="276" w:lineRule="auto"/>
        <w:jc w:val="both"/>
        <w:rPr>
          <w:rFonts w:ascii="David" w:hAnsi="David" w:cs="David"/>
          <w:sz w:val="24"/>
          <w:szCs w:val="24"/>
          <w:rtl/>
        </w:rPr>
      </w:pPr>
      <w:r w:rsidRPr="00FB2BE5">
        <w:rPr>
          <w:rFonts w:ascii="David" w:hAnsi="David" w:cs="David"/>
          <w:noProof/>
          <w:sz w:val="24"/>
          <w:szCs w:val="24"/>
          <w:rtl/>
        </w:rPr>
        <w:lastRenderedPageBreak/>
        <w:drawing>
          <wp:inline distT="0" distB="0" distL="0" distR="0" wp14:anchorId="30C86699" wp14:editId="1314BFEB">
            <wp:extent cx="6096851" cy="3429479"/>
            <wp:effectExtent l="0" t="0" r="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96851" cy="3429479"/>
                    </a:xfrm>
                    <a:prstGeom prst="rect">
                      <a:avLst/>
                    </a:prstGeom>
                  </pic:spPr>
                </pic:pic>
              </a:graphicData>
            </a:graphic>
          </wp:inline>
        </w:drawing>
      </w:r>
    </w:p>
    <w:p w:rsidR="005B58B8" w:rsidRPr="00CD453E" w:rsidRDefault="00E20759" w:rsidP="00CD453E">
      <w:pPr>
        <w:spacing w:line="276" w:lineRule="auto"/>
        <w:rPr>
          <w:rFonts w:ascii="David" w:hAnsi="David" w:cs="David"/>
          <w:b/>
          <w:bCs/>
          <w:sz w:val="24"/>
          <w:szCs w:val="24"/>
          <w:rtl/>
        </w:rPr>
      </w:pPr>
      <w:r w:rsidRPr="00CD453E">
        <w:rPr>
          <w:rFonts w:ascii="David" w:hAnsi="David" w:cs="David" w:hint="cs"/>
          <w:b/>
          <w:bCs/>
          <w:sz w:val="24"/>
          <w:szCs w:val="24"/>
          <w:rtl/>
        </w:rPr>
        <w:t>שינויים ומגמות במספר הלקוחות</w:t>
      </w:r>
      <w:r w:rsidR="000B1F5B" w:rsidRPr="00CD453E">
        <w:rPr>
          <w:rFonts w:ascii="David" w:hAnsi="David" w:cs="David" w:hint="cs"/>
          <w:b/>
          <w:bCs/>
          <w:sz w:val="24"/>
          <w:szCs w:val="24"/>
          <w:rtl/>
        </w:rPr>
        <w:t xml:space="preserve"> שהוטלה עליהם </w:t>
      </w:r>
      <w:r w:rsidR="000638CB" w:rsidRPr="00CD453E">
        <w:rPr>
          <w:rFonts w:ascii="David" w:hAnsi="David" w:cs="David" w:hint="cs"/>
          <w:b/>
          <w:bCs/>
          <w:sz w:val="24"/>
          <w:szCs w:val="24"/>
          <w:rtl/>
        </w:rPr>
        <w:t>הגבלה</w:t>
      </w:r>
    </w:p>
    <w:p w:rsidR="005B58B8" w:rsidRDefault="003763E6" w:rsidP="00CD453E">
      <w:pPr>
        <w:spacing w:line="276" w:lineRule="auto"/>
        <w:jc w:val="both"/>
        <w:rPr>
          <w:rFonts w:ascii="David" w:hAnsi="David" w:cs="David"/>
          <w:sz w:val="24"/>
          <w:szCs w:val="24"/>
          <w:rtl/>
        </w:rPr>
      </w:pPr>
      <w:r>
        <w:rPr>
          <w:rFonts w:ascii="David" w:hAnsi="David" w:cs="David" w:hint="cs"/>
          <w:sz w:val="24"/>
          <w:szCs w:val="24"/>
          <w:rtl/>
        </w:rPr>
        <w:t xml:space="preserve">בהתאם למגמת הירידה המשמעותית בהיקף ובשיעור שיקים ללא כיסוי, ניתן לראות שמספר </w:t>
      </w:r>
      <w:r w:rsidR="000638CB">
        <w:rPr>
          <w:rFonts w:ascii="David" w:hAnsi="David" w:cs="David" w:hint="cs"/>
          <w:sz w:val="24"/>
          <w:szCs w:val="24"/>
          <w:rtl/>
        </w:rPr>
        <w:t xml:space="preserve">הלקוחות </w:t>
      </w:r>
      <w:r>
        <w:rPr>
          <w:rFonts w:ascii="David" w:hAnsi="David" w:cs="David" w:hint="cs"/>
          <w:sz w:val="24"/>
          <w:szCs w:val="24"/>
          <w:rtl/>
        </w:rPr>
        <w:t xml:space="preserve">שהוטלה עליהם הגבלה בגין שיקים ללא כיסוי ("מוגבלים בנקאיים"), ירד באופן מתמיד מתחילת המשבר ועד היום. בניגוד לחשש שלאחר סיום הסייגים הזמניים בחוק שיקים ללא כיסוי </w:t>
      </w:r>
      <w:r w:rsidR="000638CB">
        <w:rPr>
          <w:rFonts w:ascii="David" w:hAnsi="David" w:cs="David" w:hint="cs"/>
          <w:sz w:val="24"/>
          <w:szCs w:val="24"/>
          <w:rtl/>
        </w:rPr>
        <w:t>(בהתאם ל</w:t>
      </w:r>
      <w:r>
        <w:rPr>
          <w:rFonts w:ascii="David" w:hAnsi="David" w:cs="David" w:hint="cs"/>
          <w:sz w:val="24"/>
          <w:szCs w:val="24"/>
          <w:rtl/>
        </w:rPr>
        <w:t>תקנות שפרסם משרד המשפטים</w:t>
      </w:r>
      <w:r w:rsidR="000638CB">
        <w:rPr>
          <w:rFonts w:ascii="David" w:hAnsi="David" w:cs="David" w:hint="cs"/>
          <w:sz w:val="24"/>
          <w:szCs w:val="24"/>
          <w:rtl/>
        </w:rPr>
        <w:t>)</w:t>
      </w:r>
      <w:r>
        <w:rPr>
          <w:rFonts w:ascii="David" w:hAnsi="David" w:cs="David" w:hint="cs"/>
          <w:sz w:val="24"/>
          <w:szCs w:val="24"/>
          <w:rtl/>
        </w:rPr>
        <w:t xml:space="preserve">, תירשם עלייה גדולה במספר ההגבלות </w:t>
      </w:r>
      <w:r w:rsidR="001C303E">
        <w:rPr>
          <w:rFonts w:ascii="David" w:hAnsi="David" w:cs="David" w:hint="cs"/>
          <w:sz w:val="24"/>
          <w:szCs w:val="24"/>
          <w:rtl/>
        </w:rPr>
        <w:t>"הבנקאיות"</w:t>
      </w:r>
      <w:r>
        <w:rPr>
          <w:rFonts w:ascii="David" w:hAnsi="David" w:cs="David" w:hint="cs"/>
          <w:sz w:val="24"/>
          <w:szCs w:val="24"/>
          <w:rtl/>
        </w:rPr>
        <w:t xml:space="preserve">, הרי </w:t>
      </w:r>
      <w:r w:rsidR="001C303E">
        <w:rPr>
          <w:rFonts w:ascii="David" w:hAnsi="David" w:cs="David" w:hint="cs"/>
          <w:sz w:val="24"/>
          <w:szCs w:val="24"/>
          <w:rtl/>
        </w:rPr>
        <w:t xml:space="preserve">שלמעשה כתוצאה מהירידה המשמעותית בהיקף ובשיעור שיקים ללא כיסוי במשק, ירד גם מספר המוגבלים </w:t>
      </w:r>
      <w:r w:rsidR="000638CB">
        <w:rPr>
          <w:rFonts w:ascii="David" w:hAnsi="David" w:cs="David" w:hint="cs"/>
          <w:sz w:val="24"/>
          <w:szCs w:val="24"/>
          <w:rtl/>
        </w:rPr>
        <w:t>"הבנקאיים"</w:t>
      </w:r>
      <w:r w:rsidR="001C303E">
        <w:rPr>
          <w:rFonts w:ascii="David" w:hAnsi="David" w:cs="David" w:hint="cs"/>
          <w:sz w:val="24"/>
          <w:szCs w:val="24"/>
          <w:rtl/>
        </w:rPr>
        <w:t xml:space="preserve"> באופן משמעותי לאורך כל התקופה ועד היום</w:t>
      </w:r>
      <w:r>
        <w:rPr>
          <w:rFonts w:ascii="David" w:hAnsi="David" w:cs="David" w:hint="cs"/>
          <w:sz w:val="24"/>
          <w:szCs w:val="24"/>
          <w:rtl/>
        </w:rPr>
        <w:t>.</w:t>
      </w:r>
    </w:p>
    <w:p w:rsidR="003763E6" w:rsidRDefault="00B369C9" w:rsidP="00CD453E">
      <w:pPr>
        <w:spacing w:line="276" w:lineRule="auto"/>
        <w:jc w:val="both"/>
        <w:rPr>
          <w:rFonts w:ascii="David" w:hAnsi="David" w:cs="David"/>
          <w:sz w:val="24"/>
          <w:szCs w:val="24"/>
          <w:rtl/>
        </w:rPr>
      </w:pPr>
      <w:r w:rsidRPr="00B369C9">
        <w:rPr>
          <w:rFonts w:ascii="David" w:hAnsi="David" w:cs="David"/>
          <w:noProof/>
          <w:sz w:val="24"/>
          <w:szCs w:val="24"/>
          <w:rtl/>
        </w:rPr>
        <w:drawing>
          <wp:inline distT="0" distB="0" distL="0" distR="0" wp14:anchorId="10FD5197" wp14:editId="612FB989">
            <wp:extent cx="6096851" cy="3429479"/>
            <wp:effectExtent l="0" t="0" r="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96851" cy="3429479"/>
                    </a:xfrm>
                    <a:prstGeom prst="rect">
                      <a:avLst/>
                    </a:prstGeom>
                  </pic:spPr>
                </pic:pic>
              </a:graphicData>
            </a:graphic>
          </wp:inline>
        </w:drawing>
      </w:r>
    </w:p>
    <w:p w:rsidR="003763E6" w:rsidRDefault="00FA432A" w:rsidP="00CD453E">
      <w:pPr>
        <w:spacing w:line="276" w:lineRule="auto"/>
        <w:jc w:val="both"/>
        <w:rPr>
          <w:rFonts w:ascii="David" w:hAnsi="David" w:cs="David"/>
          <w:sz w:val="24"/>
          <w:szCs w:val="24"/>
          <w:rtl/>
        </w:rPr>
      </w:pPr>
      <w:r>
        <w:rPr>
          <w:rFonts w:ascii="David" w:hAnsi="David" w:cs="David" w:hint="cs"/>
          <w:sz w:val="24"/>
          <w:szCs w:val="24"/>
          <w:rtl/>
        </w:rPr>
        <w:lastRenderedPageBreak/>
        <w:t xml:space="preserve">לעומת זאת, מספר </w:t>
      </w:r>
      <w:r w:rsidR="000638CB">
        <w:rPr>
          <w:rFonts w:ascii="David" w:hAnsi="David" w:cs="David" w:hint="cs"/>
          <w:sz w:val="24"/>
          <w:szCs w:val="24"/>
          <w:rtl/>
        </w:rPr>
        <w:t xml:space="preserve">הלקוחות </w:t>
      </w:r>
      <w:r>
        <w:rPr>
          <w:rFonts w:ascii="David" w:hAnsi="David" w:cs="David" w:hint="cs"/>
          <w:sz w:val="24"/>
          <w:szCs w:val="24"/>
          <w:rtl/>
        </w:rPr>
        <w:t>המוגבלים "המיוחדים", דהיינו, לקוחות שהטלת ההגבלה עליהם לא נבעה באופן ישיר משימוש בשיקים (</w:t>
      </w:r>
      <w:r w:rsidR="00B94261">
        <w:rPr>
          <w:rFonts w:ascii="David" w:hAnsi="David" w:cs="David" w:hint="cs"/>
          <w:sz w:val="24"/>
          <w:szCs w:val="24"/>
          <w:rtl/>
        </w:rPr>
        <w:t>אלא</w:t>
      </w:r>
      <w:r w:rsidR="000E2B83">
        <w:rPr>
          <w:rFonts w:ascii="David" w:hAnsi="David" w:cs="David" w:hint="cs"/>
          <w:sz w:val="24"/>
          <w:szCs w:val="24"/>
          <w:rtl/>
        </w:rPr>
        <w:t xml:space="preserve"> בעקבות </w:t>
      </w:r>
      <w:r>
        <w:rPr>
          <w:rFonts w:ascii="David" w:hAnsi="David" w:cs="David" w:hint="cs"/>
          <w:sz w:val="24"/>
          <w:szCs w:val="24"/>
          <w:rtl/>
        </w:rPr>
        <w:t>תיקי הוצאה לפועל, פשיטת רגל</w:t>
      </w:r>
      <w:r w:rsidR="000E2B83">
        <w:rPr>
          <w:rFonts w:ascii="David" w:hAnsi="David" w:cs="David" w:hint="cs"/>
          <w:sz w:val="24"/>
          <w:szCs w:val="24"/>
          <w:rtl/>
        </w:rPr>
        <w:t xml:space="preserve"> ו</w:t>
      </w:r>
      <w:r>
        <w:rPr>
          <w:rFonts w:ascii="David" w:hAnsi="David" w:cs="David" w:hint="cs"/>
          <w:sz w:val="24"/>
          <w:szCs w:val="24"/>
          <w:rtl/>
        </w:rPr>
        <w:t>קנסות ), גדל באופן מתון אך עקבי החל מחודש יוני 2020 (לאחר ש</w:t>
      </w:r>
      <w:r w:rsidR="001C303E">
        <w:rPr>
          <w:rFonts w:ascii="David" w:hAnsi="David" w:cs="David" w:hint="cs"/>
          <w:sz w:val="24"/>
          <w:szCs w:val="24"/>
          <w:rtl/>
        </w:rPr>
        <w:t xml:space="preserve">הסתיימה </w:t>
      </w:r>
      <w:r>
        <w:rPr>
          <w:rFonts w:ascii="David" w:hAnsi="David" w:cs="David" w:hint="cs"/>
          <w:sz w:val="24"/>
          <w:szCs w:val="24"/>
          <w:rtl/>
        </w:rPr>
        <w:t>ההשהיה באכיפה של ההוצאה לפועל עליה</w:t>
      </w:r>
      <w:r w:rsidR="001C303E">
        <w:rPr>
          <w:rFonts w:ascii="David" w:hAnsi="David" w:cs="David" w:hint="cs"/>
          <w:sz w:val="24"/>
          <w:szCs w:val="24"/>
          <w:rtl/>
        </w:rPr>
        <w:t xml:space="preserve"> הוחלט בתחילת המשבר</w:t>
      </w:r>
      <w:r w:rsidR="00EF550C">
        <w:rPr>
          <w:rStyle w:val="af3"/>
          <w:rFonts w:ascii="David" w:hAnsi="David" w:cs="David"/>
          <w:sz w:val="24"/>
          <w:szCs w:val="24"/>
          <w:rtl/>
        </w:rPr>
        <w:footnoteReference w:id="3"/>
      </w:r>
      <w:r>
        <w:rPr>
          <w:rFonts w:ascii="David" w:hAnsi="David" w:cs="David" w:hint="cs"/>
          <w:sz w:val="24"/>
          <w:szCs w:val="24"/>
          <w:rtl/>
        </w:rPr>
        <w:t xml:space="preserve">), ועד היום. </w:t>
      </w:r>
    </w:p>
    <w:p w:rsidR="003763E6" w:rsidRDefault="00B369C9" w:rsidP="00CD453E">
      <w:pPr>
        <w:spacing w:line="276" w:lineRule="auto"/>
        <w:jc w:val="both"/>
        <w:rPr>
          <w:rFonts w:ascii="David" w:hAnsi="David" w:cs="David"/>
          <w:sz w:val="24"/>
          <w:szCs w:val="24"/>
          <w:rtl/>
        </w:rPr>
      </w:pPr>
      <w:r w:rsidRPr="00B369C9">
        <w:rPr>
          <w:rFonts w:ascii="David" w:hAnsi="David" w:cs="David"/>
          <w:noProof/>
          <w:sz w:val="24"/>
          <w:szCs w:val="24"/>
          <w:rtl/>
        </w:rPr>
        <w:drawing>
          <wp:inline distT="0" distB="0" distL="0" distR="0" wp14:anchorId="660A53CE" wp14:editId="353DF99A">
            <wp:extent cx="6096851" cy="3429479"/>
            <wp:effectExtent l="0" t="0" r="0" b="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96851" cy="3429479"/>
                    </a:xfrm>
                    <a:prstGeom prst="rect">
                      <a:avLst/>
                    </a:prstGeom>
                  </pic:spPr>
                </pic:pic>
              </a:graphicData>
            </a:graphic>
          </wp:inline>
        </w:drawing>
      </w:r>
    </w:p>
    <w:p w:rsidR="001C1E95" w:rsidRDefault="00AB5026" w:rsidP="00CD453E">
      <w:pPr>
        <w:spacing w:line="276" w:lineRule="auto"/>
        <w:jc w:val="both"/>
        <w:rPr>
          <w:rFonts w:ascii="David" w:hAnsi="David" w:cs="David"/>
          <w:sz w:val="24"/>
          <w:szCs w:val="24"/>
          <w:rtl/>
        </w:rPr>
      </w:pPr>
      <w:r>
        <w:rPr>
          <w:rFonts w:ascii="David" w:hAnsi="David" w:cs="David" w:hint="cs"/>
          <w:sz w:val="24"/>
          <w:szCs w:val="24"/>
          <w:rtl/>
        </w:rPr>
        <w:t>הער</w:t>
      </w:r>
      <w:r w:rsidR="001C1E95">
        <w:rPr>
          <w:rFonts w:ascii="David" w:hAnsi="David" w:cs="David" w:hint="cs"/>
          <w:sz w:val="24"/>
          <w:szCs w:val="24"/>
          <w:rtl/>
        </w:rPr>
        <w:t>ות</w:t>
      </w:r>
      <w:r>
        <w:rPr>
          <w:rFonts w:ascii="David" w:hAnsi="David" w:cs="David" w:hint="cs"/>
          <w:sz w:val="24"/>
          <w:szCs w:val="24"/>
          <w:rtl/>
        </w:rPr>
        <w:t>:</w:t>
      </w:r>
    </w:p>
    <w:p w:rsidR="001C1E95" w:rsidRPr="001C1E95" w:rsidRDefault="001C1E95" w:rsidP="00CD453E">
      <w:pPr>
        <w:pStyle w:val="af1"/>
        <w:numPr>
          <w:ilvl w:val="0"/>
          <w:numId w:val="9"/>
        </w:numPr>
        <w:spacing w:line="276" w:lineRule="auto"/>
        <w:rPr>
          <w:rFonts w:ascii="David" w:hAnsi="David" w:cs="David"/>
          <w:sz w:val="24"/>
          <w:szCs w:val="24"/>
          <w:rtl/>
        </w:rPr>
      </w:pPr>
      <w:r w:rsidRPr="001C1E95">
        <w:rPr>
          <w:rFonts w:ascii="David" w:hAnsi="David" w:cs="David" w:hint="cs"/>
          <w:sz w:val="24"/>
          <w:szCs w:val="24"/>
          <w:rtl/>
        </w:rPr>
        <w:t>מקור הנתונים באיור: רשות האכיפה והגבייה, כונס הנכסים הרשמי ובתי הדין הרבניים</w:t>
      </w:r>
    </w:p>
    <w:p w:rsidR="001C1E95" w:rsidRDefault="00AB5026" w:rsidP="00CD453E">
      <w:pPr>
        <w:spacing w:line="276" w:lineRule="auto"/>
        <w:jc w:val="both"/>
        <w:rPr>
          <w:rFonts w:ascii="David" w:hAnsi="David" w:cs="David"/>
          <w:sz w:val="24"/>
          <w:szCs w:val="24"/>
          <w:rtl/>
        </w:rPr>
      </w:pPr>
      <w:r>
        <w:rPr>
          <w:rFonts w:ascii="David" w:hAnsi="David" w:cs="David" w:hint="cs"/>
          <w:sz w:val="24"/>
          <w:szCs w:val="24"/>
          <w:rtl/>
        </w:rPr>
        <w:t xml:space="preserve"> </w:t>
      </w:r>
    </w:p>
    <w:p w:rsidR="00FA432A" w:rsidRDefault="00AB5026" w:rsidP="00CD453E">
      <w:pPr>
        <w:pStyle w:val="a7"/>
        <w:numPr>
          <w:ilvl w:val="0"/>
          <w:numId w:val="9"/>
        </w:numPr>
        <w:spacing w:line="276" w:lineRule="auto"/>
        <w:jc w:val="both"/>
        <w:rPr>
          <w:rFonts w:ascii="David" w:hAnsi="David" w:cs="David"/>
          <w:sz w:val="24"/>
          <w:szCs w:val="24"/>
        </w:rPr>
      </w:pPr>
      <w:r w:rsidRPr="001C1E95">
        <w:rPr>
          <w:rFonts w:ascii="David" w:hAnsi="David" w:cs="David" w:hint="cs"/>
          <w:sz w:val="24"/>
          <w:szCs w:val="24"/>
          <w:rtl/>
        </w:rPr>
        <w:t xml:space="preserve">יש לנכות את הקפיצה החדה במספר המוגבלים המיוחדים שהתרחשה באמצע יוני (תוספת של כ </w:t>
      </w:r>
      <w:r w:rsidRPr="001C1E95">
        <w:rPr>
          <w:rFonts w:ascii="David" w:hAnsi="David" w:cs="David"/>
          <w:sz w:val="24"/>
          <w:szCs w:val="24"/>
          <w:rtl/>
        </w:rPr>
        <w:t>–</w:t>
      </w:r>
      <w:r w:rsidRPr="001C1E95">
        <w:rPr>
          <w:rFonts w:ascii="David" w:hAnsi="David" w:cs="David" w:hint="cs"/>
          <w:sz w:val="24"/>
          <w:szCs w:val="24"/>
          <w:rtl/>
        </w:rPr>
        <w:t xml:space="preserve"> 13,000 הגבלות, כתוצאה מטיוב נתונים ותיקונים שבוצעו במערכות המידע של </w:t>
      </w:r>
      <w:r w:rsidR="00C80F46" w:rsidRPr="001C1E95">
        <w:rPr>
          <w:rFonts w:ascii="David" w:hAnsi="David" w:cs="David" w:hint="cs"/>
          <w:sz w:val="24"/>
          <w:szCs w:val="24"/>
          <w:rtl/>
        </w:rPr>
        <w:t>כו</w:t>
      </w:r>
      <w:r w:rsidRPr="001C1E95">
        <w:rPr>
          <w:rFonts w:ascii="David" w:hAnsi="David" w:cs="David" w:hint="cs"/>
          <w:sz w:val="24"/>
          <w:szCs w:val="24"/>
          <w:rtl/>
        </w:rPr>
        <w:t>נס הנכסים הרשמי).</w:t>
      </w:r>
    </w:p>
    <w:p w:rsidR="001C1E95" w:rsidRPr="001C1E95" w:rsidRDefault="001C1E95" w:rsidP="00CD453E">
      <w:pPr>
        <w:pStyle w:val="a7"/>
        <w:spacing w:line="276" w:lineRule="auto"/>
        <w:rPr>
          <w:rFonts w:ascii="David" w:hAnsi="David" w:cs="David"/>
          <w:sz w:val="24"/>
          <w:szCs w:val="24"/>
          <w:rtl/>
        </w:rPr>
      </w:pPr>
    </w:p>
    <w:p w:rsidR="00E20759" w:rsidRPr="00F46852" w:rsidRDefault="00A64969" w:rsidP="00CD453E">
      <w:pPr>
        <w:spacing w:line="276" w:lineRule="auto"/>
        <w:jc w:val="both"/>
        <w:rPr>
          <w:rFonts w:ascii="David" w:hAnsi="David" w:cs="David"/>
          <w:strike/>
          <w:sz w:val="24"/>
          <w:szCs w:val="24"/>
          <w:rtl/>
        </w:rPr>
      </w:pPr>
      <w:bookmarkStart w:id="0" w:name="_GoBack"/>
      <w:bookmarkEnd w:id="0"/>
      <w:r w:rsidRPr="00F46852">
        <w:rPr>
          <w:rFonts w:ascii="David" w:hAnsi="David" w:cs="David"/>
          <w:strike/>
          <w:sz w:val="24"/>
          <w:szCs w:val="24"/>
          <w:rtl/>
        </w:rPr>
        <w:t xml:space="preserve"> </w:t>
      </w:r>
    </w:p>
    <w:sectPr w:rsidR="00E20759" w:rsidRPr="00F46852" w:rsidSect="00CF509E">
      <w:headerReference w:type="default" r:id="rId19"/>
      <w:footerReference w:type="default" r:id="rId20"/>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190" w:rsidRDefault="005F7190" w:rsidP="003A7F34">
      <w:pPr>
        <w:spacing w:after="0" w:line="240" w:lineRule="auto"/>
      </w:pPr>
      <w:r>
        <w:separator/>
      </w:r>
    </w:p>
  </w:endnote>
  <w:endnote w:type="continuationSeparator" w:id="0">
    <w:p w:rsidR="005F7190" w:rsidRDefault="005F7190" w:rsidP="003A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F34" w:rsidRPr="00B67144" w:rsidRDefault="003A7F34" w:rsidP="00D96E9F">
    <w:pPr>
      <w:pStyle w:val="a5"/>
      <w:tabs>
        <w:tab w:val="clear" w:pos="8306"/>
        <w:tab w:val="right" w:pos="9015"/>
      </w:tabs>
      <w:ind w:left="-483" w:right="-709"/>
      <w:jc w:val="center"/>
      <w:rPr>
        <w:rFonts w:ascii="Tahoma" w:hAnsi="Tahoma" w:cs="Tahoma"/>
        <w:sz w:val="18"/>
        <w:szCs w:val="18"/>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190" w:rsidRDefault="005F7190" w:rsidP="003A7F34">
      <w:pPr>
        <w:spacing w:after="0" w:line="240" w:lineRule="auto"/>
      </w:pPr>
      <w:r>
        <w:separator/>
      </w:r>
    </w:p>
  </w:footnote>
  <w:footnote w:type="continuationSeparator" w:id="0">
    <w:p w:rsidR="005F7190" w:rsidRDefault="005F7190" w:rsidP="003A7F34">
      <w:pPr>
        <w:spacing w:after="0" w:line="240" w:lineRule="auto"/>
      </w:pPr>
      <w:r>
        <w:continuationSeparator/>
      </w:r>
    </w:p>
  </w:footnote>
  <w:footnote w:id="1">
    <w:p w:rsidR="00342F40" w:rsidRPr="00CD453E" w:rsidRDefault="00342F40" w:rsidP="00CD453E">
      <w:pPr>
        <w:pStyle w:val="af1"/>
        <w:jc w:val="both"/>
        <w:rPr>
          <w:rFonts w:ascii="David" w:hAnsi="David" w:cs="David"/>
          <w:rtl/>
        </w:rPr>
      </w:pPr>
      <w:r w:rsidRPr="00CD453E">
        <w:rPr>
          <w:rStyle w:val="af3"/>
          <w:rFonts w:ascii="David" w:hAnsi="David" w:cs="David"/>
        </w:rPr>
        <w:footnoteRef/>
      </w:r>
      <w:r w:rsidRPr="00CD453E">
        <w:rPr>
          <w:rFonts w:ascii="David" w:hAnsi="David" w:cs="David"/>
          <w:rtl/>
        </w:rPr>
        <w:t xml:space="preserve"> מקור הנתונים: דיווחי המערכת הבנקאית לפיקוח על הבנקים</w:t>
      </w:r>
    </w:p>
  </w:footnote>
  <w:footnote w:id="2">
    <w:p w:rsidR="00342F40" w:rsidRPr="00CD453E" w:rsidRDefault="00342F40" w:rsidP="00CD453E">
      <w:pPr>
        <w:pStyle w:val="af1"/>
        <w:jc w:val="both"/>
        <w:rPr>
          <w:rFonts w:ascii="David" w:hAnsi="David" w:cs="David"/>
          <w:rtl/>
        </w:rPr>
      </w:pPr>
      <w:r w:rsidRPr="00CD453E">
        <w:rPr>
          <w:rStyle w:val="af3"/>
          <w:rFonts w:ascii="David" w:hAnsi="David" w:cs="David"/>
        </w:rPr>
        <w:footnoteRef/>
      </w:r>
      <w:r w:rsidRPr="00CD453E">
        <w:rPr>
          <w:rFonts w:ascii="David" w:hAnsi="David" w:cs="David"/>
          <w:rtl/>
        </w:rPr>
        <w:t xml:space="preserve"> הנתונים במוצגים באיורים מחלוקים לשלוש תקופות במהלך 2020: פרוץ המשבר והחלה מידית של השהית ההגבלות (24 במרץ עד 22 ביוני), סיום ההשהיה והמשך ההקלות (גריעת השיקים) בהתאם לתקנות שר המשפטים (23 ביוני עד 10 באוגוסט) ולבסוף המשך התקופה ללא סייגים או הקלות נוספות בסנקציה מתוקף החוק (11 באוגוסט ועד סוף 2020). באיורים מוצגים גם נתוני ממוצע 2019 כנקודת השוואה לזמן שגרה (</w:t>
      </w:r>
      <w:r w:rsidRPr="00CD453E">
        <w:rPr>
          <w:rFonts w:ascii="David" w:hAnsi="David" w:cs="David"/>
        </w:rPr>
        <w:t>Benchmark</w:t>
      </w:r>
      <w:r w:rsidRPr="00CD453E">
        <w:rPr>
          <w:rFonts w:ascii="David" w:hAnsi="David" w:cs="David"/>
          <w:rtl/>
        </w:rPr>
        <w:t>).</w:t>
      </w:r>
    </w:p>
  </w:footnote>
  <w:footnote w:id="3">
    <w:p w:rsidR="00EF550C" w:rsidRPr="00CD453E" w:rsidRDefault="00EF550C" w:rsidP="00CD453E">
      <w:pPr>
        <w:pStyle w:val="af1"/>
        <w:jc w:val="both"/>
        <w:rPr>
          <w:rFonts w:ascii="David" w:hAnsi="David" w:cs="David"/>
          <w:rtl/>
        </w:rPr>
      </w:pPr>
      <w:r w:rsidRPr="00CD453E">
        <w:rPr>
          <w:rStyle w:val="af3"/>
          <w:rFonts w:ascii="David" w:hAnsi="David" w:cs="David"/>
        </w:rPr>
        <w:footnoteRef/>
      </w:r>
      <w:r w:rsidRPr="00CD453E">
        <w:rPr>
          <w:rFonts w:ascii="David" w:hAnsi="David" w:cs="David"/>
          <w:rtl/>
        </w:rPr>
        <w:t xml:space="preserve"> רשות האכיפה והגבייה הקפיאה את הליכי הגביה </w:t>
      </w:r>
      <w:r w:rsidR="00AB5026" w:rsidRPr="00CD453E">
        <w:rPr>
          <w:rFonts w:ascii="David" w:hAnsi="David" w:cs="David"/>
          <w:rtl/>
        </w:rPr>
        <w:t>מפרוץ</w:t>
      </w:r>
      <w:r w:rsidRPr="00CD453E">
        <w:rPr>
          <w:rFonts w:ascii="David" w:hAnsi="David" w:cs="David"/>
          <w:rtl/>
        </w:rPr>
        <w:t xml:space="preserve"> המשבר ועד לסוף חודש אפריל 2020</w:t>
      </w:r>
      <w:r w:rsidR="00AB5026" w:rsidRPr="00CD453E">
        <w:rPr>
          <w:rFonts w:ascii="David" w:hAnsi="David" w:cs="David"/>
          <w:rtl/>
        </w:rPr>
        <w:t>. פעילות זו החלה לשוב לסדרה בהדרגתיות במהלך חודש מאי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F34" w:rsidRDefault="003A7F34" w:rsidP="003A7F34">
    <w:pPr>
      <w:pStyle w:val="a3"/>
      <w:rPr>
        <w:rtl/>
      </w:rPr>
    </w:pPr>
  </w:p>
  <w:p w:rsidR="003A7F34" w:rsidRDefault="003A7F34" w:rsidP="003A7F34">
    <w:pPr>
      <w:pStyle w:val="a3"/>
      <w:rPr>
        <w:rtl/>
      </w:rPr>
    </w:pPr>
  </w:p>
  <w:p w:rsidR="003A7F34" w:rsidRDefault="003A7F34" w:rsidP="003A7F34">
    <w:pPr>
      <w:pStyle w:val="a3"/>
      <w:rPr>
        <w:rtl/>
      </w:rPr>
    </w:pPr>
  </w:p>
  <w:p w:rsidR="003A7F34" w:rsidRDefault="003A7F34" w:rsidP="00C948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3FF6"/>
    <w:multiLevelType w:val="hybridMultilevel"/>
    <w:tmpl w:val="08ACF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E7D3B"/>
    <w:multiLevelType w:val="hybridMultilevel"/>
    <w:tmpl w:val="4E8CB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B657A2"/>
    <w:multiLevelType w:val="hybridMultilevel"/>
    <w:tmpl w:val="23B42772"/>
    <w:lvl w:ilvl="0" w:tplc="8A520AC8">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DBC1B11"/>
    <w:multiLevelType w:val="hybridMultilevel"/>
    <w:tmpl w:val="834A16AA"/>
    <w:lvl w:ilvl="0" w:tplc="9AECBB8C">
      <w:start w:val="1"/>
      <w:numFmt w:val="decimal"/>
      <w:lvlText w:val="%1."/>
      <w:lvlJc w:val="left"/>
      <w:pPr>
        <w:ind w:left="720" w:hanging="360"/>
      </w:pPr>
      <w:rPr>
        <w:rFonts w:ascii="David" w:hAnsi="David" w:cs="David"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51351"/>
    <w:multiLevelType w:val="hybridMultilevel"/>
    <w:tmpl w:val="254A0C16"/>
    <w:lvl w:ilvl="0" w:tplc="5554E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DB7287"/>
    <w:multiLevelType w:val="hybridMultilevel"/>
    <w:tmpl w:val="E3225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EC517B6"/>
    <w:multiLevelType w:val="hybridMultilevel"/>
    <w:tmpl w:val="877AC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53DFE"/>
    <w:multiLevelType w:val="hybridMultilevel"/>
    <w:tmpl w:val="3606F566"/>
    <w:lvl w:ilvl="0" w:tplc="3B4666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983B86"/>
    <w:multiLevelType w:val="hybridMultilevel"/>
    <w:tmpl w:val="B6D8ED42"/>
    <w:lvl w:ilvl="0" w:tplc="A98E1D3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34"/>
    <w:rsid w:val="000019A1"/>
    <w:rsid w:val="00012E44"/>
    <w:rsid w:val="000175FF"/>
    <w:rsid w:val="00027B63"/>
    <w:rsid w:val="00036512"/>
    <w:rsid w:val="000638CB"/>
    <w:rsid w:val="00081618"/>
    <w:rsid w:val="00094ED1"/>
    <w:rsid w:val="000B1F5B"/>
    <w:rsid w:val="000D50C3"/>
    <w:rsid w:val="000E2B83"/>
    <w:rsid w:val="00102C56"/>
    <w:rsid w:val="00110244"/>
    <w:rsid w:val="00133A15"/>
    <w:rsid w:val="001926EA"/>
    <w:rsid w:val="001C1E95"/>
    <w:rsid w:val="001C303E"/>
    <w:rsid w:val="00256D60"/>
    <w:rsid w:val="00281146"/>
    <w:rsid w:val="002C3DC9"/>
    <w:rsid w:val="0031567C"/>
    <w:rsid w:val="00342F40"/>
    <w:rsid w:val="00353880"/>
    <w:rsid w:val="003763E6"/>
    <w:rsid w:val="00385038"/>
    <w:rsid w:val="003A7F34"/>
    <w:rsid w:val="003B4183"/>
    <w:rsid w:val="003F6AE1"/>
    <w:rsid w:val="0043130F"/>
    <w:rsid w:val="00440998"/>
    <w:rsid w:val="004B6E56"/>
    <w:rsid w:val="004D1E1C"/>
    <w:rsid w:val="005818E8"/>
    <w:rsid w:val="005B58B8"/>
    <w:rsid w:val="005F7190"/>
    <w:rsid w:val="00624F35"/>
    <w:rsid w:val="00643580"/>
    <w:rsid w:val="0065770A"/>
    <w:rsid w:val="006600C7"/>
    <w:rsid w:val="00680466"/>
    <w:rsid w:val="006A52D3"/>
    <w:rsid w:val="006C1EDE"/>
    <w:rsid w:val="006D6715"/>
    <w:rsid w:val="006F1B6C"/>
    <w:rsid w:val="007347CC"/>
    <w:rsid w:val="0075137B"/>
    <w:rsid w:val="00775B62"/>
    <w:rsid w:val="00790DDF"/>
    <w:rsid w:val="00792C2A"/>
    <w:rsid w:val="007F1488"/>
    <w:rsid w:val="008214E6"/>
    <w:rsid w:val="00880F48"/>
    <w:rsid w:val="008956C4"/>
    <w:rsid w:val="008C34EB"/>
    <w:rsid w:val="008C3C0E"/>
    <w:rsid w:val="008E0086"/>
    <w:rsid w:val="00901133"/>
    <w:rsid w:val="00916B57"/>
    <w:rsid w:val="00943738"/>
    <w:rsid w:val="00953EDF"/>
    <w:rsid w:val="00964023"/>
    <w:rsid w:val="009E522B"/>
    <w:rsid w:val="009E62D5"/>
    <w:rsid w:val="00A12EEE"/>
    <w:rsid w:val="00A56C46"/>
    <w:rsid w:val="00A64969"/>
    <w:rsid w:val="00A84BB1"/>
    <w:rsid w:val="00AB5026"/>
    <w:rsid w:val="00B104A8"/>
    <w:rsid w:val="00B15562"/>
    <w:rsid w:val="00B369C9"/>
    <w:rsid w:val="00B553D0"/>
    <w:rsid w:val="00B67144"/>
    <w:rsid w:val="00B94261"/>
    <w:rsid w:val="00BF06CC"/>
    <w:rsid w:val="00C165B6"/>
    <w:rsid w:val="00C42F0D"/>
    <w:rsid w:val="00C63A9C"/>
    <w:rsid w:val="00C80F46"/>
    <w:rsid w:val="00C9484D"/>
    <w:rsid w:val="00CD453E"/>
    <w:rsid w:val="00CF509E"/>
    <w:rsid w:val="00D14ECB"/>
    <w:rsid w:val="00D26ACE"/>
    <w:rsid w:val="00D5105F"/>
    <w:rsid w:val="00D658FC"/>
    <w:rsid w:val="00D80380"/>
    <w:rsid w:val="00D82F55"/>
    <w:rsid w:val="00D96E9F"/>
    <w:rsid w:val="00DA340B"/>
    <w:rsid w:val="00DA44CD"/>
    <w:rsid w:val="00DE5873"/>
    <w:rsid w:val="00E03E0F"/>
    <w:rsid w:val="00E20759"/>
    <w:rsid w:val="00E22DE4"/>
    <w:rsid w:val="00E34693"/>
    <w:rsid w:val="00E734CA"/>
    <w:rsid w:val="00EC0B8F"/>
    <w:rsid w:val="00EE18F3"/>
    <w:rsid w:val="00EE485F"/>
    <w:rsid w:val="00EF550C"/>
    <w:rsid w:val="00F34E57"/>
    <w:rsid w:val="00F3510A"/>
    <w:rsid w:val="00F46852"/>
    <w:rsid w:val="00F963FD"/>
    <w:rsid w:val="00FA432A"/>
    <w:rsid w:val="00FA448F"/>
    <w:rsid w:val="00FB2BE5"/>
    <w:rsid w:val="00FC2B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34"/>
    <w:pPr>
      <w:tabs>
        <w:tab w:val="center" w:pos="4153"/>
        <w:tab w:val="right" w:pos="8306"/>
      </w:tabs>
      <w:spacing w:after="0" w:line="240" w:lineRule="auto"/>
    </w:pPr>
  </w:style>
  <w:style w:type="character" w:customStyle="1" w:styleId="a4">
    <w:name w:val="כותרת עליונה תו"/>
    <w:basedOn w:val="a0"/>
    <w:link w:val="a3"/>
    <w:uiPriority w:val="99"/>
    <w:rsid w:val="003A7F34"/>
  </w:style>
  <w:style w:type="paragraph" w:styleId="a5">
    <w:name w:val="footer"/>
    <w:basedOn w:val="a"/>
    <w:link w:val="a6"/>
    <w:uiPriority w:val="99"/>
    <w:unhideWhenUsed/>
    <w:rsid w:val="003A7F34"/>
    <w:pPr>
      <w:tabs>
        <w:tab w:val="center" w:pos="4153"/>
        <w:tab w:val="right" w:pos="8306"/>
      </w:tabs>
      <w:spacing w:after="0" w:line="240" w:lineRule="auto"/>
    </w:pPr>
  </w:style>
  <w:style w:type="character" w:customStyle="1" w:styleId="a6">
    <w:name w:val="כותרת תחתונה תו"/>
    <w:basedOn w:val="a0"/>
    <w:link w:val="a5"/>
    <w:uiPriority w:val="99"/>
    <w:rsid w:val="003A7F34"/>
  </w:style>
  <w:style w:type="character" w:styleId="Hyperlink">
    <w:name w:val="Hyperlink"/>
    <w:basedOn w:val="a0"/>
    <w:uiPriority w:val="99"/>
    <w:unhideWhenUsed/>
    <w:rsid w:val="003A7F34"/>
    <w:rPr>
      <w:color w:val="0563C1" w:themeColor="hyperlink"/>
      <w:u w:val="single"/>
    </w:rPr>
  </w:style>
  <w:style w:type="paragraph" w:styleId="a7">
    <w:name w:val="List Paragraph"/>
    <w:basedOn w:val="a"/>
    <w:uiPriority w:val="34"/>
    <w:qFormat/>
    <w:rsid w:val="00D80380"/>
    <w:pPr>
      <w:ind w:left="720"/>
      <w:contextualSpacing/>
    </w:pPr>
  </w:style>
  <w:style w:type="paragraph" w:styleId="a8">
    <w:name w:val="Title"/>
    <w:basedOn w:val="a"/>
    <w:next w:val="a"/>
    <w:link w:val="a9"/>
    <w:uiPriority w:val="10"/>
    <w:qFormat/>
    <w:rsid w:val="008E00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כותרת טקסט תו"/>
    <w:basedOn w:val="a0"/>
    <w:link w:val="a8"/>
    <w:uiPriority w:val="10"/>
    <w:rsid w:val="008E0086"/>
    <w:rPr>
      <w:rFonts w:asciiTheme="majorHAnsi" w:eastAsiaTheme="majorEastAsia" w:hAnsiTheme="majorHAnsi" w:cstheme="majorBidi"/>
      <w:spacing w:val="-10"/>
      <w:kern w:val="28"/>
      <w:sz w:val="56"/>
      <w:szCs w:val="56"/>
    </w:rPr>
  </w:style>
  <w:style w:type="paragraph" w:styleId="aa">
    <w:name w:val="Balloon Text"/>
    <w:basedOn w:val="a"/>
    <w:link w:val="ab"/>
    <w:uiPriority w:val="99"/>
    <w:semiHidden/>
    <w:unhideWhenUsed/>
    <w:rsid w:val="00DA44CD"/>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DA44CD"/>
    <w:rPr>
      <w:rFonts w:ascii="Tahoma" w:hAnsi="Tahoma" w:cs="Tahoma"/>
      <w:sz w:val="18"/>
      <w:szCs w:val="18"/>
    </w:rPr>
  </w:style>
  <w:style w:type="character" w:styleId="ac">
    <w:name w:val="annotation reference"/>
    <w:basedOn w:val="a0"/>
    <w:uiPriority w:val="99"/>
    <w:semiHidden/>
    <w:unhideWhenUsed/>
    <w:rsid w:val="00DA44CD"/>
    <w:rPr>
      <w:sz w:val="16"/>
      <w:szCs w:val="16"/>
    </w:rPr>
  </w:style>
  <w:style w:type="paragraph" w:styleId="ad">
    <w:name w:val="annotation text"/>
    <w:basedOn w:val="a"/>
    <w:link w:val="ae"/>
    <w:uiPriority w:val="99"/>
    <w:semiHidden/>
    <w:unhideWhenUsed/>
    <w:rsid w:val="00DA44CD"/>
    <w:pPr>
      <w:spacing w:line="240" w:lineRule="auto"/>
    </w:pPr>
    <w:rPr>
      <w:sz w:val="20"/>
      <w:szCs w:val="20"/>
    </w:rPr>
  </w:style>
  <w:style w:type="character" w:customStyle="1" w:styleId="ae">
    <w:name w:val="טקסט הערה תו"/>
    <w:basedOn w:val="a0"/>
    <w:link w:val="ad"/>
    <w:uiPriority w:val="99"/>
    <w:semiHidden/>
    <w:rsid w:val="00DA44CD"/>
    <w:rPr>
      <w:sz w:val="20"/>
      <w:szCs w:val="20"/>
    </w:rPr>
  </w:style>
  <w:style w:type="paragraph" w:styleId="af">
    <w:name w:val="annotation subject"/>
    <w:basedOn w:val="ad"/>
    <w:next w:val="ad"/>
    <w:link w:val="af0"/>
    <w:uiPriority w:val="99"/>
    <w:semiHidden/>
    <w:unhideWhenUsed/>
    <w:rsid w:val="00DA44CD"/>
    <w:rPr>
      <w:b/>
      <w:bCs/>
    </w:rPr>
  </w:style>
  <w:style w:type="character" w:customStyle="1" w:styleId="af0">
    <w:name w:val="נושא הערה תו"/>
    <w:basedOn w:val="ae"/>
    <w:link w:val="af"/>
    <w:uiPriority w:val="99"/>
    <w:semiHidden/>
    <w:rsid w:val="00DA44CD"/>
    <w:rPr>
      <w:b/>
      <w:bCs/>
      <w:sz w:val="20"/>
      <w:szCs w:val="20"/>
    </w:rPr>
  </w:style>
  <w:style w:type="paragraph" w:styleId="af1">
    <w:name w:val="footnote text"/>
    <w:basedOn w:val="a"/>
    <w:link w:val="af2"/>
    <w:uiPriority w:val="99"/>
    <w:semiHidden/>
    <w:unhideWhenUsed/>
    <w:rsid w:val="00342F40"/>
    <w:pPr>
      <w:spacing w:after="0" w:line="240" w:lineRule="auto"/>
    </w:pPr>
    <w:rPr>
      <w:sz w:val="20"/>
      <w:szCs w:val="20"/>
    </w:rPr>
  </w:style>
  <w:style w:type="character" w:customStyle="1" w:styleId="af2">
    <w:name w:val="טקסט הערת שוליים תו"/>
    <w:basedOn w:val="a0"/>
    <w:link w:val="af1"/>
    <w:uiPriority w:val="99"/>
    <w:semiHidden/>
    <w:rsid w:val="00342F40"/>
    <w:rPr>
      <w:sz w:val="20"/>
      <w:szCs w:val="20"/>
    </w:rPr>
  </w:style>
  <w:style w:type="character" w:styleId="af3">
    <w:name w:val="footnote reference"/>
    <w:basedOn w:val="a0"/>
    <w:uiPriority w:val="99"/>
    <w:semiHidden/>
    <w:unhideWhenUsed/>
    <w:rsid w:val="00342F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34"/>
    <w:pPr>
      <w:tabs>
        <w:tab w:val="center" w:pos="4153"/>
        <w:tab w:val="right" w:pos="8306"/>
      </w:tabs>
      <w:spacing w:after="0" w:line="240" w:lineRule="auto"/>
    </w:pPr>
  </w:style>
  <w:style w:type="character" w:customStyle="1" w:styleId="a4">
    <w:name w:val="כותרת עליונה תו"/>
    <w:basedOn w:val="a0"/>
    <w:link w:val="a3"/>
    <w:uiPriority w:val="99"/>
    <w:rsid w:val="003A7F34"/>
  </w:style>
  <w:style w:type="paragraph" w:styleId="a5">
    <w:name w:val="footer"/>
    <w:basedOn w:val="a"/>
    <w:link w:val="a6"/>
    <w:uiPriority w:val="99"/>
    <w:unhideWhenUsed/>
    <w:rsid w:val="003A7F34"/>
    <w:pPr>
      <w:tabs>
        <w:tab w:val="center" w:pos="4153"/>
        <w:tab w:val="right" w:pos="8306"/>
      </w:tabs>
      <w:spacing w:after="0" w:line="240" w:lineRule="auto"/>
    </w:pPr>
  </w:style>
  <w:style w:type="character" w:customStyle="1" w:styleId="a6">
    <w:name w:val="כותרת תחתונה תו"/>
    <w:basedOn w:val="a0"/>
    <w:link w:val="a5"/>
    <w:uiPriority w:val="99"/>
    <w:rsid w:val="003A7F34"/>
  </w:style>
  <w:style w:type="character" w:styleId="Hyperlink">
    <w:name w:val="Hyperlink"/>
    <w:basedOn w:val="a0"/>
    <w:uiPriority w:val="99"/>
    <w:unhideWhenUsed/>
    <w:rsid w:val="003A7F34"/>
    <w:rPr>
      <w:color w:val="0563C1" w:themeColor="hyperlink"/>
      <w:u w:val="single"/>
    </w:rPr>
  </w:style>
  <w:style w:type="paragraph" w:styleId="a7">
    <w:name w:val="List Paragraph"/>
    <w:basedOn w:val="a"/>
    <w:uiPriority w:val="34"/>
    <w:qFormat/>
    <w:rsid w:val="00D80380"/>
    <w:pPr>
      <w:ind w:left="720"/>
      <w:contextualSpacing/>
    </w:pPr>
  </w:style>
  <w:style w:type="paragraph" w:styleId="a8">
    <w:name w:val="Title"/>
    <w:basedOn w:val="a"/>
    <w:next w:val="a"/>
    <w:link w:val="a9"/>
    <w:uiPriority w:val="10"/>
    <w:qFormat/>
    <w:rsid w:val="008E00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כותרת טקסט תו"/>
    <w:basedOn w:val="a0"/>
    <w:link w:val="a8"/>
    <w:uiPriority w:val="10"/>
    <w:rsid w:val="008E0086"/>
    <w:rPr>
      <w:rFonts w:asciiTheme="majorHAnsi" w:eastAsiaTheme="majorEastAsia" w:hAnsiTheme="majorHAnsi" w:cstheme="majorBidi"/>
      <w:spacing w:val="-10"/>
      <w:kern w:val="28"/>
      <w:sz w:val="56"/>
      <w:szCs w:val="56"/>
    </w:rPr>
  </w:style>
  <w:style w:type="paragraph" w:styleId="aa">
    <w:name w:val="Balloon Text"/>
    <w:basedOn w:val="a"/>
    <w:link w:val="ab"/>
    <w:uiPriority w:val="99"/>
    <w:semiHidden/>
    <w:unhideWhenUsed/>
    <w:rsid w:val="00DA44CD"/>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DA44CD"/>
    <w:rPr>
      <w:rFonts w:ascii="Tahoma" w:hAnsi="Tahoma" w:cs="Tahoma"/>
      <w:sz w:val="18"/>
      <w:szCs w:val="18"/>
    </w:rPr>
  </w:style>
  <w:style w:type="character" w:styleId="ac">
    <w:name w:val="annotation reference"/>
    <w:basedOn w:val="a0"/>
    <w:uiPriority w:val="99"/>
    <w:semiHidden/>
    <w:unhideWhenUsed/>
    <w:rsid w:val="00DA44CD"/>
    <w:rPr>
      <w:sz w:val="16"/>
      <w:szCs w:val="16"/>
    </w:rPr>
  </w:style>
  <w:style w:type="paragraph" w:styleId="ad">
    <w:name w:val="annotation text"/>
    <w:basedOn w:val="a"/>
    <w:link w:val="ae"/>
    <w:uiPriority w:val="99"/>
    <w:semiHidden/>
    <w:unhideWhenUsed/>
    <w:rsid w:val="00DA44CD"/>
    <w:pPr>
      <w:spacing w:line="240" w:lineRule="auto"/>
    </w:pPr>
    <w:rPr>
      <w:sz w:val="20"/>
      <w:szCs w:val="20"/>
    </w:rPr>
  </w:style>
  <w:style w:type="character" w:customStyle="1" w:styleId="ae">
    <w:name w:val="טקסט הערה תו"/>
    <w:basedOn w:val="a0"/>
    <w:link w:val="ad"/>
    <w:uiPriority w:val="99"/>
    <w:semiHidden/>
    <w:rsid w:val="00DA44CD"/>
    <w:rPr>
      <w:sz w:val="20"/>
      <w:szCs w:val="20"/>
    </w:rPr>
  </w:style>
  <w:style w:type="paragraph" w:styleId="af">
    <w:name w:val="annotation subject"/>
    <w:basedOn w:val="ad"/>
    <w:next w:val="ad"/>
    <w:link w:val="af0"/>
    <w:uiPriority w:val="99"/>
    <w:semiHidden/>
    <w:unhideWhenUsed/>
    <w:rsid w:val="00DA44CD"/>
    <w:rPr>
      <w:b/>
      <w:bCs/>
    </w:rPr>
  </w:style>
  <w:style w:type="character" w:customStyle="1" w:styleId="af0">
    <w:name w:val="נושא הערה תו"/>
    <w:basedOn w:val="ae"/>
    <w:link w:val="af"/>
    <w:uiPriority w:val="99"/>
    <w:semiHidden/>
    <w:rsid w:val="00DA44CD"/>
    <w:rPr>
      <w:b/>
      <w:bCs/>
      <w:sz w:val="20"/>
      <w:szCs w:val="20"/>
    </w:rPr>
  </w:style>
  <w:style w:type="paragraph" w:styleId="af1">
    <w:name w:val="footnote text"/>
    <w:basedOn w:val="a"/>
    <w:link w:val="af2"/>
    <w:uiPriority w:val="99"/>
    <w:semiHidden/>
    <w:unhideWhenUsed/>
    <w:rsid w:val="00342F40"/>
    <w:pPr>
      <w:spacing w:after="0" w:line="240" w:lineRule="auto"/>
    </w:pPr>
    <w:rPr>
      <w:sz w:val="20"/>
      <w:szCs w:val="20"/>
    </w:rPr>
  </w:style>
  <w:style w:type="character" w:customStyle="1" w:styleId="af2">
    <w:name w:val="טקסט הערת שוליים תו"/>
    <w:basedOn w:val="a0"/>
    <w:link w:val="af1"/>
    <w:uiPriority w:val="99"/>
    <w:semiHidden/>
    <w:rsid w:val="00342F40"/>
    <w:rPr>
      <w:sz w:val="20"/>
      <w:szCs w:val="20"/>
    </w:rPr>
  </w:style>
  <w:style w:type="character" w:styleId="af3">
    <w:name w:val="footnote reference"/>
    <w:basedOn w:val="a0"/>
    <w:uiPriority w:val="99"/>
    <w:semiHidden/>
    <w:unhideWhenUsed/>
    <w:rsid w:val="00342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7759">
      <w:bodyDiv w:val="1"/>
      <w:marLeft w:val="0"/>
      <w:marRight w:val="0"/>
      <w:marTop w:val="0"/>
      <w:marBottom w:val="0"/>
      <w:divBdr>
        <w:top w:val="none" w:sz="0" w:space="0" w:color="auto"/>
        <w:left w:val="none" w:sz="0" w:space="0" w:color="auto"/>
        <w:bottom w:val="none" w:sz="0" w:space="0" w:color="auto"/>
        <w:right w:val="none" w:sz="0" w:space="0" w:color="auto"/>
      </w:divBdr>
    </w:div>
    <w:div w:id="47896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F46A8-791C-458F-B8B2-78E15D7B4B7A}"/>
</file>

<file path=customXml/itemProps2.xml><?xml version="1.0" encoding="utf-8"?>
<ds:datastoreItem xmlns:ds="http://schemas.openxmlformats.org/officeDocument/2006/customXml" ds:itemID="{2A01B2CE-2A81-41D5-8CBF-C2AE7B9D59CC}"/>
</file>

<file path=customXml/itemProps3.xml><?xml version="1.0" encoding="utf-8"?>
<ds:datastoreItem xmlns:ds="http://schemas.openxmlformats.org/officeDocument/2006/customXml" ds:itemID="{5BCCAE2D-B3DF-4CB5-978D-8749A66E6E59}"/>
</file>

<file path=customXml/itemProps4.xml><?xml version="1.0" encoding="utf-8"?>
<ds:datastoreItem xmlns:ds="http://schemas.openxmlformats.org/officeDocument/2006/customXml" ds:itemID="{F4A50ABE-5F93-4547-8E15-C9FABDEE10A5}"/>
</file>

<file path=docProps/app.xml><?xml version="1.0" encoding="utf-8"?>
<Properties xmlns="http://schemas.openxmlformats.org/officeDocument/2006/extended-properties" xmlns:vt="http://schemas.openxmlformats.org/officeDocument/2006/docPropsVTypes">
  <Template>Normal</Template>
  <TotalTime>0</TotalTime>
  <Pages>5</Pages>
  <Words>689</Words>
  <Characters>3448</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שירה ספונר</dc:creator>
  <cp:lastModifiedBy>Rickey Achdut Dovrut BOI</cp:lastModifiedBy>
  <cp:revision>4</cp:revision>
  <dcterms:created xsi:type="dcterms:W3CDTF">2021-01-27T11:18:00Z</dcterms:created>
  <dcterms:modified xsi:type="dcterms:W3CDTF">2021-01-27T11:30:00Z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y fmtid="{D5CDD505-2E9C-101B-9397-08002B2CF9AE}" pid="3" name="displayDestination">
    <vt:lpwstr/>
  </property>
  <property fmtid="{D5CDD505-2E9C-101B-9397-08002B2CF9AE}" pid="4" name="boiOrgUnit">
    <vt:lpwstr/>
  </property>
</Properties>
</file>