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80" w:rsidRPr="00E8008F" w:rsidRDefault="003D4A80" w:rsidP="003D4A80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683759" cy="676910"/>
            <wp:effectExtent l="0" t="0" r="2540" b="8890"/>
            <wp:docPr id="6" name="תמונה 6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80" w:rsidRDefault="003D4A80" w:rsidP="003D4A80">
      <w:pPr>
        <w:pStyle w:val="regpar"/>
        <w:spacing w:line="300" w:lineRule="atLeast"/>
        <w:ind w:firstLine="0"/>
        <w:jc w:val="center"/>
        <w:rPr>
          <w:b/>
        </w:rPr>
      </w:pPr>
    </w:p>
    <w:p w:rsidR="003D4A80" w:rsidRPr="00000A06" w:rsidRDefault="003D4A80" w:rsidP="003D4A80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:rsidR="003D4A80" w:rsidRPr="00000A06" w:rsidRDefault="003D4A80" w:rsidP="003D4A80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:rsidR="003D4A80" w:rsidRDefault="003D4A80" w:rsidP="003D4A80">
      <w:pPr>
        <w:jc w:val="center"/>
        <w:rPr>
          <w:b/>
          <w:bCs/>
          <w:sz w:val="26"/>
          <w:szCs w:val="26"/>
        </w:rPr>
      </w:pPr>
    </w:p>
    <w:p w:rsidR="003D4A80" w:rsidRPr="0081026B" w:rsidRDefault="003D4A80" w:rsidP="003D4A80">
      <w:pPr>
        <w:jc w:val="center"/>
        <w:rPr>
          <w:rFonts w:cs="David"/>
          <w:b/>
          <w:bCs/>
          <w:sz w:val="26"/>
          <w:szCs w:val="26"/>
        </w:rPr>
      </w:pPr>
      <w:r w:rsidRPr="0081026B">
        <w:rPr>
          <w:rFonts w:cs="David"/>
          <w:b/>
          <w:bCs/>
          <w:sz w:val="26"/>
          <w:szCs w:val="26"/>
        </w:rPr>
        <w:t>Press Release</w:t>
      </w:r>
    </w:p>
    <w:p w:rsidR="003D4A80" w:rsidRDefault="003D4A80" w:rsidP="003D4A80">
      <w:pPr>
        <w:jc w:val="right"/>
      </w:pPr>
      <w:r>
        <w:t>September 8</w:t>
      </w:r>
      <w:r w:rsidRPr="00000A06">
        <w:t>, 2013</w:t>
      </w:r>
    </w:p>
    <w:p w:rsidR="003D4A80" w:rsidRDefault="003D4A80" w:rsidP="003D4A80">
      <w:pPr>
        <w:jc w:val="center"/>
      </w:pPr>
    </w:p>
    <w:p w:rsidR="003D4A80" w:rsidRPr="00E64B36" w:rsidRDefault="003D4A80" w:rsidP="003D4A80"/>
    <w:p w:rsidR="00C76793" w:rsidRDefault="00C76793" w:rsidP="00C76793">
      <w:pPr>
        <w:spacing w:line="300" w:lineRule="exact"/>
        <w:jc w:val="right"/>
      </w:pPr>
    </w:p>
    <w:p w:rsidR="0006512C" w:rsidRDefault="0006512C" w:rsidP="00FE12C0">
      <w:pPr>
        <w:spacing w:line="300" w:lineRule="exact"/>
        <w:jc w:val="center"/>
        <w:rPr>
          <w:b/>
          <w:bCs/>
        </w:rPr>
      </w:pPr>
      <w:r>
        <w:rPr>
          <w:b/>
          <w:bCs/>
        </w:rPr>
        <w:t xml:space="preserve">Israel’s foreign currency market in </w:t>
      </w:r>
      <w:r w:rsidR="00D746D7">
        <w:rPr>
          <w:b/>
          <w:bCs/>
        </w:rPr>
        <w:t>August</w:t>
      </w:r>
      <w:r w:rsidR="000220A4">
        <w:rPr>
          <w:b/>
          <w:bCs/>
        </w:rPr>
        <w:t xml:space="preserve"> </w:t>
      </w:r>
      <w:r w:rsidR="008D0784">
        <w:rPr>
          <w:b/>
          <w:bCs/>
        </w:rPr>
        <w:t>2013</w:t>
      </w:r>
    </w:p>
    <w:p w:rsidR="0006512C" w:rsidRDefault="0006512C" w:rsidP="0006512C">
      <w:pPr>
        <w:spacing w:line="300" w:lineRule="exact"/>
        <w:jc w:val="center"/>
        <w:rPr>
          <w:b/>
          <w:bCs/>
        </w:rPr>
      </w:pPr>
    </w:p>
    <w:p w:rsidR="002353CC" w:rsidRDefault="001A6277" w:rsidP="002353CC">
      <w:pPr>
        <w:spacing w:line="300" w:lineRule="exact"/>
        <w:jc w:val="both"/>
        <w:rPr>
          <w:b/>
          <w:bCs/>
        </w:rPr>
      </w:pPr>
      <w:r>
        <w:rPr>
          <w:b/>
          <w:bCs/>
        </w:rPr>
        <w:t xml:space="preserve">1. </w:t>
      </w:r>
      <w:r w:rsidR="002353CC">
        <w:rPr>
          <w:b/>
          <w:bCs/>
        </w:rPr>
        <w:t>The Exchange Rate</w:t>
      </w:r>
    </w:p>
    <w:p w:rsidR="0006512C" w:rsidRDefault="002353CC" w:rsidP="00051DB2">
      <w:pPr>
        <w:spacing w:line="300" w:lineRule="exact"/>
        <w:jc w:val="both"/>
        <w:rPr>
          <w:b/>
          <w:bCs/>
        </w:rPr>
      </w:pPr>
      <w:r>
        <w:rPr>
          <w:b/>
          <w:bCs/>
        </w:rPr>
        <w:t>T</w:t>
      </w:r>
      <w:r w:rsidR="0006512C">
        <w:rPr>
          <w:b/>
          <w:bCs/>
        </w:rPr>
        <w:t xml:space="preserve">he </w:t>
      </w:r>
      <w:r w:rsidR="00DF7306">
        <w:rPr>
          <w:b/>
          <w:bCs/>
        </w:rPr>
        <w:t xml:space="preserve">shekel </w:t>
      </w:r>
      <w:r w:rsidR="00051DB2">
        <w:rPr>
          <w:b/>
          <w:bCs/>
        </w:rPr>
        <w:t xml:space="preserve">weakened </w:t>
      </w:r>
      <w:r w:rsidR="005F33DC">
        <w:rPr>
          <w:b/>
          <w:bCs/>
        </w:rPr>
        <w:t>against the</w:t>
      </w:r>
      <w:r w:rsidR="00DF7306">
        <w:rPr>
          <w:b/>
          <w:bCs/>
        </w:rPr>
        <w:t xml:space="preserve"> dollar</w:t>
      </w:r>
      <w:r w:rsidR="005F33DC">
        <w:rPr>
          <w:b/>
          <w:bCs/>
        </w:rPr>
        <w:t xml:space="preserve">, in </w:t>
      </w:r>
      <w:r w:rsidR="00DF7306">
        <w:rPr>
          <w:b/>
          <w:bCs/>
        </w:rPr>
        <w:t xml:space="preserve">parallel with the </w:t>
      </w:r>
      <w:r w:rsidR="005F33DC">
        <w:rPr>
          <w:b/>
          <w:bCs/>
        </w:rPr>
        <w:t xml:space="preserve">dollar's </w:t>
      </w:r>
      <w:r w:rsidR="00051DB2">
        <w:rPr>
          <w:b/>
          <w:bCs/>
        </w:rPr>
        <w:t xml:space="preserve">strength </w:t>
      </w:r>
      <w:r w:rsidR="004442E3">
        <w:rPr>
          <w:b/>
          <w:bCs/>
        </w:rPr>
        <w:t>against global currencies</w:t>
      </w:r>
      <w:r w:rsidR="00470324">
        <w:rPr>
          <w:b/>
          <w:bCs/>
        </w:rPr>
        <w:t>.</w:t>
      </w:r>
    </w:p>
    <w:p w:rsidR="006252B2" w:rsidRDefault="006252B2" w:rsidP="0069477C">
      <w:pPr>
        <w:spacing w:line="300" w:lineRule="exact"/>
        <w:jc w:val="both"/>
        <w:rPr>
          <w:b/>
          <w:bCs/>
        </w:rPr>
      </w:pPr>
    </w:p>
    <w:p w:rsidR="003E21C8" w:rsidRDefault="003268FA" w:rsidP="00051DB2">
      <w:pPr>
        <w:spacing w:line="300" w:lineRule="exact"/>
        <w:jc w:val="both"/>
      </w:pPr>
      <w:r>
        <w:t xml:space="preserve">The shekel </w:t>
      </w:r>
      <w:r w:rsidR="00051DB2">
        <w:t xml:space="preserve">weakened </w:t>
      </w:r>
      <w:r w:rsidR="00DC4043">
        <w:t xml:space="preserve">by about </w:t>
      </w:r>
      <w:r w:rsidR="00906E15">
        <w:t>1.</w:t>
      </w:r>
      <w:r w:rsidR="00DE5E68">
        <w:t>4</w:t>
      </w:r>
      <w:r w:rsidR="003E21C8">
        <w:t xml:space="preserve"> </w:t>
      </w:r>
      <w:r w:rsidR="00DC4043">
        <w:t xml:space="preserve">percent </w:t>
      </w:r>
      <w:r>
        <w:t xml:space="preserve">against the dollar, </w:t>
      </w:r>
      <w:r w:rsidR="001054CC">
        <w:t>and</w:t>
      </w:r>
      <w:r w:rsidR="0032354E">
        <w:t xml:space="preserve"> </w:t>
      </w:r>
      <w:r w:rsidR="00AF4212">
        <w:t xml:space="preserve">by </w:t>
      </w:r>
      <w:r w:rsidR="00B963E5">
        <w:t xml:space="preserve">about </w:t>
      </w:r>
      <w:r w:rsidR="00051DB2">
        <w:t xml:space="preserve">1.1 </w:t>
      </w:r>
      <w:r w:rsidR="00B963E5">
        <w:t xml:space="preserve">percent </w:t>
      </w:r>
      <w:r w:rsidR="00DC4043">
        <w:t>against the euro</w:t>
      </w:r>
      <w:r w:rsidR="001054CC">
        <w:t xml:space="preserve"> during </w:t>
      </w:r>
      <w:r w:rsidR="00D746D7">
        <w:t>August</w:t>
      </w:r>
      <w:r w:rsidR="00945178">
        <w:t>.</w:t>
      </w:r>
      <w:r w:rsidR="00DC4043">
        <w:t xml:space="preserve"> </w:t>
      </w:r>
      <w:r w:rsidR="00D30607">
        <w:t xml:space="preserve">Against the currencies of </w:t>
      </w:r>
      <w:smartTag w:uri="urn:schemas-microsoft-com:office:smarttags" w:element="place">
        <w:smartTag w:uri="urn:schemas-microsoft-com:office:smarttags" w:element="country-region">
          <w:r w:rsidR="00D30607">
            <w:t>Israel</w:t>
          </w:r>
        </w:smartTag>
      </w:smartTag>
      <w:r w:rsidR="00D30607">
        <w:t>'s main trading partners, in terms of the nominal effect</w:t>
      </w:r>
      <w:r w:rsidR="009557A4">
        <w:t>ive exchange rate of the shekel</w:t>
      </w:r>
      <w:r w:rsidR="00D30607">
        <w:t xml:space="preserve"> </w:t>
      </w:r>
      <w:r w:rsidR="009557A4">
        <w:t>(</w:t>
      </w:r>
      <w:r w:rsidR="00D30607">
        <w:t xml:space="preserve">i.e., the trade-weighted </w:t>
      </w:r>
      <w:r w:rsidR="00D30607" w:rsidRPr="00DC2232">
        <w:t>average shekel exchange rate</w:t>
      </w:r>
      <w:r w:rsidR="00D30607">
        <w:t xml:space="preserve"> against</w:t>
      </w:r>
      <w:r w:rsidR="004B399A">
        <w:t xml:space="preserve"> those currencies</w:t>
      </w:r>
      <w:r w:rsidR="009557A4">
        <w:t>)</w:t>
      </w:r>
      <w:r w:rsidR="001F0B76">
        <w:t xml:space="preserve">, the shekel </w:t>
      </w:r>
      <w:r w:rsidR="00051DB2">
        <w:t xml:space="preserve">weakened </w:t>
      </w:r>
      <w:r w:rsidR="00D30607">
        <w:t>by about</w:t>
      </w:r>
      <w:r w:rsidR="00467547">
        <w:t xml:space="preserve"> </w:t>
      </w:r>
      <w:r w:rsidR="00DE5E68">
        <w:t>0.</w:t>
      </w:r>
      <w:r w:rsidR="00051DB2">
        <w:t>9</w:t>
      </w:r>
      <w:r w:rsidR="000220A4">
        <w:t xml:space="preserve"> </w:t>
      </w:r>
      <w:r w:rsidR="00D30607">
        <w:t xml:space="preserve">percent. </w:t>
      </w:r>
    </w:p>
    <w:p w:rsidR="00D30607" w:rsidRPr="00B963E5" w:rsidRDefault="00360E72" w:rsidP="00051DB2">
      <w:pPr>
        <w:spacing w:line="300" w:lineRule="exact"/>
        <w:jc w:val="both"/>
      </w:pPr>
      <w:r>
        <w:t>In</w:t>
      </w:r>
      <w:r w:rsidR="005F50CE">
        <w:t xml:space="preserve"> </w:t>
      </w:r>
      <w:r w:rsidR="00D746D7">
        <w:t>August</w:t>
      </w:r>
      <w:r w:rsidR="00B824A6">
        <w:t>,</w:t>
      </w:r>
      <w:r w:rsidR="00175351">
        <w:t xml:space="preserve"> the dollar </w:t>
      </w:r>
      <w:r w:rsidR="00051DB2">
        <w:t>strengthe</w:t>
      </w:r>
      <w:r w:rsidR="007A5938">
        <w:t>ne</w:t>
      </w:r>
      <w:r w:rsidR="00051DB2">
        <w:t xml:space="preserve">d </w:t>
      </w:r>
      <w:r w:rsidR="00AF7740">
        <w:t xml:space="preserve">against </w:t>
      </w:r>
      <w:r w:rsidR="00CB7EBB">
        <w:t xml:space="preserve">most </w:t>
      </w:r>
      <w:r w:rsidR="00AF7740">
        <w:t>global currencies—</w:t>
      </w:r>
      <w:r w:rsidR="00781A81">
        <w:t xml:space="preserve">including </w:t>
      </w:r>
      <w:r w:rsidR="003E21C8">
        <w:t xml:space="preserve">by about </w:t>
      </w:r>
      <w:r w:rsidR="00051DB2">
        <w:t xml:space="preserve">0.1 </w:t>
      </w:r>
      <w:r w:rsidR="003E21C8">
        <w:t xml:space="preserve">percent against the Swiss franc, </w:t>
      </w:r>
      <w:r w:rsidR="00AF7740">
        <w:t xml:space="preserve">by </w:t>
      </w:r>
      <w:r w:rsidR="00FA5A34">
        <w:t xml:space="preserve">about </w:t>
      </w:r>
      <w:r w:rsidR="00051DB2">
        <w:t xml:space="preserve">0.1 </w:t>
      </w:r>
      <w:r w:rsidR="004B399A">
        <w:t xml:space="preserve">percent against </w:t>
      </w:r>
      <w:r w:rsidR="00D0765E" w:rsidRPr="00B963E5">
        <w:t>the</w:t>
      </w:r>
      <w:r w:rsidR="00D0765E">
        <w:t xml:space="preserve"> </w:t>
      </w:r>
      <w:r w:rsidR="006C0054">
        <w:t>euro,</w:t>
      </w:r>
      <w:r w:rsidR="003E21C8">
        <w:t xml:space="preserve"> and </w:t>
      </w:r>
      <w:r w:rsidR="006C0054">
        <w:t xml:space="preserve">by about </w:t>
      </w:r>
      <w:r w:rsidR="00051DB2">
        <w:t xml:space="preserve">0.3 </w:t>
      </w:r>
      <w:r w:rsidR="006C0054">
        <w:t>percent against the</w:t>
      </w:r>
      <w:r w:rsidR="0032354E">
        <w:t xml:space="preserve"> </w:t>
      </w:r>
      <w:r w:rsidR="00781A81">
        <w:t>Japanese yen</w:t>
      </w:r>
      <w:r w:rsidR="003E21C8">
        <w:t>.</w:t>
      </w:r>
      <w:r w:rsidR="00051DB2">
        <w:t xml:space="preserve"> However, the dollar weakened by about 2.1 percent against the British pound.</w:t>
      </w:r>
    </w:p>
    <w:p w:rsidR="00B963E5" w:rsidRDefault="00B963E5" w:rsidP="00584D37">
      <w:pPr>
        <w:spacing w:line="300" w:lineRule="exact"/>
        <w:jc w:val="both"/>
        <w:rPr>
          <w:b/>
          <w:bCs/>
        </w:rPr>
      </w:pPr>
    </w:p>
    <w:p w:rsidR="00B963E5" w:rsidRDefault="00B963E5" w:rsidP="00584D37">
      <w:pPr>
        <w:spacing w:line="300" w:lineRule="exact"/>
        <w:jc w:val="both"/>
        <w:rPr>
          <w:b/>
          <w:bCs/>
        </w:rPr>
      </w:pPr>
    </w:p>
    <w:p w:rsidR="002353CC" w:rsidRDefault="001A6277" w:rsidP="002353CC">
      <w:pPr>
        <w:spacing w:line="300" w:lineRule="exact"/>
        <w:jc w:val="both"/>
        <w:rPr>
          <w:b/>
          <w:bCs/>
        </w:rPr>
      </w:pPr>
      <w:r>
        <w:rPr>
          <w:b/>
          <w:bCs/>
        </w:rPr>
        <w:t xml:space="preserve">2. </w:t>
      </w:r>
      <w:r w:rsidR="002353CC">
        <w:rPr>
          <w:b/>
          <w:bCs/>
        </w:rPr>
        <w:t>Exchange Rate Volatility</w:t>
      </w:r>
    </w:p>
    <w:p w:rsidR="0006512C" w:rsidRDefault="00352F9D" w:rsidP="00B67988">
      <w:pPr>
        <w:spacing w:line="300" w:lineRule="exact"/>
        <w:jc w:val="both"/>
        <w:rPr>
          <w:b/>
          <w:bCs/>
        </w:rPr>
      </w:pPr>
      <w:r>
        <w:rPr>
          <w:b/>
          <w:bCs/>
        </w:rPr>
        <w:t>A</w:t>
      </w:r>
      <w:r w:rsidR="003A56CA">
        <w:rPr>
          <w:b/>
          <w:bCs/>
        </w:rPr>
        <w:t xml:space="preserve">ctual </w:t>
      </w:r>
      <w:r w:rsidR="000220A4">
        <w:rPr>
          <w:b/>
          <w:bCs/>
        </w:rPr>
        <w:t xml:space="preserve">volatility </w:t>
      </w:r>
      <w:r w:rsidR="00B67988">
        <w:rPr>
          <w:b/>
          <w:bCs/>
        </w:rPr>
        <w:t xml:space="preserve">of the exchange rate increased as its </w:t>
      </w:r>
      <w:r w:rsidR="00B6417B">
        <w:rPr>
          <w:b/>
          <w:bCs/>
        </w:rPr>
        <w:t xml:space="preserve">implied volatility </w:t>
      </w:r>
      <w:r w:rsidR="00A65D8F">
        <w:rPr>
          <w:b/>
          <w:bCs/>
        </w:rPr>
        <w:t>declined</w:t>
      </w:r>
      <w:r w:rsidR="00470324">
        <w:rPr>
          <w:b/>
          <w:bCs/>
        </w:rPr>
        <w:t>.</w:t>
      </w:r>
    </w:p>
    <w:p w:rsidR="006252B2" w:rsidRDefault="006252B2" w:rsidP="00584D37">
      <w:pPr>
        <w:spacing w:line="300" w:lineRule="exact"/>
        <w:jc w:val="both"/>
        <w:rPr>
          <w:b/>
          <w:bCs/>
        </w:rPr>
      </w:pPr>
    </w:p>
    <w:p w:rsidR="006252B2" w:rsidRDefault="0006512C" w:rsidP="00921AC9">
      <w:pPr>
        <w:spacing w:line="300" w:lineRule="exact"/>
        <w:jc w:val="both"/>
      </w:pPr>
      <w:r>
        <w:t xml:space="preserve">The standard deviation of changes </w:t>
      </w:r>
      <w:r w:rsidRPr="00DF2C76">
        <w:t xml:space="preserve">in the </w:t>
      </w:r>
      <w:r w:rsidR="00FB5D4C" w:rsidRPr="00116B89">
        <w:t>shekel</w:t>
      </w:r>
      <w:r w:rsidR="00A83A2D" w:rsidRPr="00116B89">
        <w:t xml:space="preserve">-dollar </w:t>
      </w:r>
      <w:r w:rsidRPr="00116B89">
        <w:t>exchange rate,</w:t>
      </w:r>
      <w:r w:rsidR="005E2856">
        <w:t xml:space="preserve"> </w:t>
      </w:r>
      <w:r>
        <w:t xml:space="preserve">which represents its actual volatility, </w:t>
      </w:r>
      <w:r w:rsidR="00921AC9">
        <w:t>increased</w:t>
      </w:r>
      <w:r w:rsidR="000220A4">
        <w:t xml:space="preserve"> </w:t>
      </w:r>
      <w:r w:rsidR="00BF3417">
        <w:t xml:space="preserve">in </w:t>
      </w:r>
      <w:r w:rsidR="00D746D7">
        <w:t>August</w:t>
      </w:r>
      <w:r w:rsidR="004E5B9E">
        <w:t xml:space="preserve"> </w:t>
      </w:r>
      <w:r w:rsidR="000220A4">
        <w:t xml:space="preserve">by about </w:t>
      </w:r>
      <w:r w:rsidR="004C03FF">
        <w:t>0.</w:t>
      </w:r>
      <w:r w:rsidR="00921AC9">
        <w:t>8</w:t>
      </w:r>
      <w:r w:rsidR="00486E37">
        <w:t xml:space="preserve"> </w:t>
      </w:r>
      <w:r w:rsidR="00917E80">
        <w:t>percent</w:t>
      </w:r>
      <w:r w:rsidR="000220A4">
        <w:t xml:space="preserve">age points to </w:t>
      </w:r>
      <w:r w:rsidR="00921AC9">
        <w:t xml:space="preserve">8.1 </w:t>
      </w:r>
      <w:r w:rsidR="000220A4">
        <w:t>percent</w:t>
      </w:r>
      <w:r w:rsidR="00BA7D1A">
        <w:t xml:space="preserve">, compared with </w:t>
      </w:r>
      <w:r w:rsidR="00A65D8F">
        <w:t>7.</w:t>
      </w:r>
      <w:r w:rsidR="00921AC9">
        <w:t>3</w:t>
      </w:r>
      <w:r w:rsidR="000220A4">
        <w:t xml:space="preserve"> </w:t>
      </w:r>
      <w:r w:rsidR="00BA7D1A">
        <w:t xml:space="preserve">percent in </w:t>
      </w:r>
      <w:r w:rsidR="00D746D7">
        <w:t>July</w:t>
      </w:r>
      <w:r w:rsidR="00BF3417">
        <w:t>.</w:t>
      </w:r>
      <w:r w:rsidR="00942EA3">
        <w:t xml:space="preserve"> </w:t>
      </w:r>
    </w:p>
    <w:p w:rsidR="004B6D99" w:rsidRDefault="002A4767" w:rsidP="00921AC9">
      <w:pPr>
        <w:spacing w:line="300" w:lineRule="exact"/>
        <w:jc w:val="both"/>
      </w:pPr>
      <w:r>
        <w:t>T</w:t>
      </w:r>
      <w:r w:rsidR="00BF4FFA">
        <w:t>he average level of implied volatility in over the counter shekel-dollar options––</w:t>
      </w:r>
      <w:r w:rsidR="00BF4FFA" w:rsidRPr="00E15596">
        <w:t>an indication of expected exchange rate volatility––</w:t>
      </w:r>
      <w:r w:rsidR="00A75493">
        <w:t>declin</w:t>
      </w:r>
      <w:r w:rsidR="000220A4">
        <w:t xml:space="preserve">ed to </w:t>
      </w:r>
      <w:r w:rsidR="00921AC9">
        <w:t xml:space="preserve">8.9 </w:t>
      </w:r>
      <w:r w:rsidR="000220A4">
        <w:t xml:space="preserve">percent at the end of </w:t>
      </w:r>
      <w:r w:rsidR="00D746D7">
        <w:t>August</w:t>
      </w:r>
      <w:r w:rsidR="000220A4">
        <w:t xml:space="preserve">, compared with </w:t>
      </w:r>
      <w:r w:rsidR="00921AC9">
        <w:t xml:space="preserve">9.6 </w:t>
      </w:r>
      <w:r w:rsidR="000220A4">
        <w:t xml:space="preserve">percent in </w:t>
      </w:r>
      <w:r w:rsidR="00D746D7">
        <w:t>July</w:t>
      </w:r>
      <w:r w:rsidR="00BA7D1A">
        <w:t xml:space="preserve">. </w:t>
      </w:r>
    </w:p>
    <w:p w:rsidR="0006512C" w:rsidRDefault="00BA7D1A" w:rsidP="00921AC9">
      <w:pPr>
        <w:spacing w:line="300" w:lineRule="exact"/>
        <w:jc w:val="both"/>
      </w:pPr>
      <w:r>
        <w:t xml:space="preserve">In </w:t>
      </w:r>
      <w:r w:rsidR="00D746D7">
        <w:t>August</w:t>
      </w:r>
      <w:r>
        <w:t xml:space="preserve">, the </w:t>
      </w:r>
      <w:r w:rsidR="00EF3A3D" w:rsidRPr="00E017A8">
        <w:t>implied volatili</w:t>
      </w:r>
      <w:r w:rsidR="00FA516A">
        <w:t>ty</w:t>
      </w:r>
      <w:r w:rsidR="0006512C" w:rsidRPr="00E017A8">
        <w:t xml:space="preserve"> </w:t>
      </w:r>
      <w:r w:rsidR="004B6D99">
        <w:t xml:space="preserve">in </w:t>
      </w:r>
      <w:r w:rsidR="0006512C" w:rsidRPr="00E017A8">
        <w:t xml:space="preserve">foreign exchange options </w:t>
      </w:r>
      <w:r w:rsidR="00861A07">
        <w:t>declin</w:t>
      </w:r>
      <w:r w:rsidR="000220A4">
        <w:t>ed in both emerging and advanced economies</w:t>
      </w:r>
      <w:r w:rsidR="004B6D99">
        <w:t xml:space="preserve">—to </w:t>
      </w:r>
      <w:r w:rsidR="00921AC9">
        <w:t xml:space="preserve">10.3 </w:t>
      </w:r>
      <w:r w:rsidR="005E2856">
        <w:t xml:space="preserve">percent </w:t>
      </w:r>
      <w:r w:rsidR="004E6718">
        <w:t xml:space="preserve">in </w:t>
      </w:r>
      <w:r w:rsidR="004E5B9E">
        <w:t>emerging market</w:t>
      </w:r>
      <w:r w:rsidR="005E2856">
        <w:t>s</w:t>
      </w:r>
      <w:r w:rsidR="004B6D99">
        <w:t xml:space="preserve"> </w:t>
      </w:r>
      <w:r w:rsidR="004E5B9E">
        <w:t xml:space="preserve">and </w:t>
      </w:r>
      <w:r w:rsidR="00921AC9">
        <w:t xml:space="preserve">9.4 </w:t>
      </w:r>
      <w:r w:rsidR="005E2856">
        <w:t xml:space="preserve">percent in </w:t>
      </w:r>
      <w:r w:rsidR="004E5B9E">
        <w:t>advanced economies</w:t>
      </w:r>
      <w:r w:rsidR="005E2856">
        <w:t>,</w:t>
      </w:r>
      <w:r w:rsidR="004E5B9E">
        <w:t xml:space="preserve"> </w:t>
      </w:r>
      <w:r w:rsidR="004B6D99">
        <w:t xml:space="preserve">compared with </w:t>
      </w:r>
      <w:r w:rsidR="00861A07">
        <w:t>11.</w:t>
      </w:r>
      <w:r w:rsidR="00921AC9">
        <w:t>1</w:t>
      </w:r>
      <w:r w:rsidR="004B6D99">
        <w:t xml:space="preserve"> percent in emerging markets and </w:t>
      </w:r>
      <w:r w:rsidR="00861A07">
        <w:t>10</w:t>
      </w:r>
      <w:r w:rsidR="00921AC9">
        <w:t xml:space="preserve"> </w:t>
      </w:r>
      <w:r w:rsidR="004B6D99">
        <w:t xml:space="preserve">percent in advanced economies </w:t>
      </w:r>
      <w:r>
        <w:t xml:space="preserve">in </w:t>
      </w:r>
      <w:r w:rsidR="00D746D7">
        <w:t>July</w:t>
      </w:r>
      <w:r>
        <w:t>.</w:t>
      </w:r>
    </w:p>
    <w:p w:rsidR="002353CC" w:rsidRDefault="002353CC" w:rsidP="002353CC">
      <w:pPr>
        <w:spacing w:line="300" w:lineRule="exact"/>
        <w:jc w:val="both"/>
      </w:pPr>
    </w:p>
    <w:p w:rsidR="003D4A80" w:rsidRDefault="003D4A80" w:rsidP="002353CC">
      <w:pPr>
        <w:spacing w:line="300" w:lineRule="exact"/>
        <w:jc w:val="both"/>
      </w:pPr>
    </w:p>
    <w:p w:rsidR="003D4A80" w:rsidRDefault="003D4A80" w:rsidP="002353CC">
      <w:pPr>
        <w:spacing w:line="300" w:lineRule="exact"/>
        <w:jc w:val="both"/>
      </w:pPr>
    </w:p>
    <w:p w:rsidR="003D4A80" w:rsidRDefault="003D4A80" w:rsidP="002353CC">
      <w:pPr>
        <w:spacing w:line="300" w:lineRule="exact"/>
        <w:jc w:val="both"/>
      </w:pPr>
    </w:p>
    <w:p w:rsidR="002353CC" w:rsidRDefault="001A6277" w:rsidP="00E521E9">
      <w:pPr>
        <w:spacing w:line="300" w:lineRule="exact"/>
        <w:jc w:val="both"/>
        <w:rPr>
          <w:b/>
          <w:bCs/>
        </w:rPr>
      </w:pPr>
      <w:r>
        <w:rPr>
          <w:b/>
          <w:bCs/>
        </w:rPr>
        <w:t>3</w:t>
      </w:r>
      <w:r w:rsidR="00E521E9">
        <w:rPr>
          <w:b/>
          <w:bCs/>
        </w:rPr>
        <w:t xml:space="preserve">. </w:t>
      </w:r>
      <w:r w:rsidR="0058602A">
        <w:rPr>
          <w:b/>
          <w:bCs/>
        </w:rPr>
        <w:t xml:space="preserve">The </w:t>
      </w:r>
      <w:r w:rsidR="002353CC">
        <w:rPr>
          <w:b/>
          <w:bCs/>
        </w:rPr>
        <w:t xml:space="preserve">Volume </w:t>
      </w:r>
      <w:r w:rsidR="0058602A">
        <w:rPr>
          <w:b/>
          <w:bCs/>
        </w:rPr>
        <w:t xml:space="preserve">of </w:t>
      </w:r>
      <w:r w:rsidR="002353CC">
        <w:rPr>
          <w:b/>
          <w:bCs/>
        </w:rPr>
        <w:t xml:space="preserve">Trade </w:t>
      </w:r>
      <w:r w:rsidR="0058602A">
        <w:rPr>
          <w:b/>
          <w:bCs/>
        </w:rPr>
        <w:t xml:space="preserve">in the </w:t>
      </w:r>
      <w:r w:rsidR="002353CC">
        <w:rPr>
          <w:b/>
          <w:bCs/>
        </w:rPr>
        <w:t>Foreign Currency Market</w:t>
      </w:r>
      <w:r w:rsidR="00BF4FFA">
        <w:rPr>
          <w:b/>
          <w:bCs/>
        </w:rPr>
        <w:t xml:space="preserve"> </w:t>
      </w:r>
    </w:p>
    <w:p w:rsidR="0006512C" w:rsidRDefault="00DA6322" w:rsidP="0024664C">
      <w:pPr>
        <w:spacing w:line="300" w:lineRule="exact"/>
        <w:jc w:val="both"/>
        <w:rPr>
          <w:b/>
          <w:bCs/>
        </w:rPr>
      </w:pPr>
      <w:r>
        <w:rPr>
          <w:b/>
          <w:bCs/>
        </w:rPr>
        <w:lastRenderedPageBreak/>
        <w:t>A</w:t>
      </w:r>
      <w:r w:rsidR="00256AEA">
        <w:rPr>
          <w:b/>
          <w:bCs/>
        </w:rPr>
        <w:t>verage daily</w:t>
      </w:r>
      <w:r w:rsidR="00102BF1">
        <w:rPr>
          <w:b/>
          <w:bCs/>
        </w:rPr>
        <w:t xml:space="preserve"> trading </w:t>
      </w:r>
      <w:r w:rsidR="00DA736D">
        <w:rPr>
          <w:b/>
          <w:bCs/>
        </w:rPr>
        <w:t>volume</w:t>
      </w:r>
      <w:r>
        <w:rPr>
          <w:b/>
          <w:bCs/>
        </w:rPr>
        <w:t xml:space="preserve"> declined</w:t>
      </w:r>
      <w:r w:rsidR="0024664C">
        <w:rPr>
          <w:b/>
          <w:bCs/>
        </w:rPr>
        <w:t>.</w:t>
      </w:r>
    </w:p>
    <w:p w:rsidR="006252B2" w:rsidRDefault="006252B2" w:rsidP="00E017A8">
      <w:pPr>
        <w:spacing w:line="300" w:lineRule="exact"/>
        <w:jc w:val="both"/>
        <w:rPr>
          <w:b/>
          <w:bCs/>
        </w:rPr>
      </w:pPr>
    </w:p>
    <w:p w:rsidR="00523285" w:rsidRDefault="0006512C" w:rsidP="00921AC9">
      <w:pPr>
        <w:spacing w:line="300" w:lineRule="exact"/>
        <w:jc w:val="both"/>
      </w:pPr>
      <w:r w:rsidRPr="00B563E8">
        <w:rPr>
          <w:b/>
          <w:bCs/>
        </w:rPr>
        <w:t>The total volume of trade in foreign currency</w:t>
      </w:r>
      <w:r w:rsidRPr="00B563E8">
        <w:t xml:space="preserve"> in </w:t>
      </w:r>
      <w:r w:rsidR="00D746D7">
        <w:t>August</w:t>
      </w:r>
      <w:r w:rsidR="0046191C">
        <w:t xml:space="preserve"> </w:t>
      </w:r>
      <w:r w:rsidR="00CA64AC" w:rsidRPr="00B563E8">
        <w:t>was</w:t>
      </w:r>
      <w:r w:rsidR="00EB5E23" w:rsidRPr="00B563E8">
        <w:t xml:space="preserve"> </w:t>
      </w:r>
      <w:r w:rsidRPr="00B563E8">
        <w:t xml:space="preserve">about </w:t>
      </w:r>
      <w:r w:rsidR="00A174E3" w:rsidRPr="00B563E8">
        <w:t>$</w:t>
      </w:r>
      <w:r w:rsidR="00470324">
        <w:t>8</w:t>
      </w:r>
      <w:r w:rsidR="00921AC9">
        <w:t xml:space="preserve">2 </w:t>
      </w:r>
      <w:r w:rsidR="00A174E3" w:rsidRPr="00B563E8">
        <w:t>billion</w:t>
      </w:r>
      <w:r w:rsidR="0046191C">
        <w:t>, compared with</w:t>
      </w:r>
      <w:r w:rsidR="00AC7A50">
        <w:t xml:space="preserve"> </w:t>
      </w:r>
      <w:r w:rsidR="00F47CAC">
        <w:t xml:space="preserve">about </w:t>
      </w:r>
      <w:r w:rsidR="0046191C">
        <w:t>$</w:t>
      </w:r>
      <w:r w:rsidR="0089794D">
        <w:t>8</w:t>
      </w:r>
      <w:r w:rsidR="00921AC9">
        <w:t>3.</w:t>
      </w:r>
      <w:r w:rsidR="0089794D">
        <w:t>5</w:t>
      </w:r>
      <w:r w:rsidR="007F5849">
        <w:t xml:space="preserve"> </w:t>
      </w:r>
      <w:r w:rsidR="0046191C">
        <w:t>billion in</w:t>
      </w:r>
      <w:r w:rsidR="0044592F">
        <w:t xml:space="preserve"> </w:t>
      </w:r>
      <w:r w:rsidR="00D746D7">
        <w:t>July</w:t>
      </w:r>
      <w:r w:rsidR="0089794D">
        <w:t>.</w:t>
      </w:r>
      <w:r w:rsidR="0046191C">
        <w:t xml:space="preserve"> Average daily trading volume </w:t>
      </w:r>
      <w:r w:rsidR="00DA6322">
        <w:t xml:space="preserve">declined </w:t>
      </w:r>
      <w:r w:rsidR="001B37AF">
        <w:t>by</w:t>
      </w:r>
      <w:r w:rsidR="0046191C">
        <w:t xml:space="preserve"> </w:t>
      </w:r>
      <w:r w:rsidR="00DA736D">
        <w:t xml:space="preserve">about </w:t>
      </w:r>
      <w:r w:rsidR="00921AC9">
        <w:t xml:space="preserve">2 </w:t>
      </w:r>
      <w:r w:rsidR="00DA736D">
        <w:t xml:space="preserve">percent </w:t>
      </w:r>
      <w:r w:rsidR="001F75B3">
        <w:t>in</w:t>
      </w:r>
      <w:r w:rsidR="0046191C">
        <w:t xml:space="preserve"> </w:t>
      </w:r>
      <w:r w:rsidR="00D746D7">
        <w:t>August</w:t>
      </w:r>
      <w:r w:rsidR="007E3B26">
        <w:t>, and reached</w:t>
      </w:r>
      <w:r w:rsidR="001F75B3">
        <w:t xml:space="preserve"> about $</w:t>
      </w:r>
      <w:r w:rsidR="0089794D">
        <w:t>3.</w:t>
      </w:r>
      <w:r w:rsidR="00921AC9">
        <w:t>7</w:t>
      </w:r>
      <w:r w:rsidR="0044592F">
        <w:t xml:space="preserve"> </w:t>
      </w:r>
      <w:r w:rsidR="001F75B3">
        <w:t>billion</w:t>
      </w:r>
      <w:r w:rsidR="00DA736D">
        <w:t>.</w:t>
      </w:r>
      <w:r w:rsidR="00F86003">
        <w:t xml:space="preserve"> </w:t>
      </w:r>
    </w:p>
    <w:p w:rsidR="00523285" w:rsidRDefault="00523285" w:rsidP="007175A4">
      <w:pPr>
        <w:spacing w:line="300" w:lineRule="exact"/>
        <w:jc w:val="both"/>
      </w:pPr>
    </w:p>
    <w:p w:rsidR="003C41A5" w:rsidRDefault="0006512C" w:rsidP="00921AC9">
      <w:pPr>
        <w:spacing w:line="300" w:lineRule="exact"/>
        <w:jc w:val="both"/>
      </w:pPr>
      <w:r w:rsidRPr="00954214">
        <w:rPr>
          <w:b/>
          <w:bCs/>
        </w:rPr>
        <w:t xml:space="preserve">The volume of trade in spot and forward </w:t>
      </w:r>
      <w:r w:rsidR="00AD70E6" w:rsidRPr="00FA5B92">
        <w:rPr>
          <w:b/>
          <w:bCs/>
        </w:rPr>
        <w:t xml:space="preserve">transactions </w:t>
      </w:r>
      <w:r w:rsidR="00FA5B92" w:rsidRPr="00FA5B92">
        <w:rPr>
          <w:b/>
          <w:bCs/>
        </w:rPr>
        <w:t>(conversions)</w:t>
      </w:r>
      <w:r w:rsidR="00FA5B92">
        <w:t xml:space="preserve"> </w:t>
      </w:r>
      <w:r w:rsidR="006F2582">
        <w:t xml:space="preserve">was </w:t>
      </w:r>
      <w:r w:rsidR="00544130">
        <w:t xml:space="preserve">about </w:t>
      </w:r>
      <w:r w:rsidR="003A6732">
        <w:t>$</w:t>
      </w:r>
      <w:r w:rsidR="008434F9">
        <w:t>3</w:t>
      </w:r>
      <w:r w:rsidR="00921AC9">
        <w:t>2</w:t>
      </w:r>
      <w:r w:rsidR="007F5849">
        <w:t xml:space="preserve"> </w:t>
      </w:r>
      <w:r w:rsidR="003A6732">
        <w:t>billion in</w:t>
      </w:r>
      <w:r w:rsidR="00AC6D61">
        <w:t xml:space="preserve"> </w:t>
      </w:r>
      <w:r w:rsidR="00D746D7">
        <w:t>August</w:t>
      </w:r>
      <w:r w:rsidR="00DA6322">
        <w:t>, compared with $3</w:t>
      </w:r>
      <w:r w:rsidR="00921AC9">
        <w:t>3</w:t>
      </w:r>
      <w:r w:rsidR="00DA6322">
        <w:t xml:space="preserve"> billion in </w:t>
      </w:r>
      <w:r w:rsidR="00D746D7">
        <w:t>July</w:t>
      </w:r>
      <w:r w:rsidR="008434F9">
        <w:t>.</w:t>
      </w:r>
      <w:r w:rsidR="003C41A5" w:rsidRPr="00BB3203">
        <w:t xml:space="preserve"> </w:t>
      </w:r>
      <w:r w:rsidR="006F7711">
        <w:t>The a</w:t>
      </w:r>
      <w:r w:rsidR="003C41A5" w:rsidRPr="00BB3203">
        <w:t xml:space="preserve">verage daily trading volume in those transactions </w:t>
      </w:r>
      <w:r w:rsidR="00703B02">
        <w:t>declin</w:t>
      </w:r>
      <w:r w:rsidR="008434F9">
        <w:t xml:space="preserve">ed </w:t>
      </w:r>
      <w:r w:rsidR="00E92657">
        <w:t xml:space="preserve">in </w:t>
      </w:r>
      <w:r w:rsidR="00D746D7">
        <w:t>August</w:t>
      </w:r>
      <w:r w:rsidR="00AC6D61">
        <w:t xml:space="preserve"> </w:t>
      </w:r>
      <w:r w:rsidR="00EC6F9F">
        <w:t xml:space="preserve">by </w:t>
      </w:r>
      <w:r w:rsidR="005F565B">
        <w:t xml:space="preserve">about </w:t>
      </w:r>
      <w:r w:rsidR="00703B02">
        <w:t xml:space="preserve">5 </w:t>
      </w:r>
      <w:r w:rsidR="005F565B">
        <w:t>percent</w:t>
      </w:r>
      <w:r w:rsidR="008434F9">
        <w:t xml:space="preserve"> </w:t>
      </w:r>
      <w:r w:rsidR="000C2FDE">
        <w:t>compared with</w:t>
      </w:r>
      <w:r w:rsidR="00735131">
        <w:t xml:space="preserve"> </w:t>
      </w:r>
      <w:r w:rsidR="00D746D7">
        <w:t>July</w:t>
      </w:r>
      <w:r w:rsidR="00FB44BF">
        <w:t>.</w:t>
      </w:r>
      <w:r w:rsidR="003C41A5" w:rsidRPr="00BB3203">
        <w:t xml:space="preserve"> </w:t>
      </w:r>
      <w:r w:rsidR="008434F9">
        <w:t xml:space="preserve">During </w:t>
      </w:r>
      <w:r w:rsidR="00D746D7">
        <w:t>August</w:t>
      </w:r>
      <w:r w:rsidR="008434F9">
        <w:t>, the Bank of Israel bought $</w:t>
      </w:r>
      <w:r w:rsidR="00D1143F">
        <w:t>2</w:t>
      </w:r>
      <w:r w:rsidR="00921AC9">
        <w:t xml:space="preserve">90 </w:t>
      </w:r>
      <w:r w:rsidR="00D1143F">
        <w:t>m</w:t>
      </w:r>
      <w:r w:rsidR="008434F9">
        <w:t xml:space="preserve">illion </w:t>
      </w:r>
      <w:r w:rsidR="00DA6322">
        <w:t>through conversion transactions</w:t>
      </w:r>
      <w:r w:rsidR="00DC4649">
        <w:rPr>
          <w:rStyle w:val="a8"/>
        </w:rPr>
        <w:footnoteReference w:id="1"/>
      </w:r>
      <w:r w:rsidR="00DA6322">
        <w:t xml:space="preserve">, </w:t>
      </w:r>
      <w:r w:rsidR="00D1145A">
        <w:t>as part of</w:t>
      </w:r>
      <w:r w:rsidR="00DA6322">
        <w:t xml:space="preserve"> the purchase program intended to offset the effect on the exchange rate of natural gas production.</w:t>
      </w:r>
    </w:p>
    <w:p w:rsidR="006252B2" w:rsidRDefault="006252B2" w:rsidP="006252B2">
      <w:pPr>
        <w:spacing w:line="300" w:lineRule="exact"/>
        <w:jc w:val="both"/>
      </w:pPr>
    </w:p>
    <w:p w:rsidR="007175A4" w:rsidRDefault="0006512C" w:rsidP="00493B9F">
      <w:pPr>
        <w:spacing w:line="300" w:lineRule="exact"/>
        <w:jc w:val="both"/>
      </w:pPr>
      <w:r w:rsidRPr="00710F15">
        <w:rPr>
          <w:b/>
          <w:bCs/>
        </w:rPr>
        <w:t xml:space="preserve">The volume of trade in </w:t>
      </w:r>
      <w:r w:rsidR="007175A4" w:rsidRPr="00710F15">
        <w:rPr>
          <w:b/>
          <w:bCs/>
        </w:rPr>
        <w:t>over</w:t>
      </w:r>
      <w:r w:rsidR="007175A4">
        <w:rPr>
          <w:b/>
          <w:bCs/>
        </w:rPr>
        <w:t xml:space="preserve"> the counter </w:t>
      </w:r>
      <w:r w:rsidR="009A36F7" w:rsidRPr="00954214">
        <w:rPr>
          <w:b/>
          <w:bCs/>
        </w:rPr>
        <w:t>foreign currency options</w:t>
      </w:r>
      <w:r w:rsidR="009A36F7">
        <w:t xml:space="preserve"> (which are not traded on the stock exchange) totaled about </w:t>
      </w:r>
      <w:r w:rsidR="002353CC">
        <w:t>$</w:t>
      </w:r>
      <w:r w:rsidR="00493B9F">
        <w:t>9.7</w:t>
      </w:r>
      <w:r w:rsidR="00DA6322">
        <w:t xml:space="preserve"> </w:t>
      </w:r>
      <w:r w:rsidR="002353CC">
        <w:t>billion in</w:t>
      </w:r>
      <w:r w:rsidR="009E59CE">
        <w:t xml:space="preserve"> </w:t>
      </w:r>
      <w:r w:rsidR="00D746D7">
        <w:t>August</w:t>
      </w:r>
      <w:r w:rsidR="00133AED">
        <w:t xml:space="preserve">. </w:t>
      </w:r>
      <w:r w:rsidR="007175A4">
        <w:t xml:space="preserve">The average daily trading volume in those options </w:t>
      </w:r>
      <w:r w:rsidR="00256AEA">
        <w:t xml:space="preserve">in </w:t>
      </w:r>
      <w:r w:rsidR="00D746D7">
        <w:t>August</w:t>
      </w:r>
      <w:r w:rsidR="009E59CE">
        <w:t xml:space="preserve"> </w:t>
      </w:r>
      <w:r w:rsidR="00133AED">
        <w:t xml:space="preserve">was </w:t>
      </w:r>
      <w:r w:rsidR="002353CC">
        <w:t>$</w:t>
      </w:r>
      <w:r w:rsidR="00493B9F">
        <w:t xml:space="preserve">443 </w:t>
      </w:r>
      <w:r w:rsidR="006239C9">
        <w:t xml:space="preserve">million, </w:t>
      </w:r>
      <w:r w:rsidR="00DA6322">
        <w:t>a</w:t>
      </w:r>
      <w:r w:rsidR="00493B9F">
        <w:t xml:space="preserve">n increase </w:t>
      </w:r>
      <w:r w:rsidR="00DA6322">
        <w:t xml:space="preserve">of about </w:t>
      </w:r>
      <w:r w:rsidR="00D1145A">
        <w:t>1</w:t>
      </w:r>
      <w:r w:rsidR="00493B9F">
        <w:t>5</w:t>
      </w:r>
      <w:r w:rsidR="00DA6322">
        <w:t xml:space="preserve"> percent from </w:t>
      </w:r>
      <w:r w:rsidR="008434F9">
        <w:t xml:space="preserve">its level in </w:t>
      </w:r>
      <w:r w:rsidR="00D746D7">
        <w:t>July</w:t>
      </w:r>
      <w:r w:rsidR="006239C9">
        <w:t>.</w:t>
      </w:r>
    </w:p>
    <w:p w:rsidR="007175A4" w:rsidRDefault="007175A4" w:rsidP="007175A4">
      <w:pPr>
        <w:spacing w:line="300" w:lineRule="exact"/>
        <w:jc w:val="both"/>
      </w:pPr>
    </w:p>
    <w:p w:rsidR="0006512C" w:rsidRDefault="007175A4" w:rsidP="00A20317">
      <w:pPr>
        <w:spacing w:line="300" w:lineRule="exact"/>
        <w:jc w:val="both"/>
      </w:pPr>
      <w:r>
        <w:rPr>
          <w:b/>
          <w:bCs/>
        </w:rPr>
        <w:t>T</w:t>
      </w:r>
      <w:r w:rsidR="00A07E02">
        <w:rPr>
          <w:b/>
          <w:bCs/>
        </w:rPr>
        <w:t>he t</w:t>
      </w:r>
      <w:r>
        <w:rPr>
          <w:b/>
          <w:bCs/>
        </w:rPr>
        <w:t xml:space="preserve">rading </w:t>
      </w:r>
      <w:r w:rsidR="009A36F7" w:rsidRPr="007175A4">
        <w:rPr>
          <w:b/>
          <w:bCs/>
        </w:rPr>
        <w:t xml:space="preserve">volume of </w:t>
      </w:r>
      <w:r w:rsidR="00B9325A" w:rsidRPr="007175A4">
        <w:rPr>
          <w:b/>
          <w:bCs/>
        </w:rPr>
        <w:t>swap transactions</w:t>
      </w:r>
      <w:r w:rsidR="00B9325A">
        <w:t xml:space="preserve"> </w:t>
      </w:r>
      <w:r w:rsidR="002353CC">
        <w:t>was</w:t>
      </w:r>
      <w:r w:rsidR="00EB5E23">
        <w:t xml:space="preserve"> </w:t>
      </w:r>
      <w:r w:rsidR="00B9325A">
        <w:t>about $</w:t>
      </w:r>
      <w:r w:rsidR="00C75723">
        <w:t>4</w:t>
      </w:r>
      <w:r w:rsidR="00493B9F">
        <w:t>0</w:t>
      </w:r>
      <w:r w:rsidR="008434F9">
        <w:t xml:space="preserve"> </w:t>
      </w:r>
      <w:r w:rsidR="009A36F7">
        <w:t>billion</w:t>
      </w:r>
      <w:r>
        <w:t xml:space="preserve"> in</w:t>
      </w:r>
      <w:r w:rsidR="004A5017">
        <w:t xml:space="preserve"> </w:t>
      </w:r>
      <w:r w:rsidR="00D746D7">
        <w:t>August</w:t>
      </w:r>
      <w:r w:rsidR="00495E48">
        <w:t xml:space="preserve">. </w:t>
      </w:r>
      <w:r w:rsidR="007930FD">
        <w:t>A</w:t>
      </w:r>
      <w:r>
        <w:t>verage daily turnover</w:t>
      </w:r>
      <w:r w:rsidR="00495E48">
        <w:t xml:space="preserve"> </w:t>
      </w:r>
      <w:r w:rsidR="00A20317">
        <w:t>was unchanged from the previous month, at around $1.8 billion.</w:t>
      </w:r>
    </w:p>
    <w:p w:rsidR="006252B2" w:rsidRDefault="006252B2" w:rsidP="006252B2">
      <w:pPr>
        <w:spacing w:line="300" w:lineRule="exact"/>
        <w:jc w:val="both"/>
      </w:pPr>
    </w:p>
    <w:p w:rsidR="00705FDA" w:rsidRPr="00256AEA" w:rsidRDefault="000533CE" w:rsidP="00A20317">
      <w:pPr>
        <w:spacing w:line="300" w:lineRule="exact"/>
        <w:jc w:val="both"/>
      </w:pPr>
      <w:r w:rsidRPr="00256AEA">
        <w:rPr>
          <w:b/>
          <w:bCs/>
        </w:rPr>
        <w:t>Non</w:t>
      </w:r>
      <w:r w:rsidR="0006512C" w:rsidRPr="00256AEA">
        <w:rPr>
          <w:b/>
          <w:bCs/>
        </w:rPr>
        <w:t>residents</w:t>
      </w:r>
      <w:r w:rsidR="002D1BA9" w:rsidRPr="00256AEA">
        <w:rPr>
          <w:b/>
          <w:bCs/>
        </w:rPr>
        <w:t xml:space="preserve">' </w:t>
      </w:r>
      <w:r w:rsidR="00521840" w:rsidRPr="00256AEA">
        <w:rPr>
          <w:b/>
          <w:bCs/>
        </w:rPr>
        <w:t xml:space="preserve">share of total trade </w:t>
      </w:r>
      <w:r w:rsidR="00521840" w:rsidRPr="00256AEA">
        <w:t xml:space="preserve">(spot and forward transactions, options and swaps) </w:t>
      </w:r>
      <w:r w:rsidR="00A20317">
        <w:t xml:space="preserve">increased </w:t>
      </w:r>
      <w:r w:rsidR="00DE4162">
        <w:t xml:space="preserve">by about </w:t>
      </w:r>
      <w:r w:rsidR="00A20317">
        <w:t>1</w:t>
      </w:r>
      <w:r w:rsidR="00757378">
        <w:t xml:space="preserve"> </w:t>
      </w:r>
      <w:r w:rsidR="00DA6322">
        <w:t xml:space="preserve">percentage point </w:t>
      </w:r>
      <w:r w:rsidR="00FB44BF" w:rsidRPr="00256AEA">
        <w:t>in</w:t>
      </w:r>
      <w:r w:rsidR="006239C9" w:rsidRPr="00256AEA">
        <w:t xml:space="preserve"> </w:t>
      </w:r>
      <w:r w:rsidR="00D746D7">
        <w:t>August</w:t>
      </w:r>
      <w:r w:rsidR="00274337">
        <w:t xml:space="preserve"> </w:t>
      </w:r>
      <w:r w:rsidR="00E07A84" w:rsidRPr="00256AEA">
        <w:t xml:space="preserve">to </w:t>
      </w:r>
      <w:r w:rsidR="00DE4162">
        <w:t xml:space="preserve">about </w:t>
      </w:r>
      <w:r w:rsidR="00A20317">
        <w:t xml:space="preserve">34.8 </w:t>
      </w:r>
      <w:r w:rsidR="009214E4" w:rsidRPr="00256AEA">
        <w:t>percent</w:t>
      </w:r>
      <w:r w:rsidR="00DA6322">
        <w:t xml:space="preserve">. </w:t>
      </w:r>
    </w:p>
    <w:p w:rsidR="00E73F42" w:rsidRDefault="00AC2DAB" w:rsidP="00E73F42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C2DAB" w:rsidRDefault="0006448A" w:rsidP="0006448A">
      <w:pPr>
        <w:jc w:val="center"/>
        <w:rPr>
          <w:noProof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C0E2006">
            <wp:extent cx="5779008" cy="3526282"/>
            <wp:effectExtent l="38100" t="38100" r="88900" b="9334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16" cy="353098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6448A" w:rsidRDefault="0006448A" w:rsidP="0006448A">
      <w:pPr>
        <w:bidi/>
        <w:jc w:val="both"/>
        <w:rPr>
          <w:noProof/>
        </w:rPr>
      </w:pPr>
    </w:p>
    <w:p w:rsidR="0006448A" w:rsidRDefault="0006448A" w:rsidP="0006448A">
      <w:pPr>
        <w:bidi/>
        <w:jc w:val="both"/>
        <w:rPr>
          <w:noProof/>
          <w:rtl/>
        </w:rPr>
      </w:pPr>
    </w:p>
    <w:p w:rsidR="0006448A" w:rsidRDefault="0006448A" w:rsidP="0006448A">
      <w:pPr>
        <w:bidi/>
        <w:jc w:val="both"/>
        <w:rPr>
          <w:noProof/>
          <w:rtl/>
        </w:rPr>
      </w:pPr>
    </w:p>
    <w:p w:rsidR="0006448A" w:rsidRDefault="0006448A" w:rsidP="0006448A">
      <w:pPr>
        <w:bidi/>
        <w:jc w:val="both"/>
        <w:rPr>
          <w:noProof/>
        </w:rPr>
      </w:pPr>
    </w:p>
    <w:p w:rsidR="0006448A" w:rsidRDefault="0006448A" w:rsidP="0006448A">
      <w:pPr>
        <w:bidi/>
        <w:jc w:val="center"/>
        <w:rPr>
          <w:noProof/>
        </w:rPr>
      </w:pPr>
    </w:p>
    <w:p w:rsidR="0006448A" w:rsidRPr="00AC2DAB" w:rsidRDefault="0006448A" w:rsidP="0006448A">
      <w:pPr>
        <w:jc w:val="center"/>
        <w:rPr>
          <w:sz w:val="20"/>
          <w:szCs w:val="20"/>
          <w:rtl/>
        </w:rPr>
      </w:pPr>
      <w:r>
        <w:rPr>
          <w:noProof/>
          <w:sz w:val="20"/>
          <w:szCs w:val="20"/>
        </w:rPr>
        <w:drawing>
          <wp:inline distT="0" distB="0" distL="0" distR="0" wp14:anchorId="4318C388" wp14:editId="28120C54">
            <wp:extent cx="5660136" cy="3852530"/>
            <wp:effectExtent l="38100" t="38100" r="93345" b="9144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703" cy="3859723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2DAB" w:rsidRDefault="00AC2DAB" w:rsidP="00E73F42">
      <w:pPr>
        <w:jc w:val="both"/>
        <w:rPr>
          <w:sz w:val="20"/>
          <w:szCs w:val="20"/>
        </w:rPr>
      </w:pPr>
    </w:p>
    <w:p w:rsidR="00AC2DAB" w:rsidRPr="00E843FD" w:rsidRDefault="0006448A" w:rsidP="0006448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5EFF72F">
            <wp:extent cx="5964178" cy="3639272"/>
            <wp:effectExtent l="38100" t="38100" r="93980" b="9461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497" cy="3643738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2DAB" w:rsidRDefault="00AC2DAB" w:rsidP="00E73F42">
      <w:pPr>
        <w:jc w:val="both"/>
        <w:rPr>
          <w:sz w:val="20"/>
          <w:szCs w:val="20"/>
        </w:rPr>
      </w:pPr>
    </w:p>
    <w:p w:rsidR="00AC2DAB" w:rsidRDefault="00AC2DAB" w:rsidP="00E73F42">
      <w:pPr>
        <w:jc w:val="both"/>
        <w:rPr>
          <w:sz w:val="20"/>
          <w:szCs w:val="20"/>
        </w:rPr>
      </w:pPr>
    </w:p>
    <w:p w:rsidR="00AC2DAB" w:rsidRDefault="00AC2DAB" w:rsidP="00E73F42">
      <w:pPr>
        <w:jc w:val="both"/>
        <w:rPr>
          <w:sz w:val="20"/>
          <w:szCs w:val="20"/>
        </w:rPr>
      </w:pPr>
    </w:p>
    <w:p w:rsidR="00AC2DAB" w:rsidRDefault="00AC2DAB" w:rsidP="00E73F42">
      <w:pPr>
        <w:jc w:val="both"/>
        <w:rPr>
          <w:sz w:val="20"/>
          <w:szCs w:val="20"/>
          <w:rtl/>
        </w:rPr>
      </w:pPr>
    </w:p>
    <w:p w:rsidR="0006448A" w:rsidRDefault="0006448A" w:rsidP="00E73F42">
      <w:pPr>
        <w:jc w:val="both"/>
        <w:rPr>
          <w:sz w:val="20"/>
          <w:szCs w:val="20"/>
          <w:rtl/>
        </w:rPr>
      </w:pPr>
    </w:p>
    <w:p w:rsidR="0006448A" w:rsidRDefault="0006448A" w:rsidP="00E73F42">
      <w:pPr>
        <w:jc w:val="both"/>
        <w:rPr>
          <w:sz w:val="20"/>
          <w:szCs w:val="20"/>
        </w:rPr>
      </w:pPr>
    </w:p>
    <w:p w:rsidR="00AC2DAB" w:rsidRDefault="0006448A" w:rsidP="0006448A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2E3F72C" wp14:editId="5E8E489F">
            <wp:extent cx="5961888" cy="3640914"/>
            <wp:effectExtent l="38100" t="38100" r="96520" b="9334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888" cy="364091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2DAB" w:rsidRDefault="00AC2DAB" w:rsidP="00E73F42">
      <w:pPr>
        <w:jc w:val="both"/>
        <w:rPr>
          <w:sz w:val="20"/>
          <w:szCs w:val="20"/>
        </w:rPr>
      </w:pPr>
    </w:p>
    <w:p w:rsidR="00AC2DAB" w:rsidRDefault="00AC2DAB" w:rsidP="00E73F42">
      <w:pPr>
        <w:jc w:val="both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0AB24D9A">
            <wp:extent cx="5941385" cy="4046628"/>
            <wp:effectExtent l="38100" t="38100" r="97790" b="8763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95" cy="4046771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7C7B0B" w:rsidRDefault="007C7B0B" w:rsidP="0024330E">
      <w:pPr>
        <w:jc w:val="center"/>
        <w:rPr>
          <w:sz w:val="20"/>
          <w:szCs w:val="20"/>
        </w:rPr>
      </w:pPr>
    </w:p>
    <w:p w:rsidR="00AB29F2" w:rsidRDefault="00AB29F2" w:rsidP="0024330E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AC2DAB" w:rsidRDefault="0024330E" w:rsidP="0024330E">
      <w:pPr>
        <w:jc w:val="center"/>
        <w:rPr>
          <w:sz w:val="20"/>
          <w:szCs w:val="20"/>
        </w:rPr>
      </w:pPr>
      <w:proofErr w:type="spellStart"/>
      <w:r w:rsidRPr="00F1338E">
        <w:rPr>
          <w:rFonts w:ascii="Arial" w:hAnsi="Arial" w:cs="Arial"/>
          <w:b/>
          <w:bCs/>
          <w:sz w:val="26"/>
          <w:szCs w:val="26"/>
        </w:rPr>
        <w:lastRenderedPageBreak/>
        <w:t>Forex</w:t>
      </w:r>
      <w:proofErr w:type="spellEnd"/>
      <w:r w:rsidRPr="00F1338E">
        <w:rPr>
          <w:rFonts w:ascii="Arial" w:hAnsi="Arial" w:cs="Arial"/>
          <w:b/>
          <w:bCs/>
          <w:sz w:val="26"/>
          <w:szCs w:val="26"/>
        </w:rPr>
        <w:t xml:space="preserve"> transactions with domestic banks, by instruments and derivatives ($ million)</w:t>
      </w:r>
    </w:p>
    <w:tbl>
      <w:tblPr>
        <w:tblW w:w="10003" w:type="dxa"/>
        <w:tblLayout w:type="fixed"/>
        <w:tblLook w:val="04A0" w:firstRow="1" w:lastRow="0" w:firstColumn="1" w:lastColumn="0" w:noHBand="0" w:noVBand="1"/>
      </w:tblPr>
      <w:tblGrid>
        <w:gridCol w:w="34"/>
        <w:gridCol w:w="940"/>
        <w:gridCol w:w="3245"/>
        <w:gridCol w:w="1276"/>
        <w:gridCol w:w="1276"/>
        <w:gridCol w:w="1134"/>
        <w:gridCol w:w="1134"/>
        <w:gridCol w:w="770"/>
        <w:gridCol w:w="194"/>
      </w:tblGrid>
      <w:tr w:rsidR="0024330E" w:rsidRPr="00002334" w:rsidTr="00AB29F2">
        <w:trPr>
          <w:gridBefore w:val="1"/>
          <w:wBefore w:w="34" w:type="dxa"/>
          <w:trHeight w:val="939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334" w:rsidRPr="0024330E" w:rsidRDefault="00002334" w:rsidP="00A169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2433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334" w:rsidRPr="0024330E" w:rsidRDefault="00002334" w:rsidP="00A169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2433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2334" w:rsidRPr="00AB29F2" w:rsidRDefault="00002334" w:rsidP="00AB29F2">
            <w:pPr>
              <w:ind w:left="-108" w:right="-10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33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AB29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Conversions (1</w:t>
            </w:r>
            <w:r w:rsidR="0024330E" w:rsidRPr="00AB29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AB29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334" w:rsidRPr="0024330E" w:rsidRDefault="00002334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433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Swaps</w:t>
            </w:r>
            <w:r w:rsidR="0086728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  <w:r w:rsidRPr="0024330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334" w:rsidRPr="0024330E" w:rsidRDefault="00002334" w:rsidP="008152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433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 Currency swap</w:t>
            </w:r>
            <w:r w:rsidR="00815262" w:rsidRPr="0081526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5</w:t>
            </w:r>
            <w:r w:rsidRPr="0024330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(3)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334" w:rsidRPr="0024330E" w:rsidRDefault="00002334" w:rsidP="008152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433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Options</w:t>
            </w:r>
            <w:r w:rsidR="0081526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 w:rsidRPr="0024330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(4)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2334" w:rsidRPr="00002334" w:rsidRDefault="00002334" w:rsidP="00A169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23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volume of trade</w:t>
            </w:r>
            <w:r w:rsidRPr="000023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(1)+(2)+(3)+(4)</w:t>
            </w:r>
          </w:p>
        </w:tc>
      </w:tr>
      <w:tr w:rsidR="00AB29F2" w:rsidRPr="00002334" w:rsidTr="00AB29F2">
        <w:trPr>
          <w:gridBefore w:val="1"/>
          <w:wBefore w:w="34" w:type="dxa"/>
          <w:trHeight w:val="30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4C25CA" w:rsidRDefault="004C25CA" w:rsidP="00A169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August </w:t>
            </w:r>
            <w:r w:rsidR="0006448A" w:rsidRPr="002433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-13</w:t>
            </w:r>
          </w:p>
          <w:p w:rsidR="0006448A" w:rsidRPr="0024330E" w:rsidRDefault="0006448A" w:rsidP="00A169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(Not final)</w:t>
            </w:r>
          </w:p>
        </w:tc>
        <w:tc>
          <w:tcPr>
            <w:tcW w:w="3245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31,268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40,122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9,752</w:t>
            </w:r>
          </w:p>
        </w:tc>
        <w:tc>
          <w:tcPr>
            <w:tcW w:w="964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81,744</w:t>
            </w:r>
          </w:p>
        </w:tc>
      </w:tr>
      <w:tr w:rsidR="00AB29F2" w:rsidRPr="00002334" w:rsidTr="00AB29F2">
        <w:trPr>
          <w:gridBefore w:val="1"/>
          <w:wBefore w:w="34" w:type="dxa"/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Daily average (21 days)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3,716</w:t>
            </w:r>
          </w:p>
        </w:tc>
      </w:tr>
      <w:tr w:rsidR="00AB29F2" w:rsidRPr="00002334" w:rsidTr="00AB29F2">
        <w:trPr>
          <w:gridBefore w:val="1"/>
          <w:wBefore w:w="34" w:type="dxa"/>
          <w:trHeight w:val="34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>Nonresidents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11,345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13,026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4,208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28,579</w:t>
            </w:r>
          </w:p>
        </w:tc>
      </w:tr>
      <w:tr w:rsidR="0006448A" w:rsidRPr="00002334" w:rsidTr="00AB29F2">
        <w:trPr>
          <w:gridBefore w:val="1"/>
          <w:wBefore w:w="34" w:type="dxa"/>
          <w:trHeight w:val="34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of which </w:t>
            </w:r>
            <w:r w:rsidRPr="0024330E">
              <w:rPr>
                <w:rFonts w:ascii="Arial" w:hAnsi="Arial" w:cs="Arial"/>
                <w:sz w:val="18"/>
                <w:szCs w:val="18"/>
              </w:rPr>
              <w:t>Foreign financial institutions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10,627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12,994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3,995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4F81BD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27,616</w:t>
            </w:r>
          </w:p>
        </w:tc>
      </w:tr>
      <w:tr w:rsidR="00AB29F2" w:rsidRPr="00002334" w:rsidTr="00AB29F2">
        <w:trPr>
          <w:gridBefore w:val="1"/>
          <w:wBefore w:w="34" w:type="dxa"/>
          <w:trHeight w:val="34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>Residents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19,923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27,096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5,544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53,165</w:t>
            </w:r>
          </w:p>
        </w:tc>
      </w:tr>
      <w:tr w:rsidR="0006448A" w:rsidRPr="00002334" w:rsidTr="00AB29F2">
        <w:trPr>
          <w:gridBefore w:val="1"/>
          <w:wBefore w:w="34" w:type="dxa"/>
          <w:trHeight w:val="34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of which</w:t>
            </w:r>
            <w:r w:rsidRPr="0024330E">
              <w:rPr>
                <w:rFonts w:ascii="Arial" w:hAnsi="Arial" w:cs="Arial"/>
                <w:sz w:val="18"/>
                <w:szCs w:val="18"/>
              </w:rPr>
              <w:t xml:space="preserve"> Real sector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6,067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3,786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2,063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12,028</w:t>
            </w:r>
          </w:p>
        </w:tc>
      </w:tr>
      <w:tr w:rsidR="00AB29F2" w:rsidRPr="00002334" w:rsidTr="00AB29F2">
        <w:trPr>
          <w:gridBefore w:val="1"/>
          <w:wBefore w:w="34" w:type="dxa"/>
          <w:trHeight w:val="34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Financial sector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3,966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7,928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1,670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13,564</w:t>
            </w:r>
          </w:p>
        </w:tc>
      </w:tr>
      <w:tr w:rsidR="0006448A" w:rsidRPr="00002334" w:rsidTr="00AB29F2">
        <w:trPr>
          <w:gridBefore w:val="1"/>
          <w:wBefore w:w="34" w:type="dxa"/>
          <w:trHeight w:val="34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Institutions (incl. insurance companies)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2,203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4,754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6,997</w:t>
            </w:r>
          </w:p>
        </w:tc>
      </w:tr>
      <w:tr w:rsidR="00AB29F2" w:rsidRPr="00002334" w:rsidTr="00AB29F2">
        <w:trPr>
          <w:gridBefore w:val="1"/>
          <w:wBefore w:w="34" w:type="dxa"/>
          <w:trHeight w:val="34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Individuals and provident funds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1,145</w:t>
            </w:r>
          </w:p>
        </w:tc>
      </w:tr>
      <w:tr w:rsidR="0006448A" w:rsidRPr="00002334" w:rsidTr="00AB29F2">
        <w:trPr>
          <w:gridBefore w:val="1"/>
          <w:wBefore w:w="34" w:type="dxa"/>
          <w:trHeight w:val="34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Bank of Israel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</w:tr>
      <w:tr w:rsidR="0006448A" w:rsidRPr="00002334" w:rsidTr="00AB29F2">
        <w:trPr>
          <w:gridBefore w:val="1"/>
          <w:wBefore w:w="34" w:type="dxa"/>
          <w:trHeight w:val="34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8A" w:rsidRPr="00234C8C" w:rsidRDefault="0006448A" w:rsidP="00A169B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34C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of which:</w:t>
            </w:r>
            <w:r>
              <w:rPr>
                <w:rFonts w:ascii="Arial" w:hAnsi="Arial" w:cs="Arial"/>
                <w:sz w:val="18"/>
                <w:szCs w:val="18"/>
              </w:rPr>
              <w:t xml:space="preserve"> Within </w:t>
            </w:r>
            <w:r w:rsidRPr="00234C8C">
              <w:rPr>
                <w:rFonts w:ascii="Arial" w:hAnsi="Arial" w:cs="Arial"/>
                <w:sz w:val="18"/>
                <w:szCs w:val="18"/>
              </w:rPr>
              <w:t>the program to offset the effect of natural gas production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</w:tr>
      <w:tr w:rsidR="00AB29F2" w:rsidRPr="00002334" w:rsidTr="00AB29F2">
        <w:trPr>
          <w:gridBefore w:val="1"/>
          <w:wBefore w:w="34" w:type="dxa"/>
          <w:trHeight w:val="34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06448A" w:rsidRPr="0024330E" w:rsidRDefault="0006448A" w:rsidP="0081526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Other</w:t>
            </w:r>
            <w:r w:rsidR="0081526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3,071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3,206</w:t>
            </w:r>
          </w:p>
        </w:tc>
      </w:tr>
      <w:tr w:rsidR="0006448A" w:rsidRPr="00002334" w:rsidTr="00AB29F2">
        <w:trPr>
          <w:gridBefore w:val="1"/>
          <w:wBefore w:w="34" w:type="dxa"/>
          <w:trHeight w:val="349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48A" w:rsidRPr="0024330E" w:rsidRDefault="0006448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448A" w:rsidRPr="0024330E" w:rsidRDefault="0006448A" w:rsidP="008152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Domestic banks</w:t>
            </w:r>
            <w:r w:rsidR="00815262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3,684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10,455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1,346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48A" w:rsidRPr="004C25CA" w:rsidRDefault="0006448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15,935</w:t>
            </w:r>
          </w:p>
        </w:tc>
      </w:tr>
      <w:tr w:rsidR="00AB29F2" w:rsidRPr="00002334" w:rsidTr="00AB29F2">
        <w:trPr>
          <w:gridBefore w:val="1"/>
          <w:wBefore w:w="34" w:type="dxa"/>
          <w:trHeight w:val="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06448A" w:rsidRPr="0024330E" w:rsidRDefault="0006448A" w:rsidP="00A169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06448A" w:rsidRPr="0024330E" w:rsidRDefault="0006448A" w:rsidP="00A16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06448A" w:rsidRDefault="0006448A" w:rsidP="00A16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06448A" w:rsidRPr="0024330E" w:rsidRDefault="0006448A" w:rsidP="00A169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06448A" w:rsidRPr="0024330E" w:rsidRDefault="0006448A" w:rsidP="00A169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06448A" w:rsidRPr="0024330E" w:rsidRDefault="0006448A" w:rsidP="00A169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06448A" w:rsidRPr="00002334" w:rsidRDefault="0006448A" w:rsidP="00A169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9F2" w:rsidRPr="00002334" w:rsidTr="00AB29F2">
        <w:trPr>
          <w:gridBefore w:val="1"/>
          <w:wBefore w:w="34" w:type="dxa"/>
          <w:trHeight w:val="289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Default="004C25CA" w:rsidP="00A169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July</w:t>
            </w:r>
          </w:p>
          <w:p w:rsidR="004C25CA" w:rsidRPr="0024330E" w:rsidRDefault="004C25CA" w:rsidP="00A169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245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33,007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40,794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1,003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8,468</w:t>
            </w:r>
          </w:p>
        </w:tc>
        <w:tc>
          <w:tcPr>
            <w:tcW w:w="964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83,272</w:t>
            </w:r>
          </w:p>
        </w:tc>
      </w:tr>
      <w:tr w:rsidR="00AB29F2" w:rsidRPr="00002334" w:rsidTr="00AB29F2">
        <w:trPr>
          <w:gridBefore w:val="1"/>
          <w:wBefore w:w="34" w:type="dxa"/>
          <w:trHeight w:val="3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Daily average (20 days)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3,785</w:t>
            </w:r>
          </w:p>
        </w:tc>
      </w:tr>
      <w:tr w:rsidR="00AB29F2" w:rsidRPr="00002334" w:rsidTr="00AB29F2">
        <w:trPr>
          <w:gridBefore w:val="1"/>
          <w:wBefore w:w="34" w:type="dxa"/>
          <w:trHeight w:val="3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>Nonresidents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11,392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12,872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3,848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28,302</w:t>
            </w:r>
          </w:p>
        </w:tc>
      </w:tr>
      <w:tr w:rsidR="004C25CA" w:rsidRPr="00002334" w:rsidTr="00AB29F2">
        <w:trPr>
          <w:gridBefore w:val="1"/>
          <w:wBefore w:w="34" w:type="dxa"/>
          <w:trHeight w:val="3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of which </w:t>
            </w:r>
            <w:r w:rsidRPr="0024330E">
              <w:rPr>
                <w:rFonts w:ascii="Arial" w:hAnsi="Arial" w:cs="Arial"/>
                <w:sz w:val="18"/>
                <w:szCs w:val="18"/>
              </w:rPr>
              <w:t>Foreign financial institutions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10,765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12,867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3,824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4F81BD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27,646</w:t>
            </w:r>
          </w:p>
        </w:tc>
      </w:tr>
      <w:tr w:rsidR="00AB29F2" w:rsidRPr="00002334" w:rsidTr="00AB29F2">
        <w:trPr>
          <w:gridBefore w:val="1"/>
          <w:wBefore w:w="34" w:type="dxa"/>
          <w:trHeight w:val="3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>Residents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21,615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27,922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4,620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54,970</w:t>
            </w:r>
          </w:p>
        </w:tc>
      </w:tr>
      <w:tr w:rsidR="004C25CA" w:rsidRPr="00002334" w:rsidTr="00AB29F2">
        <w:trPr>
          <w:gridBefore w:val="1"/>
          <w:wBefore w:w="34" w:type="dxa"/>
          <w:trHeight w:val="3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of which</w:t>
            </w:r>
            <w:r w:rsidRPr="0024330E">
              <w:rPr>
                <w:rFonts w:ascii="Arial" w:hAnsi="Arial" w:cs="Arial"/>
                <w:sz w:val="18"/>
                <w:szCs w:val="18"/>
              </w:rPr>
              <w:t xml:space="preserve"> Real sector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6,027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3,854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2,161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12,580</w:t>
            </w:r>
          </w:p>
        </w:tc>
      </w:tr>
      <w:tr w:rsidR="00AB29F2" w:rsidRPr="00002334" w:rsidTr="00AB29F2">
        <w:trPr>
          <w:gridBefore w:val="1"/>
          <w:wBefore w:w="34" w:type="dxa"/>
          <w:trHeight w:val="3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Financial sector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4,890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8,349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1,347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14,586</w:t>
            </w:r>
          </w:p>
        </w:tc>
      </w:tr>
      <w:tr w:rsidR="004C25CA" w:rsidRPr="00002334" w:rsidTr="00AB29F2">
        <w:trPr>
          <w:gridBefore w:val="1"/>
          <w:wBefore w:w="34" w:type="dxa"/>
          <w:trHeight w:val="3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Institutions (incl. insurance companies)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2,601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5,227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7,829</w:t>
            </w:r>
          </w:p>
        </w:tc>
      </w:tr>
      <w:tr w:rsidR="00AB29F2" w:rsidRPr="00002334" w:rsidTr="00AB29F2">
        <w:trPr>
          <w:gridBefore w:val="1"/>
          <w:wBefore w:w="34" w:type="dxa"/>
          <w:trHeight w:val="3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Individuals and provident funds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1,308</w:t>
            </w:r>
          </w:p>
        </w:tc>
      </w:tr>
      <w:tr w:rsidR="004C25CA" w:rsidRPr="00002334" w:rsidTr="00AB29F2">
        <w:trPr>
          <w:gridBefore w:val="1"/>
          <w:wBefore w:w="34" w:type="dxa"/>
          <w:trHeight w:val="3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Bank of Israel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</w:tr>
      <w:tr w:rsidR="004C25CA" w:rsidRPr="00002334" w:rsidTr="00AB29F2">
        <w:trPr>
          <w:gridBefore w:val="1"/>
          <w:wBefore w:w="34" w:type="dxa"/>
          <w:trHeight w:val="3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CA" w:rsidRPr="002B7864" w:rsidRDefault="004C25CA" w:rsidP="00A169B8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0234C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of which:</w:t>
            </w:r>
            <w:r>
              <w:rPr>
                <w:rFonts w:ascii="Arial" w:hAnsi="Arial" w:cs="Arial"/>
                <w:sz w:val="18"/>
                <w:szCs w:val="18"/>
              </w:rPr>
              <w:t xml:space="preserve"> Within </w:t>
            </w:r>
            <w:r w:rsidRPr="00234C8C">
              <w:rPr>
                <w:rFonts w:ascii="Arial" w:hAnsi="Arial" w:cs="Arial"/>
                <w:sz w:val="18"/>
                <w:szCs w:val="18"/>
              </w:rPr>
              <w:t>the program to offset the effect of natural gas production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A65EAC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A65EAC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  <w:bookmarkStart w:id="0" w:name="_GoBack"/>
            <w:bookmarkEnd w:id="0"/>
          </w:p>
        </w:tc>
      </w:tr>
      <w:tr w:rsidR="00AB29F2" w:rsidRPr="00002334" w:rsidTr="00AB29F2">
        <w:trPr>
          <w:gridBefore w:val="1"/>
          <w:wBefore w:w="34" w:type="dxa"/>
          <w:trHeight w:val="3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4C25CA" w:rsidRPr="0024330E" w:rsidRDefault="004C25CA" w:rsidP="0081526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Other</w:t>
            </w:r>
            <w:r w:rsidR="0081526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3,294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3,393</w:t>
            </w:r>
          </w:p>
        </w:tc>
      </w:tr>
      <w:tr w:rsidR="004C25CA" w:rsidRPr="00002334" w:rsidTr="00AB29F2">
        <w:trPr>
          <w:gridBefore w:val="1"/>
          <w:wBefore w:w="34" w:type="dxa"/>
          <w:trHeight w:val="3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CA" w:rsidRPr="0024330E" w:rsidRDefault="004C25CA" w:rsidP="00A169B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5CA" w:rsidRPr="0024330E" w:rsidRDefault="004C25CA" w:rsidP="008152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330E">
              <w:rPr>
                <w:rFonts w:ascii="Arial" w:hAnsi="Arial" w:cs="Arial"/>
                <w:color w:val="000000"/>
                <w:sz w:val="18"/>
                <w:szCs w:val="18"/>
              </w:rPr>
              <w:t xml:space="preserve"> Domestic banks</w:t>
            </w:r>
            <w:r w:rsidR="00815262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3,902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10,089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CA" w:rsidRPr="004C25CA" w:rsidRDefault="004C25CA" w:rsidP="00A16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5CA">
              <w:rPr>
                <w:rFonts w:ascii="Arial" w:hAnsi="Arial" w:cs="Arial"/>
                <w:color w:val="000000"/>
                <w:sz w:val="18"/>
                <w:szCs w:val="18"/>
              </w:rPr>
              <w:t>15,019</w:t>
            </w:r>
          </w:p>
        </w:tc>
      </w:tr>
      <w:tr w:rsidR="00A169B8" w:rsidTr="00AB29F2">
        <w:tblPrEx>
          <w:tblLook w:val="0000" w:firstRow="0" w:lastRow="0" w:firstColumn="0" w:lastColumn="0" w:noHBand="0" w:noVBand="0"/>
        </w:tblPrEx>
        <w:trPr>
          <w:gridAfter w:val="1"/>
          <w:wAfter w:w="194" w:type="dxa"/>
          <w:trHeight w:val="264"/>
        </w:trPr>
        <w:tc>
          <w:tcPr>
            <w:tcW w:w="9809" w:type="dxa"/>
            <w:gridSpan w:val="8"/>
            <w:shd w:val="clear" w:color="auto" w:fill="auto"/>
            <w:noWrap/>
            <w:vAlign w:val="bottom"/>
          </w:tcPr>
          <w:p w:rsidR="00A169B8" w:rsidRPr="00A169B8" w:rsidRDefault="00A169B8" w:rsidP="00A169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Pr="00A169B8">
              <w:rPr>
                <w:rFonts w:ascii="Arial" w:hAnsi="Arial" w:cs="Arial"/>
                <w:sz w:val="18"/>
                <w:szCs w:val="18"/>
              </w:rPr>
              <w:t>Only one leg of the swap, i.e., the nominal value of the transaction (in accordance with the BIS definition).</w:t>
            </w:r>
          </w:p>
        </w:tc>
      </w:tr>
      <w:tr w:rsidR="00A169B8" w:rsidTr="00AB29F2">
        <w:tblPrEx>
          <w:tblLook w:val="0000" w:firstRow="0" w:lastRow="0" w:firstColumn="0" w:lastColumn="0" w:noHBand="0" w:noVBand="0"/>
        </w:tblPrEx>
        <w:trPr>
          <w:gridAfter w:val="1"/>
          <w:wAfter w:w="194" w:type="dxa"/>
          <w:trHeight w:val="264"/>
        </w:trPr>
        <w:tc>
          <w:tcPr>
            <w:tcW w:w="9809" w:type="dxa"/>
            <w:gridSpan w:val="8"/>
            <w:shd w:val="clear" w:color="auto" w:fill="auto"/>
            <w:noWrap/>
            <w:vAlign w:val="bottom"/>
          </w:tcPr>
          <w:p w:rsidR="00A169B8" w:rsidRPr="00A169B8" w:rsidRDefault="00A169B8" w:rsidP="00A169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A169B8">
              <w:rPr>
                <w:rFonts w:ascii="Arial" w:hAnsi="Arial" w:cs="Arial"/>
                <w:sz w:val="18"/>
                <w:szCs w:val="18"/>
              </w:rPr>
              <w:t>The notional value, that includes purchases and sales of put and call options.</w:t>
            </w:r>
          </w:p>
        </w:tc>
      </w:tr>
      <w:tr w:rsidR="00A169B8" w:rsidTr="00AB29F2">
        <w:tblPrEx>
          <w:tblLook w:val="0000" w:firstRow="0" w:lastRow="0" w:firstColumn="0" w:lastColumn="0" w:noHBand="0" w:noVBand="0"/>
        </w:tblPrEx>
        <w:trPr>
          <w:gridAfter w:val="1"/>
          <w:wAfter w:w="194" w:type="dxa"/>
          <w:trHeight w:val="480"/>
        </w:trPr>
        <w:tc>
          <w:tcPr>
            <w:tcW w:w="9809" w:type="dxa"/>
            <w:gridSpan w:val="8"/>
            <w:shd w:val="clear" w:color="auto" w:fill="auto"/>
            <w:noWrap/>
            <w:vAlign w:val="bottom"/>
          </w:tcPr>
          <w:p w:rsidR="00A169B8" w:rsidRPr="00A169B8" w:rsidRDefault="00A169B8" w:rsidP="00A169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A169B8">
              <w:rPr>
                <w:rFonts w:ascii="Arial" w:hAnsi="Arial" w:cs="Arial"/>
                <w:sz w:val="18"/>
                <w:szCs w:val="18"/>
              </w:rPr>
              <w:t>Including other entities such as portfolio managers, nonprofit organizations, national institutions, and those not included elsewhere.</w:t>
            </w:r>
          </w:p>
        </w:tc>
      </w:tr>
      <w:tr w:rsidR="00A169B8" w:rsidTr="00AB29F2">
        <w:tblPrEx>
          <w:tblLook w:val="0000" w:firstRow="0" w:lastRow="0" w:firstColumn="0" w:lastColumn="0" w:noHBand="0" w:noVBand="0"/>
        </w:tblPrEx>
        <w:trPr>
          <w:gridAfter w:val="1"/>
          <w:wAfter w:w="194" w:type="dxa"/>
          <w:trHeight w:val="264"/>
        </w:trPr>
        <w:tc>
          <w:tcPr>
            <w:tcW w:w="9809" w:type="dxa"/>
            <w:gridSpan w:val="8"/>
            <w:shd w:val="clear" w:color="auto" w:fill="auto"/>
            <w:noWrap/>
            <w:vAlign w:val="bottom"/>
          </w:tcPr>
          <w:p w:rsidR="00A169B8" w:rsidRPr="00A169B8" w:rsidRDefault="00A169B8" w:rsidP="00A169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4 </w:t>
            </w:r>
            <w:r w:rsidRPr="00A169B8">
              <w:rPr>
                <w:rFonts w:ascii="Arial" w:hAnsi="Arial" w:cs="Arial"/>
                <w:sz w:val="18"/>
                <w:szCs w:val="18"/>
              </w:rPr>
              <w:t xml:space="preserve">Total interbank trade, </w:t>
            </w:r>
            <w:r w:rsidRPr="00A169B8">
              <w:rPr>
                <w:rFonts w:ascii="Arial" w:hAnsi="Arial" w:cs="Arial"/>
                <w:i/>
                <w:iCs/>
                <w:sz w:val="18"/>
                <w:szCs w:val="18"/>
              </w:rPr>
              <w:t>divided by</w:t>
            </w:r>
            <w:r w:rsidRPr="00A169B8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</w:tr>
      <w:tr w:rsidR="00867281" w:rsidTr="00AB29F2">
        <w:tblPrEx>
          <w:tblLook w:val="0000" w:firstRow="0" w:lastRow="0" w:firstColumn="0" w:lastColumn="0" w:noHBand="0" w:noVBand="0"/>
        </w:tblPrEx>
        <w:trPr>
          <w:gridAfter w:val="1"/>
          <w:wAfter w:w="194" w:type="dxa"/>
          <w:trHeight w:val="264"/>
        </w:trPr>
        <w:tc>
          <w:tcPr>
            <w:tcW w:w="9809" w:type="dxa"/>
            <w:gridSpan w:val="8"/>
            <w:shd w:val="clear" w:color="auto" w:fill="auto"/>
            <w:noWrap/>
            <w:vAlign w:val="bottom"/>
          </w:tcPr>
          <w:p w:rsidR="00867281" w:rsidRPr="00867281" w:rsidRDefault="00867281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67281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867281">
              <w:rPr>
                <w:rFonts w:ascii="Arial" w:hAnsi="Arial" w:cs="Arial"/>
                <w:sz w:val="18"/>
                <w:szCs w:val="18"/>
              </w:rPr>
              <w:t xml:space="preserve"> The exchanged founds through Cross Currency Swap transactions considered for the volume, as one leg only in cases where the two legs offset each other.</w:t>
            </w:r>
          </w:p>
        </w:tc>
      </w:tr>
    </w:tbl>
    <w:p w:rsidR="00AC2DAB" w:rsidRDefault="00AC2DAB" w:rsidP="00AD013C">
      <w:pPr>
        <w:jc w:val="both"/>
        <w:rPr>
          <w:sz w:val="20"/>
          <w:szCs w:val="20"/>
        </w:rPr>
      </w:pPr>
    </w:p>
    <w:sectPr w:rsidR="00AC2DAB" w:rsidSect="00C36E70">
      <w:pgSz w:w="11906" w:h="16838"/>
      <w:pgMar w:top="107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21" w:rsidRDefault="00662821">
      <w:r>
        <w:separator/>
      </w:r>
    </w:p>
  </w:endnote>
  <w:endnote w:type="continuationSeparator" w:id="0">
    <w:p w:rsidR="00662821" w:rsidRDefault="0066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21" w:rsidRDefault="00662821">
      <w:r>
        <w:separator/>
      </w:r>
    </w:p>
  </w:footnote>
  <w:footnote w:type="continuationSeparator" w:id="0">
    <w:p w:rsidR="00662821" w:rsidRDefault="00662821">
      <w:r>
        <w:continuationSeparator/>
      </w:r>
    </w:p>
  </w:footnote>
  <w:footnote w:id="1">
    <w:p w:rsidR="00002334" w:rsidRDefault="00002334" w:rsidP="00BD6BCD">
      <w:pPr>
        <w:pStyle w:val="a6"/>
      </w:pPr>
      <w:r>
        <w:rPr>
          <w:rStyle w:val="a8"/>
        </w:rPr>
        <w:footnoteRef/>
      </w:r>
      <w:r>
        <w:t xml:space="preserve"> This figure reflects transactions by trade date, not settlement date. Therefore, it is not </w:t>
      </w:r>
      <w:r w:rsidR="00921AC9">
        <w:t xml:space="preserve">necessarily </w:t>
      </w:r>
      <w:r>
        <w:t>identical to the data published in the foreign exchange reserves notice</w:t>
      </w:r>
      <w:r w:rsidR="00BD6BCD">
        <w:t>, which reflects transactions by settlement date.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0A35"/>
    <w:multiLevelType w:val="hybridMultilevel"/>
    <w:tmpl w:val="8D7E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647485"/>
    <w:multiLevelType w:val="hybridMultilevel"/>
    <w:tmpl w:val="E722CA60"/>
    <w:lvl w:ilvl="0" w:tplc="174ABB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42"/>
    <w:rsid w:val="00000AB3"/>
    <w:rsid w:val="00000EFB"/>
    <w:rsid w:val="00002334"/>
    <w:rsid w:val="0000398A"/>
    <w:rsid w:val="00004C73"/>
    <w:rsid w:val="00006136"/>
    <w:rsid w:val="00006AA4"/>
    <w:rsid w:val="0001158D"/>
    <w:rsid w:val="00013245"/>
    <w:rsid w:val="000138A7"/>
    <w:rsid w:val="000146DD"/>
    <w:rsid w:val="00014F2C"/>
    <w:rsid w:val="0002088E"/>
    <w:rsid w:val="00020A46"/>
    <w:rsid w:val="000220A4"/>
    <w:rsid w:val="00026661"/>
    <w:rsid w:val="0002710E"/>
    <w:rsid w:val="00027764"/>
    <w:rsid w:val="00027ADE"/>
    <w:rsid w:val="0003259D"/>
    <w:rsid w:val="000350E0"/>
    <w:rsid w:val="00037B40"/>
    <w:rsid w:val="00037EF9"/>
    <w:rsid w:val="0004150C"/>
    <w:rsid w:val="00041E3A"/>
    <w:rsid w:val="00042889"/>
    <w:rsid w:val="00051C2F"/>
    <w:rsid w:val="00051DB2"/>
    <w:rsid w:val="000533CE"/>
    <w:rsid w:val="00053511"/>
    <w:rsid w:val="00054E76"/>
    <w:rsid w:val="00057B7E"/>
    <w:rsid w:val="00057BF8"/>
    <w:rsid w:val="00062231"/>
    <w:rsid w:val="00063FB1"/>
    <w:rsid w:val="0006448A"/>
    <w:rsid w:val="0006512A"/>
    <w:rsid w:val="0006512C"/>
    <w:rsid w:val="00067DCF"/>
    <w:rsid w:val="00070660"/>
    <w:rsid w:val="000746F4"/>
    <w:rsid w:val="00074827"/>
    <w:rsid w:val="000758F0"/>
    <w:rsid w:val="0008113A"/>
    <w:rsid w:val="000811E2"/>
    <w:rsid w:val="0008250B"/>
    <w:rsid w:val="00083896"/>
    <w:rsid w:val="000851AE"/>
    <w:rsid w:val="00087533"/>
    <w:rsid w:val="0008782D"/>
    <w:rsid w:val="00091B3C"/>
    <w:rsid w:val="00092434"/>
    <w:rsid w:val="000931CE"/>
    <w:rsid w:val="000946EC"/>
    <w:rsid w:val="00094A81"/>
    <w:rsid w:val="000A2D15"/>
    <w:rsid w:val="000A2FD4"/>
    <w:rsid w:val="000A4C17"/>
    <w:rsid w:val="000A57BA"/>
    <w:rsid w:val="000A64BC"/>
    <w:rsid w:val="000A7C0F"/>
    <w:rsid w:val="000B098A"/>
    <w:rsid w:val="000B20E4"/>
    <w:rsid w:val="000B653A"/>
    <w:rsid w:val="000B7084"/>
    <w:rsid w:val="000C0A1D"/>
    <w:rsid w:val="000C120B"/>
    <w:rsid w:val="000C29D6"/>
    <w:rsid w:val="000C2FDE"/>
    <w:rsid w:val="000C303D"/>
    <w:rsid w:val="000C524B"/>
    <w:rsid w:val="000C53F9"/>
    <w:rsid w:val="000C61E0"/>
    <w:rsid w:val="000C6C40"/>
    <w:rsid w:val="000C7FF0"/>
    <w:rsid w:val="000D3891"/>
    <w:rsid w:val="000D3954"/>
    <w:rsid w:val="000D66CF"/>
    <w:rsid w:val="000D6B68"/>
    <w:rsid w:val="000E48D3"/>
    <w:rsid w:val="000E53BA"/>
    <w:rsid w:val="000E60E1"/>
    <w:rsid w:val="000F0C7D"/>
    <w:rsid w:val="000F192F"/>
    <w:rsid w:val="000F368C"/>
    <w:rsid w:val="000F368E"/>
    <w:rsid w:val="000F5565"/>
    <w:rsid w:val="000F5ACB"/>
    <w:rsid w:val="000F68FA"/>
    <w:rsid w:val="00101112"/>
    <w:rsid w:val="00101A7E"/>
    <w:rsid w:val="00102BF1"/>
    <w:rsid w:val="00102C7E"/>
    <w:rsid w:val="00103DE8"/>
    <w:rsid w:val="001054CC"/>
    <w:rsid w:val="00106262"/>
    <w:rsid w:val="00111571"/>
    <w:rsid w:val="00114919"/>
    <w:rsid w:val="00115A47"/>
    <w:rsid w:val="00116B89"/>
    <w:rsid w:val="00116DDB"/>
    <w:rsid w:val="00117A92"/>
    <w:rsid w:val="00121238"/>
    <w:rsid w:val="001218B3"/>
    <w:rsid w:val="00122E99"/>
    <w:rsid w:val="0012767B"/>
    <w:rsid w:val="0013030F"/>
    <w:rsid w:val="00130AEA"/>
    <w:rsid w:val="001318D6"/>
    <w:rsid w:val="00133AED"/>
    <w:rsid w:val="0013446A"/>
    <w:rsid w:val="001403BA"/>
    <w:rsid w:val="00141EEF"/>
    <w:rsid w:val="0014205C"/>
    <w:rsid w:val="00144DB8"/>
    <w:rsid w:val="00144E81"/>
    <w:rsid w:val="00145E33"/>
    <w:rsid w:val="00147385"/>
    <w:rsid w:val="001516C6"/>
    <w:rsid w:val="001518C2"/>
    <w:rsid w:val="00152862"/>
    <w:rsid w:val="00152FCC"/>
    <w:rsid w:val="00153A43"/>
    <w:rsid w:val="00156ED9"/>
    <w:rsid w:val="0016147E"/>
    <w:rsid w:val="0016216A"/>
    <w:rsid w:val="00163058"/>
    <w:rsid w:val="0016656D"/>
    <w:rsid w:val="00166FAC"/>
    <w:rsid w:val="00170D5F"/>
    <w:rsid w:val="00170EFF"/>
    <w:rsid w:val="0017160D"/>
    <w:rsid w:val="0017453A"/>
    <w:rsid w:val="00175351"/>
    <w:rsid w:val="001756DA"/>
    <w:rsid w:val="00176CA9"/>
    <w:rsid w:val="00177489"/>
    <w:rsid w:val="00180397"/>
    <w:rsid w:val="0018056B"/>
    <w:rsid w:val="00181AE4"/>
    <w:rsid w:val="00181CCA"/>
    <w:rsid w:val="001833EF"/>
    <w:rsid w:val="0018377A"/>
    <w:rsid w:val="00184A13"/>
    <w:rsid w:val="001854AD"/>
    <w:rsid w:val="001871DB"/>
    <w:rsid w:val="0018733C"/>
    <w:rsid w:val="00187CF1"/>
    <w:rsid w:val="001903DD"/>
    <w:rsid w:val="00190739"/>
    <w:rsid w:val="00190B9C"/>
    <w:rsid w:val="00191BD3"/>
    <w:rsid w:val="00192A84"/>
    <w:rsid w:val="00194E55"/>
    <w:rsid w:val="00195ACF"/>
    <w:rsid w:val="001A21D5"/>
    <w:rsid w:val="001A2E5C"/>
    <w:rsid w:val="001A3F23"/>
    <w:rsid w:val="001A46DE"/>
    <w:rsid w:val="001A6277"/>
    <w:rsid w:val="001A7DEB"/>
    <w:rsid w:val="001B073A"/>
    <w:rsid w:val="001B15BA"/>
    <w:rsid w:val="001B290C"/>
    <w:rsid w:val="001B31E4"/>
    <w:rsid w:val="001B37AF"/>
    <w:rsid w:val="001B40B9"/>
    <w:rsid w:val="001B4BE0"/>
    <w:rsid w:val="001B66A4"/>
    <w:rsid w:val="001C295C"/>
    <w:rsid w:val="001C3D3D"/>
    <w:rsid w:val="001C68E7"/>
    <w:rsid w:val="001C68F1"/>
    <w:rsid w:val="001D0172"/>
    <w:rsid w:val="001D07EB"/>
    <w:rsid w:val="001D3A4E"/>
    <w:rsid w:val="001D711C"/>
    <w:rsid w:val="001E0521"/>
    <w:rsid w:val="001E1C24"/>
    <w:rsid w:val="001E42B3"/>
    <w:rsid w:val="001E58BC"/>
    <w:rsid w:val="001E5A13"/>
    <w:rsid w:val="001E79F6"/>
    <w:rsid w:val="001E7E9A"/>
    <w:rsid w:val="001F0B76"/>
    <w:rsid w:val="001F15A4"/>
    <w:rsid w:val="001F3065"/>
    <w:rsid w:val="001F5636"/>
    <w:rsid w:val="001F6171"/>
    <w:rsid w:val="001F75B3"/>
    <w:rsid w:val="002001B1"/>
    <w:rsid w:val="00200F52"/>
    <w:rsid w:val="002033E2"/>
    <w:rsid w:val="00206054"/>
    <w:rsid w:val="002076D4"/>
    <w:rsid w:val="00211370"/>
    <w:rsid w:val="00215AE3"/>
    <w:rsid w:val="00216FFF"/>
    <w:rsid w:val="00217660"/>
    <w:rsid w:val="00220368"/>
    <w:rsid w:val="0022225D"/>
    <w:rsid w:val="0022276A"/>
    <w:rsid w:val="0022279F"/>
    <w:rsid w:val="002227B3"/>
    <w:rsid w:val="0022288D"/>
    <w:rsid w:val="0022499D"/>
    <w:rsid w:val="00230354"/>
    <w:rsid w:val="002305C4"/>
    <w:rsid w:val="002329FE"/>
    <w:rsid w:val="0023396A"/>
    <w:rsid w:val="00234C8C"/>
    <w:rsid w:val="002353CC"/>
    <w:rsid w:val="00236152"/>
    <w:rsid w:val="00236A24"/>
    <w:rsid w:val="00236BD3"/>
    <w:rsid w:val="002423AD"/>
    <w:rsid w:val="00242861"/>
    <w:rsid w:val="00242B1E"/>
    <w:rsid w:val="00243274"/>
    <w:rsid w:val="0024330E"/>
    <w:rsid w:val="00244792"/>
    <w:rsid w:val="002450A8"/>
    <w:rsid w:val="002454BE"/>
    <w:rsid w:val="002457D1"/>
    <w:rsid w:val="0024664C"/>
    <w:rsid w:val="002532F2"/>
    <w:rsid w:val="002541FF"/>
    <w:rsid w:val="002542FF"/>
    <w:rsid w:val="00254FB3"/>
    <w:rsid w:val="00256A15"/>
    <w:rsid w:val="00256AEA"/>
    <w:rsid w:val="00260514"/>
    <w:rsid w:val="00260981"/>
    <w:rsid w:val="00266575"/>
    <w:rsid w:val="0027250B"/>
    <w:rsid w:val="00272F84"/>
    <w:rsid w:val="00273242"/>
    <w:rsid w:val="00274337"/>
    <w:rsid w:val="00275454"/>
    <w:rsid w:val="00277CAE"/>
    <w:rsid w:val="002814E0"/>
    <w:rsid w:val="00281C83"/>
    <w:rsid w:val="00286E3D"/>
    <w:rsid w:val="0028731D"/>
    <w:rsid w:val="0029159E"/>
    <w:rsid w:val="00291691"/>
    <w:rsid w:val="00292683"/>
    <w:rsid w:val="00293971"/>
    <w:rsid w:val="00296605"/>
    <w:rsid w:val="00297B9C"/>
    <w:rsid w:val="002A2402"/>
    <w:rsid w:val="002A4022"/>
    <w:rsid w:val="002A4767"/>
    <w:rsid w:val="002A681F"/>
    <w:rsid w:val="002A76B0"/>
    <w:rsid w:val="002B057F"/>
    <w:rsid w:val="002B0BCD"/>
    <w:rsid w:val="002B2366"/>
    <w:rsid w:val="002B6D69"/>
    <w:rsid w:val="002B7864"/>
    <w:rsid w:val="002C0598"/>
    <w:rsid w:val="002C1BC0"/>
    <w:rsid w:val="002C3020"/>
    <w:rsid w:val="002C46EF"/>
    <w:rsid w:val="002C55CC"/>
    <w:rsid w:val="002C59A7"/>
    <w:rsid w:val="002C5D34"/>
    <w:rsid w:val="002D1BA9"/>
    <w:rsid w:val="002D46D7"/>
    <w:rsid w:val="002D57DC"/>
    <w:rsid w:val="002E07B6"/>
    <w:rsid w:val="002E1E6D"/>
    <w:rsid w:val="002E7147"/>
    <w:rsid w:val="002E7564"/>
    <w:rsid w:val="002E7EE0"/>
    <w:rsid w:val="002F29BC"/>
    <w:rsid w:val="002F32BF"/>
    <w:rsid w:val="002F3A10"/>
    <w:rsid w:val="002F58BA"/>
    <w:rsid w:val="002F6C30"/>
    <w:rsid w:val="002F7E46"/>
    <w:rsid w:val="00300478"/>
    <w:rsid w:val="00302CFF"/>
    <w:rsid w:val="00307EE2"/>
    <w:rsid w:val="003119DE"/>
    <w:rsid w:val="00315026"/>
    <w:rsid w:val="00315059"/>
    <w:rsid w:val="00315818"/>
    <w:rsid w:val="00315CA8"/>
    <w:rsid w:val="003209AB"/>
    <w:rsid w:val="00321178"/>
    <w:rsid w:val="003224D9"/>
    <w:rsid w:val="00322E9F"/>
    <w:rsid w:val="00323535"/>
    <w:rsid w:val="0032354E"/>
    <w:rsid w:val="00325B8A"/>
    <w:rsid w:val="003262D0"/>
    <w:rsid w:val="003268FA"/>
    <w:rsid w:val="003279B4"/>
    <w:rsid w:val="0033007A"/>
    <w:rsid w:val="00332585"/>
    <w:rsid w:val="00332E9B"/>
    <w:rsid w:val="003345D9"/>
    <w:rsid w:val="003357BA"/>
    <w:rsid w:val="00340286"/>
    <w:rsid w:val="00341380"/>
    <w:rsid w:val="00342B86"/>
    <w:rsid w:val="00343838"/>
    <w:rsid w:val="00345A0F"/>
    <w:rsid w:val="0035097F"/>
    <w:rsid w:val="00351C58"/>
    <w:rsid w:val="00352AFA"/>
    <w:rsid w:val="00352B68"/>
    <w:rsid w:val="00352F9D"/>
    <w:rsid w:val="00354543"/>
    <w:rsid w:val="00356872"/>
    <w:rsid w:val="003605CF"/>
    <w:rsid w:val="00360E72"/>
    <w:rsid w:val="00362C28"/>
    <w:rsid w:val="00363281"/>
    <w:rsid w:val="00363B5C"/>
    <w:rsid w:val="00363DA0"/>
    <w:rsid w:val="00366C04"/>
    <w:rsid w:val="003715DB"/>
    <w:rsid w:val="003727E1"/>
    <w:rsid w:val="00380ACE"/>
    <w:rsid w:val="00380F9B"/>
    <w:rsid w:val="00382C4D"/>
    <w:rsid w:val="00383F98"/>
    <w:rsid w:val="003863FF"/>
    <w:rsid w:val="003869C7"/>
    <w:rsid w:val="00391562"/>
    <w:rsid w:val="00391B2A"/>
    <w:rsid w:val="00392CE6"/>
    <w:rsid w:val="0039645E"/>
    <w:rsid w:val="003A092E"/>
    <w:rsid w:val="003A0A15"/>
    <w:rsid w:val="003A56CA"/>
    <w:rsid w:val="003A57C4"/>
    <w:rsid w:val="003A6732"/>
    <w:rsid w:val="003B0164"/>
    <w:rsid w:val="003B056F"/>
    <w:rsid w:val="003B07BF"/>
    <w:rsid w:val="003B4CF3"/>
    <w:rsid w:val="003C1F6F"/>
    <w:rsid w:val="003C2280"/>
    <w:rsid w:val="003C41A5"/>
    <w:rsid w:val="003C686C"/>
    <w:rsid w:val="003D1B52"/>
    <w:rsid w:val="003D4A80"/>
    <w:rsid w:val="003D775C"/>
    <w:rsid w:val="003E21C8"/>
    <w:rsid w:val="003E25E4"/>
    <w:rsid w:val="003E3831"/>
    <w:rsid w:val="003E41B5"/>
    <w:rsid w:val="003E4422"/>
    <w:rsid w:val="003E4F38"/>
    <w:rsid w:val="003E7574"/>
    <w:rsid w:val="003F220A"/>
    <w:rsid w:val="003F265D"/>
    <w:rsid w:val="003F2CC9"/>
    <w:rsid w:val="003F4890"/>
    <w:rsid w:val="00401BC6"/>
    <w:rsid w:val="00403EE8"/>
    <w:rsid w:val="004066B5"/>
    <w:rsid w:val="0040766A"/>
    <w:rsid w:val="00414E4E"/>
    <w:rsid w:val="0041539D"/>
    <w:rsid w:val="004167AC"/>
    <w:rsid w:val="00417444"/>
    <w:rsid w:val="004176BB"/>
    <w:rsid w:val="00424EB9"/>
    <w:rsid w:val="00430865"/>
    <w:rsid w:val="00430B87"/>
    <w:rsid w:val="00431644"/>
    <w:rsid w:val="004316E3"/>
    <w:rsid w:val="00434F9D"/>
    <w:rsid w:val="004405FF"/>
    <w:rsid w:val="00441510"/>
    <w:rsid w:val="00442415"/>
    <w:rsid w:val="00442B35"/>
    <w:rsid w:val="004442E3"/>
    <w:rsid w:val="004455B8"/>
    <w:rsid w:val="0044592F"/>
    <w:rsid w:val="00445D6D"/>
    <w:rsid w:val="004466F2"/>
    <w:rsid w:val="00447C4F"/>
    <w:rsid w:val="00450441"/>
    <w:rsid w:val="00452810"/>
    <w:rsid w:val="00455D31"/>
    <w:rsid w:val="00456D6B"/>
    <w:rsid w:val="00456FD5"/>
    <w:rsid w:val="004611E7"/>
    <w:rsid w:val="0046191C"/>
    <w:rsid w:val="00462584"/>
    <w:rsid w:val="00466463"/>
    <w:rsid w:val="00467547"/>
    <w:rsid w:val="004700B4"/>
    <w:rsid w:val="00470324"/>
    <w:rsid w:val="004704DF"/>
    <w:rsid w:val="00473E54"/>
    <w:rsid w:val="00476974"/>
    <w:rsid w:val="004774EA"/>
    <w:rsid w:val="00480829"/>
    <w:rsid w:val="00480DFF"/>
    <w:rsid w:val="00482E65"/>
    <w:rsid w:val="00483E25"/>
    <w:rsid w:val="00483F91"/>
    <w:rsid w:val="0048561A"/>
    <w:rsid w:val="00485B26"/>
    <w:rsid w:val="00486E37"/>
    <w:rsid w:val="0049085D"/>
    <w:rsid w:val="00490A2B"/>
    <w:rsid w:val="0049383F"/>
    <w:rsid w:val="00493B9F"/>
    <w:rsid w:val="00494099"/>
    <w:rsid w:val="004943B9"/>
    <w:rsid w:val="00495E48"/>
    <w:rsid w:val="004A0DEC"/>
    <w:rsid w:val="004A5017"/>
    <w:rsid w:val="004A753D"/>
    <w:rsid w:val="004A7A11"/>
    <w:rsid w:val="004B0516"/>
    <w:rsid w:val="004B0D4B"/>
    <w:rsid w:val="004B18FA"/>
    <w:rsid w:val="004B2B6E"/>
    <w:rsid w:val="004B2E97"/>
    <w:rsid w:val="004B3915"/>
    <w:rsid w:val="004B399A"/>
    <w:rsid w:val="004B6D99"/>
    <w:rsid w:val="004C03FF"/>
    <w:rsid w:val="004C1E41"/>
    <w:rsid w:val="004C25CA"/>
    <w:rsid w:val="004C2D34"/>
    <w:rsid w:val="004C2DF5"/>
    <w:rsid w:val="004C5B6C"/>
    <w:rsid w:val="004C6559"/>
    <w:rsid w:val="004C790D"/>
    <w:rsid w:val="004D0269"/>
    <w:rsid w:val="004D0DBD"/>
    <w:rsid w:val="004D16B6"/>
    <w:rsid w:val="004D17F4"/>
    <w:rsid w:val="004D211D"/>
    <w:rsid w:val="004D43F0"/>
    <w:rsid w:val="004E07D5"/>
    <w:rsid w:val="004E1CA1"/>
    <w:rsid w:val="004E3563"/>
    <w:rsid w:val="004E456B"/>
    <w:rsid w:val="004E5B9E"/>
    <w:rsid w:val="004E6718"/>
    <w:rsid w:val="004E734B"/>
    <w:rsid w:val="004E7595"/>
    <w:rsid w:val="004E7ACF"/>
    <w:rsid w:val="004E7D05"/>
    <w:rsid w:val="004F0BA9"/>
    <w:rsid w:val="004F0BE9"/>
    <w:rsid w:val="004F1251"/>
    <w:rsid w:val="004F12A4"/>
    <w:rsid w:val="004F1624"/>
    <w:rsid w:val="004F4A57"/>
    <w:rsid w:val="004F5B05"/>
    <w:rsid w:val="004F61C5"/>
    <w:rsid w:val="004F70B5"/>
    <w:rsid w:val="005001D9"/>
    <w:rsid w:val="005079A8"/>
    <w:rsid w:val="005114BA"/>
    <w:rsid w:val="005155FF"/>
    <w:rsid w:val="00515D2F"/>
    <w:rsid w:val="005173CE"/>
    <w:rsid w:val="00520508"/>
    <w:rsid w:val="00521840"/>
    <w:rsid w:val="00523285"/>
    <w:rsid w:val="00526366"/>
    <w:rsid w:val="0052664B"/>
    <w:rsid w:val="005273A3"/>
    <w:rsid w:val="005274AA"/>
    <w:rsid w:val="00527861"/>
    <w:rsid w:val="005308D8"/>
    <w:rsid w:val="00530BBB"/>
    <w:rsid w:val="00532125"/>
    <w:rsid w:val="00533B00"/>
    <w:rsid w:val="0053525E"/>
    <w:rsid w:val="00535521"/>
    <w:rsid w:val="0053565F"/>
    <w:rsid w:val="00535ED0"/>
    <w:rsid w:val="00536990"/>
    <w:rsid w:val="0053777A"/>
    <w:rsid w:val="00540381"/>
    <w:rsid w:val="00541616"/>
    <w:rsid w:val="0054316E"/>
    <w:rsid w:val="00543886"/>
    <w:rsid w:val="005440A8"/>
    <w:rsid w:val="00544130"/>
    <w:rsid w:val="005453B0"/>
    <w:rsid w:val="005526CF"/>
    <w:rsid w:val="0055368E"/>
    <w:rsid w:val="005542D2"/>
    <w:rsid w:val="005546D5"/>
    <w:rsid w:val="00554BE2"/>
    <w:rsid w:val="0055518B"/>
    <w:rsid w:val="00561870"/>
    <w:rsid w:val="00562E90"/>
    <w:rsid w:val="00564914"/>
    <w:rsid w:val="0056574C"/>
    <w:rsid w:val="00565BBF"/>
    <w:rsid w:val="0057049C"/>
    <w:rsid w:val="00571A5B"/>
    <w:rsid w:val="00573592"/>
    <w:rsid w:val="005754F4"/>
    <w:rsid w:val="005769FF"/>
    <w:rsid w:val="00576C72"/>
    <w:rsid w:val="005771F4"/>
    <w:rsid w:val="00580823"/>
    <w:rsid w:val="00581427"/>
    <w:rsid w:val="0058327C"/>
    <w:rsid w:val="00583FFA"/>
    <w:rsid w:val="00584D37"/>
    <w:rsid w:val="00585CD8"/>
    <w:rsid w:val="0058602A"/>
    <w:rsid w:val="00586B92"/>
    <w:rsid w:val="00587440"/>
    <w:rsid w:val="0059056D"/>
    <w:rsid w:val="00594859"/>
    <w:rsid w:val="00595DF6"/>
    <w:rsid w:val="00597987"/>
    <w:rsid w:val="005A00C8"/>
    <w:rsid w:val="005A0DC6"/>
    <w:rsid w:val="005A12B2"/>
    <w:rsid w:val="005A30EF"/>
    <w:rsid w:val="005A3CD3"/>
    <w:rsid w:val="005A4E2C"/>
    <w:rsid w:val="005A5D5D"/>
    <w:rsid w:val="005B0431"/>
    <w:rsid w:val="005B3D51"/>
    <w:rsid w:val="005B3F2C"/>
    <w:rsid w:val="005C1216"/>
    <w:rsid w:val="005C38D6"/>
    <w:rsid w:val="005C4D6E"/>
    <w:rsid w:val="005C544C"/>
    <w:rsid w:val="005C5849"/>
    <w:rsid w:val="005C6045"/>
    <w:rsid w:val="005D5752"/>
    <w:rsid w:val="005D5E9D"/>
    <w:rsid w:val="005E2856"/>
    <w:rsid w:val="005E2FCD"/>
    <w:rsid w:val="005E3312"/>
    <w:rsid w:val="005E3A8F"/>
    <w:rsid w:val="005E3F10"/>
    <w:rsid w:val="005E5016"/>
    <w:rsid w:val="005F07D1"/>
    <w:rsid w:val="005F0B14"/>
    <w:rsid w:val="005F1C34"/>
    <w:rsid w:val="005F221A"/>
    <w:rsid w:val="005F33DC"/>
    <w:rsid w:val="005F3D39"/>
    <w:rsid w:val="005F443F"/>
    <w:rsid w:val="005F4588"/>
    <w:rsid w:val="005F50CE"/>
    <w:rsid w:val="005F565B"/>
    <w:rsid w:val="005F627B"/>
    <w:rsid w:val="005F63E7"/>
    <w:rsid w:val="006001AB"/>
    <w:rsid w:val="00600B02"/>
    <w:rsid w:val="00601212"/>
    <w:rsid w:val="006013C1"/>
    <w:rsid w:val="006015E1"/>
    <w:rsid w:val="006017AD"/>
    <w:rsid w:val="00602D8F"/>
    <w:rsid w:val="00603D43"/>
    <w:rsid w:val="0060418B"/>
    <w:rsid w:val="0060581F"/>
    <w:rsid w:val="00606B1B"/>
    <w:rsid w:val="00607281"/>
    <w:rsid w:val="00607625"/>
    <w:rsid w:val="00607767"/>
    <w:rsid w:val="00615825"/>
    <w:rsid w:val="006158C2"/>
    <w:rsid w:val="00616D2C"/>
    <w:rsid w:val="00617EE7"/>
    <w:rsid w:val="00620FDE"/>
    <w:rsid w:val="00621F21"/>
    <w:rsid w:val="006239C9"/>
    <w:rsid w:val="00623C47"/>
    <w:rsid w:val="0062453B"/>
    <w:rsid w:val="006252B2"/>
    <w:rsid w:val="006258D0"/>
    <w:rsid w:val="006265EC"/>
    <w:rsid w:val="00627110"/>
    <w:rsid w:val="00627910"/>
    <w:rsid w:val="00633A0A"/>
    <w:rsid w:val="00633B35"/>
    <w:rsid w:val="00636D43"/>
    <w:rsid w:val="00637A54"/>
    <w:rsid w:val="006403D1"/>
    <w:rsid w:val="0064133C"/>
    <w:rsid w:val="00643063"/>
    <w:rsid w:val="00646B1B"/>
    <w:rsid w:val="006525E7"/>
    <w:rsid w:val="006551C1"/>
    <w:rsid w:val="006568F2"/>
    <w:rsid w:val="00661244"/>
    <w:rsid w:val="00662234"/>
    <w:rsid w:val="00662821"/>
    <w:rsid w:val="00664C9A"/>
    <w:rsid w:val="006659F7"/>
    <w:rsid w:val="006661AF"/>
    <w:rsid w:val="00671057"/>
    <w:rsid w:val="00672B15"/>
    <w:rsid w:val="00672D38"/>
    <w:rsid w:val="00675AB5"/>
    <w:rsid w:val="00676505"/>
    <w:rsid w:val="00677B63"/>
    <w:rsid w:val="006832EF"/>
    <w:rsid w:val="00687FE6"/>
    <w:rsid w:val="0069477C"/>
    <w:rsid w:val="00694EF3"/>
    <w:rsid w:val="006A0734"/>
    <w:rsid w:val="006A4AE4"/>
    <w:rsid w:val="006A4DA0"/>
    <w:rsid w:val="006A5900"/>
    <w:rsid w:val="006B19D0"/>
    <w:rsid w:val="006B5BAA"/>
    <w:rsid w:val="006B753D"/>
    <w:rsid w:val="006C0054"/>
    <w:rsid w:val="006C18AE"/>
    <w:rsid w:val="006C1D82"/>
    <w:rsid w:val="006C4D92"/>
    <w:rsid w:val="006C51A4"/>
    <w:rsid w:val="006C5819"/>
    <w:rsid w:val="006C5968"/>
    <w:rsid w:val="006C6ABA"/>
    <w:rsid w:val="006C72B9"/>
    <w:rsid w:val="006D03C7"/>
    <w:rsid w:val="006D0983"/>
    <w:rsid w:val="006D0F05"/>
    <w:rsid w:val="006D19FA"/>
    <w:rsid w:val="006D1FDB"/>
    <w:rsid w:val="006D5691"/>
    <w:rsid w:val="006D661E"/>
    <w:rsid w:val="006D6DBD"/>
    <w:rsid w:val="006E11D0"/>
    <w:rsid w:val="006E252C"/>
    <w:rsid w:val="006E287D"/>
    <w:rsid w:val="006E494D"/>
    <w:rsid w:val="006E6B70"/>
    <w:rsid w:val="006E720C"/>
    <w:rsid w:val="006E7315"/>
    <w:rsid w:val="006F0CA3"/>
    <w:rsid w:val="006F123E"/>
    <w:rsid w:val="006F2582"/>
    <w:rsid w:val="006F408C"/>
    <w:rsid w:val="006F6B77"/>
    <w:rsid w:val="006F6DA7"/>
    <w:rsid w:val="006F7711"/>
    <w:rsid w:val="007004C6"/>
    <w:rsid w:val="00700880"/>
    <w:rsid w:val="00700B1C"/>
    <w:rsid w:val="007011A5"/>
    <w:rsid w:val="00703763"/>
    <w:rsid w:val="00703B01"/>
    <w:rsid w:val="00703B02"/>
    <w:rsid w:val="0070426F"/>
    <w:rsid w:val="00705FDA"/>
    <w:rsid w:val="00710F15"/>
    <w:rsid w:val="00711000"/>
    <w:rsid w:val="007131EC"/>
    <w:rsid w:val="007146B3"/>
    <w:rsid w:val="00715CEF"/>
    <w:rsid w:val="007175A4"/>
    <w:rsid w:val="007208FE"/>
    <w:rsid w:val="00721F68"/>
    <w:rsid w:val="007241E8"/>
    <w:rsid w:val="007346BC"/>
    <w:rsid w:val="00734E43"/>
    <w:rsid w:val="00735131"/>
    <w:rsid w:val="0073535B"/>
    <w:rsid w:val="00735630"/>
    <w:rsid w:val="007402BA"/>
    <w:rsid w:val="00740CFF"/>
    <w:rsid w:val="007410A4"/>
    <w:rsid w:val="007436D2"/>
    <w:rsid w:val="0074459A"/>
    <w:rsid w:val="00751518"/>
    <w:rsid w:val="00753ECC"/>
    <w:rsid w:val="00754753"/>
    <w:rsid w:val="007556B6"/>
    <w:rsid w:val="0075626E"/>
    <w:rsid w:val="00757378"/>
    <w:rsid w:val="007602B8"/>
    <w:rsid w:val="0076099F"/>
    <w:rsid w:val="0076240F"/>
    <w:rsid w:val="007625D6"/>
    <w:rsid w:val="00762C1B"/>
    <w:rsid w:val="00763D85"/>
    <w:rsid w:val="00766092"/>
    <w:rsid w:val="00766EFB"/>
    <w:rsid w:val="00773434"/>
    <w:rsid w:val="0077362F"/>
    <w:rsid w:val="00774452"/>
    <w:rsid w:val="00776782"/>
    <w:rsid w:val="0077707C"/>
    <w:rsid w:val="007776B9"/>
    <w:rsid w:val="00777CC8"/>
    <w:rsid w:val="00780074"/>
    <w:rsid w:val="00781A81"/>
    <w:rsid w:val="00781FF5"/>
    <w:rsid w:val="007820CA"/>
    <w:rsid w:val="00785787"/>
    <w:rsid w:val="00785BC6"/>
    <w:rsid w:val="00786B55"/>
    <w:rsid w:val="007906EA"/>
    <w:rsid w:val="00790DA7"/>
    <w:rsid w:val="00792C0E"/>
    <w:rsid w:val="007930FD"/>
    <w:rsid w:val="00794D94"/>
    <w:rsid w:val="0079530A"/>
    <w:rsid w:val="00797A41"/>
    <w:rsid w:val="007A01DE"/>
    <w:rsid w:val="007A04C9"/>
    <w:rsid w:val="007A4375"/>
    <w:rsid w:val="007A4F52"/>
    <w:rsid w:val="007A5938"/>
    <w:rsid w:val="007A5CC2"/>
    <w:rsid w:val="007A5EBA"/>
    <w:rsid w:val="007A603A"/>
    <w:rsid w:val="007A6C77"/>
    <w:rsid w:val="007A7C8C"/>
    <w:rsid w:val="007B09CC"/>
    <w:rsid w:val="007B3E02"/>
    <w:rsid w:val="007B659C"/>
    <w:rsid w:val="007B6A8C"/>
    <w:rsid w:val="007C6E11"/>
    <w:rsid w:val="007C7B0B"/>
    <w:rsid w:val="007D0F04"/>
    <w:rsid w:val="007D33F7"/>
    <w:rsid w:val="007D7523"/>
    <w:rsid w:val="007D78E2"/>
    <w:rsid w:val="007D7CD2"/>
    <w:rsid w:val="007E0B40"/>
    <w:rsid w:val="007E35F4"/>
    <w:rsid w:val="007E3B26"/>
    <w:rsid w:val="007E4466"/>
    <w:rsid w:val="007E4D2D"/>
    <w:rsid w:val="007E7576"/>
    <w:rsid w:val="007E7CB9"/>
    <w:rsid w:val="007F2C9C"/>
    <w:rsid w:val="007F5849"/>
    <w:rsid w:val="007F72BB"/>
    <w:rsid w:val="007F7680"/>
    <w:rsid w:val="008004C2"/>
    <w:rsid w:val="008008A5"/>
    <w:rsid w:val="0080299C"/>
    <w:rsid w:val="00802A86"/>
    <w:rsid w:val="00803E17"/>
    <w:rsid w:val="00803E52"/>
    <w:rsid w:val="00805D24"/>
    <w:rsid w:val="008063AF"/>
    <w:rsid w:val="00806C19"/>
    <w:rsid w:val="00811423"/>
    <w:rsid w:val="00813DF1"/>
    <w:rsid w:val="008146F5"/>
    <w:rsid w:val="00814B6F"/>
    <w:rsid w:val="00815059"/>
    <w:rsid w:val="00815262"/>
    <w:rsid w:val="00815360"/>
    <w:rsid w:val="008169E3"/>
    <w:rsid w:val="00820421"/>
    <w:rsid w:val="00820446"/>
    <w:rsid w:val="008250F8"/>
    <w:rsid w:val="00826479"/>
    <w:rsid w:val="00830619"/>
    <w:rsid w:val="00831BBA"/>
    <w:rsid w:val="00833378"/>
    <w:rsid w:val="008340E3"/>
    <w:rsid w:val="008349D2"/>
    <w:rsid w:val="00837937"/>
    <w:rsid w:val="00837D1C"/>
    <w:rsid w:val="0084038F"/>
    <w:rsid w:val="008406E7"/>
    <w:rsid w:val="00840E1C"/>
    <w:rsid w:val="0084275E"/>
    <w:rsid w:val="008434F9"/>
    <w:rsid w:val="00843ACB"/>
    <w:rsid w:val="008449D4"/>
    <w:rsid w:val="00844A0F"/>
    <w:rsid w:val="00850A1B"/>
    <w:rsid w:val="0085211E"/>
    <w:rsid w:val="00854535"/>
    <w:rsid w:val="00856EA4"/>
    <w:rsid w:val="00857B42"/>
    <w:rsid w:val="0086083F"/>
    <w:rsid w:val="00860AA9"/>
    <w:rsid w:val="00861157"/>
    <w:rsid w:val="00861159"/>
    <w:rsid w:val="00861871"/>
    <w:rsid w:val="00861A07"/>
    <w:rsid w:val="00867281"/>
    <w:rsid w:val="00867927"/>
    <w:rsid w:val="0087076D"/>
    <w:rsid w:val="008715DA"/>
    <w:rsid w:val="00871FCA"/>
    <w:rsid w:val="0087521C"/>
    <w:rsid w:val="008757EE"/>
    <w:rsid w:val="008761F1"/>
    <w:rsid w:val="00877FB4"/>
    <w:rsid w:val="00881561"/>
    <w:rsid w:val="00885752"/>
    <w:rsid w:val="00885AC3"/>
    <w:rsid w:val="00886A9D"/>
    <w:rsid w:val="00887CAF"/>
    <w:rsid w:val="00890F8F"/>
    <w:rsid w:val="008928C5"/>
    <w:rsid w:val="0089483A"/>
    <w:rsid w:val="0089487A"/>
    <w:rsid w:val="00895A86"/>
    <w:rsid w:val="00896D17"/>
    <w:rsid w:val="00896FB0"/>
    <w:rsid w:val="0089794D"/>
    <w:rsid w:val="008A1790"/>
    <w:rsid w:val="008A220E"/>
    <w:rsid w:val="008A30E6"/>
    <w:rsid w:val="008A499B"/>
    <w:rsid w:val="008A59BA"/>
    <w:rsid w:val="008A63D2"/>
    <w:rsid w:val="008B0F5A"/>
    <w:rsid w:val="008B10D5"/>
    <w:rsid w:val="008B1632"/>
    <w:rsid w:val="008B1EA0"/>
    <w:rsid w:val="008B3B4A"/>
    <w:rsid w:val="008B42B6"/>
    <w:rsid w:val="008B4B7F"/>
    <w:rsid w:val="008B5F1A"/>
    <w:rsid w:val="008C09B1"/>
    <w:rsid w:val="008C192C"/>
    <w:rsid w:val="008C5208"/>
    <w:rsid w:val="008C5F50"/>
    <w:rsid w:val="008C6EEB"/>
    <w:rsid w:val="008C7CCE"/>
    <w:rsid w:val="008D0513"/>
    <w:rsid w:val="008D0784"/>
    <w:rsid w:val="008D1E35"/>
    <w:rsid w:val="008D28B5"/>
    <w:rsid w:val="008D2ACB"/>
    <w:rsid w:val="008D3A78"/>
    <w:rsid w:val="008D53B1"/>
    <w:rsid w:val="008D608F"/>
    <w:rsid w:val="008D6F13"/>
    <w:rsid w:val="008E51BF"/>
    <w:rsid w:val="008E6EAD"/>
    <w:rsid w:val="008E7509"/>
    <w:rsid w:val="008F2FB6"/>
    <w:rsid w:val="008F3D58"/>
    <w:rsid w:val="008F58B5"/>
    <w:rsid w:val="008F5C46"/>
    <w:rsid w:val="008F5C52"/>
    <w:rsid w:val="009013A7"/>
    <w:rsid w:val="00904851"/>
    <w:rsid w:val="00904C1A"/>
    <w:rsid w:val="00906E15"/>
    <w:rsid w:val="00907918"/>
    <w:rsid w:val="00911006"/>
    <w:rsid w:val="009113E0"/>
    <w:rsid w:val="00911C01"/>
    <w:rsid w:val="00912F28"/>
    <w:rsid w:val="00914096"/>
    <w:rsid w:val="00914266"/>
    <w:rsid w:val="00915AC2"/>
    <w:rsid w:val="00917E80"/>
    <w:rsid w:val="009214E4"/>
    <w:rsid w:val="00921AC9"/>
    <w:rsid w:val="009260FD"/>
    <w:rsid w:val="00926234"/>
    <w:rsid w:val="00926C41"/>
    <w:rsid w:val="00927A61"/>
    <w:rsid w:val="00930B63"/>
    <w:rsid w:val="00930CBA"/>
    <w:rsid w:val="009330CF"/>
    <w:rsid w:val="009332F5"/>
    <w:rsid w:val="009334CC"/>
    <w:rsid w:val="00941765"/>
    <w:rsid w:val="00942EA3"/>
    <w:rsid w:val="00944086"/>
    <w:rsid w:val="00944524"/>
    <w:rsid w:val="00945178"/>
    <w:rsid w:val="00947400"/>
    <w:rsid w:val="00947475"/>
    <w:rsid w:val="00947978"/>
    <w:rsid w:val="00947B21"/>
    <w:rsid w:val="00954214"/>
    <w:rsid w:val="00954E96"/>
    <w:rsid w:val="009554DE"/>
    <w:rsid w:val="009557A4"/>
    <w:rsid w:val="009569F8"/>
    <w:rsid w:val="00957758"/>
    <w:rsid w:val="009617F2"/>
    <w:rsid w:val="0096247C"/>
    <w:rsid w:val="00962AE1"/>
    <w:rsid w:val="00963377"/>
    <w:rsid w:val="009635CD"/>
    <w:rsid w:val="00963FF0"/>
    <w:rsid w:val="0096503A"/>
    <w:rsid w:val="00966504"/>
    <w:rsid w:val="00967489"/>
    <w:rsid w:val="00970B69"/>
    <w:rsid w:val="00972C70"/>
    <w:rsid w:val="0097326F"/>
    <w:rsid w:val="009747C4"/>
    <w:rsid w:val="00974A0A"/>
    <w:rsid w:val="009757F3"/>
    <w:rsid w:val="00975FAC"/>
    <w:rsid w:val="00980EA8"/>
    <w:rsid w:val="009829DD"/>
    <w:rsid w:val="0098316A"/>
    <w:rsid w:val="00985B15"/>
    <w:rsid w:val="00987E42"/>
    <w:rsid w:val="00991582"/>
    <w:rsid w:val="0099406C"/>
    <w:rsid w:val="0099620A"/>
    <w:rsid w:val="009A0EEE"/>
    <w:rsid w:val="009A158B"/>
    <w:rsid w:val="009A15FD"/>
    <w:rsid w:val="009A36F7"/>
    <w:rsid w:val="009A3C65"/>
    <w:rsid w:val="009B0A4C"/>
    <w:rsid w:val="009B1FB1"/>
    <w:rsid w:val="009B6A68"/>
    <w:rsid w:val="009B6E7F"/>
    <w:rsid w:val="009C1511"/>
    <w:rsid w:val="009C1E79"/>
    <w:rsid w:val="009C42D8"/>
    <w:rsid w:val="009C5608"/>
    <w:rsid w:val="009C5E7E"/>
    <w:rsid w:val="009C6110"/>
    <w:rsid w:val="009C6D9F"/>
    <w:rsid w:val="009C7577"/>
    <w:rsid w:val="009C7EC9"/>
    <w:rsid w:val="009D302C"/>
    <w:rsid w:val="009D3A50"/>
    <w:rsid w:val="009D3B27"/>
    <w:rsid w:val="009D3D56"/>
    <w:rsid w:val="009D4416"/>
    <w:rsid w:val="009D5552"/>
    <w:rsid w:val="009D7D5F"/>
    <w:rsid w:val="009E1761"/>
    <w:rsid w:val="009E59CE"/>
    <w:rsid w:val="009E60F3"/>
    <w:rsid w:val="009F1E0E"/>
    <w:rsid w:val="009F258D"/>
    <w:rsid w:val="009F2FE1"/>
    <w:rsid w:val="009F4B01"/>
    <w:rsid w:val="009F5B39"/>
    <w:rsid w:val="00A01155"/>
    <w:rsid w:val="00A02E7F"/>
    <w:rsid w:val="00A0310C"/>
    <w:rsid w:val="00A074C5"/>
    <w:rsid w:val="00A07D4E"/>
    <w:rsid w:val="00A07E02"/>
    <w:rsid w:val="00A110C4"/>
    <w:rsid w:val="00A113B7"/>
    <w:rsid w:val="00A1190F"/>
    <w:rsid w:val="00A149C3"/>
    <w:rsid w:val="00A154D9"/>
    <w:rsid w:val="00A157D4"/>
    <w:rsid w:val="00A15B67"/>
    <w:rsid w:val="00A169B8"/>
    <w:rsid w:val="00A174E3"/>
    <w:rsid w:val="00A20317"/>
    <w:rsid w:val="00A204F6"/>
    <w:rsid w:val="00A2054A"/>
    <w:rsid w:val="00A206FF"/>
    <w:rsid w:val="00A211DA"/>
    <w:rsid w:val="00A230FE"/>
    <w:rsid w:val="00A23D13"/>
    <w:rsid w:val="00A2468C"/>
    <w:rsid w:val="00A27B03"/>
    <w:rsid w:val="00A33FAC"/>
    <w:rsid w:val="00A34626"/>
    <w:rsid w:val="00A34CAC"/>
    <w:rsid w:val="00A34D67"/>
    <w:rsid w:val="00A3514E"/>
    <w:rsid w:val="00A36A15"/>
    <w:rsid w:val="00A36B25"/>
    <w:rsid w:val="00A37782"/>
    <w:rsid w:val="00A44089"/>
    <w:rsid w:val="00A465C4"/>
    <w:rsid w:val="00A514F6"/>
    <w:rsid w:val="00A5457B"/>
    <w:rsid w:val="00A55762"/>
    <w:rsid w:val="00A55901"/>
    <w:rsid w:val="00A561B9"/>
    <w:rsid w:val="00A57F76"/>
    <w:rsid w:val="00A62C61"/>
    <w:rsid w:val="00A65D8F"/>
    <w:rsid w:val="00A65EAC"/>
    <w:rsid w:val="00A6749D"/>
    <w:rsid w:val="00A70314"/>
    <w:rsid w:val="00A71A8F"/>
    <w:rsid w:val="00A71BD8"/>
    <w:rsid w:val="00A726E0"/>
    <w:rsid w:val="00A7409F"/>
    <w:rsid w:val="00A74455"/>
    <w:rsid w:val="00A74555"/>
    <w:rsid w:val="00A74627"/>
    <w:rsid w:val="00A74BD7"/>
    <w:rsid w:val="00A75493"/>
    <w:rsid w:val="00A77D86"/>
    <w:rsid w:val="00A8234F"/>
    <w:rsid w:val="00A83A2D"/>
    <w:rsid w:val="00A84C26"/>
    <w:rsid w:val="00A8537D"/>
    <w:rsid w:val="00A8665A"/>
    <w:rsid w:val="00A86AFE"/>
    <w:rsid w:val="00A87784"/>
    <w:rsid w:val="00A91069"/>
    <w:rsid w:val="00A9213F"/>
    <w:rsid w:val="00A92602"/>
    <w:rsid w:val="00A95775"/>
    <w:rsid w:val="00A9596B"/>
    <w:rsid w:val="00A96919"/>
    <w:rsid w:val="00A977B5"/>
    <w:rsid w:val="00A97CB4"/>
    <w:rsid w:val="00AA0DF3"/>
    <w:rsid w:val="00AA4BA2"/>
    <w:rsid w:val="00AA5B00"/>
    <w:rsid w:val="00AA6C4F"/>
    <w:rsid w:val="00AA711E"/>
    <w:rsid w:val="00AB0504"/>
    <w:rsid w:val="00AB1225"/>
    <w:rsid w:val="00AB29F2"/>
    <w:rsid w:val="00AB4664"/>
    <w:rsid w:val="00AB4A25"/>
    <w:rsid w:val="00AB7B57"/>
    <w:rsid w:val="00AC1E31"/>
    <w:rsid w:val="00AC2DAB"/>
    <w:rsid w:val="00AC455B"/>
    <w:rsid w:val="00AC55A9"/>
    <w:rsid w:val="00AC6D61"/>
    <w:rsid w:val="00AC7A50"/>
    <w:rsid w:val="00AD013C"/>
    <w:rsid w:val="00AD0208"/>
    <w:rsid w:val="00AD2053"/>
    <w:rsid w:val="00AD52FA"/>
    <w:rsid w:val="00AD5AAC"/>
    <w:rsid w:val="00AD70E6"/>
    <w:rsid w:val="00AD73B4"/>
    <w:rsid w:val="00AE1E4E"/>
    <w:rsid w:val="00AE35BD"/>
    <w:rsid w:val="00AE3F29"/>
    <w:rsid w:val="00AE46B8"/>
    <w:rsid w:val="00AE7379"/>
    <w:rsid w:val="00AE7B34"/>
    <w:rsid w:val="00AE7FFD"/>
    <w:rsid w:val="00AF0C8E"/>
    <w:rsid w:val="00AF4212"/>
    <w:rsid w:val="00AF4DEB"/>
    <w:rsid w:val="00AF5CB4"/>
    <w:rsid w:val="00AF6910"/>
    <w:rsid w:val="00AF7203"/>
    <w:rsid w:val="00AF7740"/>
    <w:rsid w:val="00AF777F"/>
    <w:rsid w:val="00B013A1"/>
    <w:rsid w:val="00B01B1B"/>
    <w:rsid w:val="00B03714"/>
    <w:rsid w:val="00B04A6F"/>
    <w:rsid w:val="00B04D9E"/>
    <w:rsid w:val="00B050A8"/>
    <w:rsid w:val="00B062BE"/>
    <w:rsid w:val="00B110DB"/>
    <w:rsid w:val="00B132C6"/>
    <w:rsid w:val="00B15BA3"/>
    <w:rsid w:val="00B1681C"/>
    <w:rsid w:val="00B176EC"/>
    <w:rsid w:val="00B1781F"/>
    <w:rsid w:val="00B20763"/>
    <w:rsid w:val="00B22130"/>
    <w:rsid w:val="00B2359F"/>
    <w:rsid w:val="00B2678B"/>
    <w:rsid w:val="00B27800"/>
    <w:rsid w:val="00B31F41"/>
    <w:rsid w:val="00B34938"/>
    <w:rsid w:val="00B37BB7"/>
    <w:rsid w:val="00B40C01"/>
    <w:rsid w:val="00B42007"/>
    <w:rsid w:val="00B44F04"/>
    <w:rsid w:val="00B46E99"/>
    <w:rsid w:val="00B50917"/>
    <w:rsid w:val="00B515BA"/>
    <w:rsid w:val="00B51D26"/>
    <w:rsid w:val="00B53CD6"/>
    <w:rsid w:val="00B54052"/>
    <w:rsid w:val="00B54856"/>
    <w:rsid w:val="00B54C64"/>
    <w:rsid w:val="00B563E8"/>
    <w:rsid w:val="00B5741E"/>
    <w:rsid w:val="00B60D31"/>
    <w:rsid w:val="00B61176"/>
    <w:rsid w:val="00B63689"/>
    <w:rsid w:val="00B6417B"/>
    <w:rsid w:val="00B64A91"/>
    <w:rsid w:val="00B65A60"/>
    <w:rsid w:val="00B67153"/>
    <w:rsid w:val="00B6718D"/>
    <w:rsid w:val="00B67988"/>
    <w:rsid w:val="00B705B7"/>
    <w:rsid w:val="00B70C40"/>
    <w:rsid w:val="00B7466E"/>
    <w:rsid w:val="00B7738A"/>
    <w:rsid w:val="00B778B7"/>
    <w:rsid w:val="00B77A88"/>
    <w:rsid w:val="00B77E13"/>
    <w:rsid w:val="00B8106C"/>
    <w:rsid w:val="00B82413"/>
    <w:rsid w:val="00B824A6"/>
    <w:rsid w:val="00B84827"/>
    <w:rsid w:val="00B84FB0"/>
    <w:rsid w:val="00B87AF4"/>
    <w:rsid w:val="00B9158D"/>
    <w:rsid w:val="00B9325A"/>
    <w:rsid w:val="00B94393"/>
    <w:rsid w:val="00B9563F"/>
    <w:rsid w:val="00B963E5"/>
    <w:rsid w:val="00B97514"/>
    <w:rsid w:val="00B97BBA"/>
    <w:rsid w:val="00BA01C5"/>
    <w:rsid w:val="00BA0C1F"/>
    <w:rsid w:val="00BA16D1"/>
    <w:rsid w:val="00BA3577"/>
    <w:rsid w:val="00BA4827"/>
    <w:rsid w:val="00BA4D30"/>
    <w:rsid w:val="00BA62F7"/>
    <w:rsid w:val="00BA76B2"/>
    <w:rsid w:val="00BA7D1A"/>
    <w:rsid w:val="00BB1A30"/>
    <w:rsid w:val="00BB3203"/>
    <w:rsid w:val="00BB7389"/>
    <w:rsid w:val="00BC1BFF"/>
    <w:rsid w:val="00BC1E41"/>
    <w:rsid w:val="00BC6FDB"/>
    <w:rsid w:val="00BD0032"/>
    <w:rsid w:val="00BD16D6"/>
    <w:rsid w:val="00BD35EC"/>
    <w:rsid w:val="00BD4106"/>
    <w:rsid w:val="00BD43BA"/>
    <w:rsid w:val="00BD6BCD"/>
    <w:rsid w:val="00BD6EEC"/>
    <w:rsid w:val="00BE0219"/>
    <w:rsid w:val="00BE062E"/>
    <w:rsid w:val="00BE1354"/>
    <w:rsid w:val="00BE5A02"/>
    <w:rsid w:val="00BF0421"/>
    <w:rsid w:val="00BF1A73"/>
    <w:rsid w:val="00BF1E57"/>
    <w:rsid w:val="00BF252E"/>
    <w:rsid w:val="00BF2E9A"/>
    <w:rsid w:val="00BF3417"/>
    <w:rsid w:val="00BF3BCC"/>
    <w:rsid w:val="00BF41B6"/>
    <w:rsid w:val="00BF4C8E"/>
    <w:rsid w:val="00BF4E47"/>
    <w:rsid w:val="00BF4FFA"/>
    <w:rsid w:val="00BF582C"/>
    <w:rsid w:val="00BF71A9"/>
    <w:rsid w:val="00C00139"/>
    <w:rsid w:val="00C00162"/>
    <w:rsid w:val="00C006C4"/>
    <w:rsid w:val="00C01324"/>
    <w:rsid w:val="00C03382"/>
    <w:rsid w:val="00C038B8"/>
    <w:rsid w:val="00C03F5B"/>
    <w:rsid w:val="00C04C46"/>
    <w:rsid w:val="00C05132"/>
    <w:rsid w:val="00C063E1"/>
    <w:rsid w:val="00C10276"/>
    <w:rsid w:val="00C12262"/>
    <w:rsid w:val="00C123CE"/>
    <w:rsid w:val="00C14C33"/>
    <w:rsid w:val="00C15BC4"/>
    <w:rsid w:val="00C1797A"/>
    <w:rsid w:val="00C20035"/>
    <w:rsid w:val="00C22C92"/>
    <w:rsid w:val="00C25177"/>
    <w:rsid w:val="00C32D7E"/>
    <w:rsid w:val="00C36E70"/>
    <w:rsid w:val="00C41C9D"/>
    <w:rsid w:val="00C44EE6"/>
    <w:rsid w:val="00C467E5"/>
    <w:rsid w:val="00C571F9"/>
    <w:rsid w:val="00C57673"/>
    <w:rsid w:val="00C61AAF"/>
    <w:rsid w:val="00C64B3A"/>
    <w:rsid w:val="00C6771C"/>
    <w:rsid w:val="00C71B28"/>
    <w:rsid w:val="00C72690"/>
    <w:rsid w:val="00C72969"/>
    <w:rsid w:val="00C73FD1"/>
    <w:rsid w:val="00C74FCC"/>
    <w:rsid w:val="00C75723"/>
    <w:rsid w:val="00C75A92"/>
    <w:rsid w:val="00C76793"/>
    <w:rsid w:val="00C801A9"/>
    <w:rsid w:val="00C802CD"/>
    <w:rsid w:val="00C84CAC"/>
    <w:rsid w:val="00C85C08"/>
    <w:rsid w:val="00C8757E"/>
    <w:rsid w:val="00C87D0C"/>
    <w:rsid w:val="00C91C8A"/>
    <w:rsid w:val="00C92A5E"/>
    <w:rsid w:val="00C93FDC"/>
    <w:rsid w:val="00C94D5B"/>
    <w:rsid w:val="00C9526F"/>
    <w:rsid w:val="00C9687C"/>
    <w:rsid w:val="00C96AC1"/>
    <w:rsid w:val="00C970C8"/>
    <w:rsid w:val="00CA0BF7"/>
    <w:rsid w:val="00CA0CD6"/>
    <w:rsid w:val="00CA3275"/>
    <w:rsid w:val="00CA4010"/>
    <w:rsid w:val="00CA5B81"/>
    <w:rsid w:val="00CA64AC"/>
    <w:rsid w:val="00CB0500"/>
    <w:rsid w:val="00CB29B6"/>
    <w:rsid w:val="00CB60AF"/>
    <w:rsid w:val="00CB60E3"/>
    <w:rsid w:val="00CB61CE"/>
    <w:rsid w:val="00CB6241"/>
    <w:rsid w:val="00CB7EBB"/>
    <w:rsid w:val="00CC3C6B"/>
    <w:rsid w:val="00CC47FB"/>
    <w:rsid w:val="00CC522A"/>
    <w:rsid w:val="00CC7C2A"/>
    <w:rsid w:val="00CD29E3"/>
    <w:rsid w:val="00CD51B8"/>
    <w:rsid w:val="00CE2BE2"/>
    <w:rsid w:val="00CE445D"/>
    <w:rsid w:val="00CE7A29"/>
    <w:rsid w:val="00CF0346"/>
    <w:rsid w:val="00CF291C"/>
    <w:rsid w:val="00CF2A8F"/>
    <w:rsid w:val="00CF46DD"/>
    <w:rsid w:val="00CF6029"/>
    <w:rsid w:val="00CF754E"/>
    <w:rsid w:val="00D0157E"/>
    <w:rsid w:val="00D01630"/>
    <w:rsid w:val="00D01A8B"/>
    <w:rsid w:val="00D0765E"/>
    <w:rsid w:val="00D07AEC"/>
    <w:rsid w:val="00D07EB3"/>
    <w:rsid w:val="00D10064"/>
    <w:rsid w:val="00D10181"/>
    <w:rsid w:val="00D10443"/>
    <w:rsid w:val="00D108F7"/>
    <w:rsid w:val="00D1143F"/>
    <w:rsid w:val="00D1145A"/>
    <w:rsid w:val="00D11EC8"/>
    <w:rsid w:val="00D13C22"/>
    <w:rsid w:val="00D22071"/>
    <w:rsid w:val="00D22F20"/>
    <w:rsid w:val="00D30607"/>
    <w:rsid w:val="00D31676"/>
    <w:rsid w:val="00D322F7"/>
    <w:rsid w:val="00D326D9"/>
    <w:rsid w:val="00D329BA"/>
    <w:rsid w:val="00D32D06"/>
    <w:rsid w:val="00D35F1C"/>
    <w:rsid w:val="00D37346"/>
    <w:rsid w:val="00D377F7"/>
    <w:rsid w:val="00D4045F"/>
    <w:rsid w:val="00D416B9"/>
    <w:rsid w:val="00D5503B"/>
    <w:rsid w:val="00D56727"/>
    <w:rsid w:val="00D571D9"/>
    <w:rsid w:val="00D60A13"/>
    <w:rsid w:val="00D6228B"/>
    <w:rsid w:val="00D62DA0"/>
    <w:rsid w:val="00D65A08"/>
    <w:rsid w:val="00D7050B"/>
    <w:rsid w:val="00D7161D"/>
    <w:rsid w:val="00D72AEA"/>
    <w:rsid w:val="00D73F6C"/>
    <w:rsid w:val="00D746D7"/>
    <w:rsid w:val="00D74C97"/>
    <w:rsid w:val="00D74CF8"/>
    <w:rsid w:val="00D76209"/>
    <w:rsid w:val="00D855BC"/>
    <w:rsid w:val="00D87FFB"/>
    <w:rsid w:val="00D92420"/>
    <w:rsid w:val="00D932BE"/>
    <w:rsid w:val="00D95D37"/>
    <w:rsid w:val="00D961D2"/>
    <w:rsid w:val="00D978D5"/>
    <w:rsid w:val="00D97A71"/>
    <w:rsid w:val="00DA2F54"/>
    <w:rsid w:val="00DA3594"/>
    <w:rsid w:val="00DA4B87"/>
    <w:rsid w:val="00DA4CB2"/>
    <w:rsid w:val="00DA608D"/>
    <w:rsid w:val="00DA6322"/>
    <w:rsid w:val="00DA6BA4"/>
    <w:rsid w:val="00DA736D"/>
    <w:rsid w:val="00DB0516"/>
    <w:rsid w:val="00DB1259"/>
    <w:rsid w:val="00DB1720"/>
    <w:rsid w:val="00DB1D3C"/>
    <w:rsid w:val="00DB1DE2"/>
    <w:rsid w:val="00DB2D3A"/>
    <w:rsid w:val="00DB4A0B"/>
    <w:rsid w:val="00DB4BF8"/>
    <w:rsid w:val="00DB4CED"/>
    <w:rsid w:val="00DB58CD"/>
    <w:rsid w:val="00DB5B61"/>
    <w:rsid w:val="00DB62E5"/>
    <w:rsid w:val="00DC1A85"/>
    <w:rsid w:val="00DC4043"/>
    <w:rsid w:val="00DC4649"/>
    <w:rsid w:val="00DC5E9D"/>
    <w:rsid w:val="00DD6A9E"/>
    <w:rsid w:val="00DD6FF8"/>
    <w:rsid w:val="00DD73B2"/>
    <w:rsid w:val="00DE0006"/>
    <w:rsid w:val="00DE1E55"/>
    <w:rsid w:val="00DE3388"/>
    <w:rsid w:val="00DE3A98"/>
    <w:rsid w:val="00DE4162"/>
    <w:rsid w:val="00DE47DD"/>
    <w:rsid w:val="00DE5303"/>
    <w:rsid w:val="00DE5E68"/>
    <w:rsid w:val="00DF0797"/>
    <w:rsid w:val="00DF13CC"/>
    <w:rsid w:val="00DF2C76"/>
    <w:rsid w:val="00DF309B"/>
    <w:rsid w:val="00DF4097"/>
    <w:rsid w:val="00DF49A5"/>
    <w:rsid w:val="00DF7306"/>
    <w:rsid w:val="00E0007E"/>
    <w:rsid w:val="00E009A4"/>
    <w:rsid w:val="00E017A8"/>
    <w:rsid w:val="00E02576"/>
    <w:rsid w:val="00E031A8"/>
    <w:rsid w:val="00E042D7"/>
    <w:rsid w:val="00E0441C"/>
    <w:rsid w:val="00E04B01"/>
    <w:rsid w:val="00E068EE"/>
    <w:rsid w:val="00E06982"/>
    <w:rsid w:val="00E07A84"/>
    <w:rsid w:val="00E14B35"/>
    <w:rsid w:val="00E15596"/>
    <w:rsid w:val="00E16415"/>
    <w:rsid w:val="00E177A2"/>
    <w:rsid w:val="00E2058B"/>
    <w:rsid w:val="00E21048"/>
    <w:rsid w:val="00E22B06"/>
    <w:rsid w:val="00E26DB5"/>
    <w:rsid w:val="00E278F0"/>
    <w:rsid w:val="00E3033F"/>
    <w:rsid w:val="00E33D97"/>
    <w:rsid w:val="00E33F02"/>
    <w:rsid w:val="00E34FEA"/>
    <w:rsid w:val="00E3528F"/>
    <w:rsid w:val="00E37032"/>
    <w:rsid w:val="00E41D03"/>
    <w:rsid w:val="00E42A9E"/>
    <w:rsid w:val="00E43025"/>
    <w:rsid w:val="00E46D7F"/>
    <w:rsid w:val="00E475B4"/>
    <w:rsid w:val="00E47F24"/>
    <w:rsid w:val="00E51097"/>
    <w:rsid w:val="00E521E9"/>
    <w:rsid w:val="00E530AE"/>
    <w:rsid w:val="00E53DA1"/>
    <w:rsid w:val="00E542E8"/>
    <w:rsid w:val="00E5624F"/>
    <w:rsid w:val="00E56C54"/>
    <w:rsid w:val="00E57CA3"/>
    <w:rsid w:val="00E60853"/>
    <w:rsid w:val="00E60D6F"/>
    <w:rsid w:val="00E6135B"/>
    <w:rsid w:val="00E6370F"/>
    <w:rsid w:val="00E64B0E"/>
    <w:rsid w:val="00E66CE5"/>
    <w:rsid w:val="00E66DD4"/>
    <w:rsid w:val="00E6715C"/>
    <w:rsid w:val="00E72EAA"/>
    <w:rsid w:val="00E7309B"/>
    <w:rsid w:val="00E73F42"/>
    <w:rsid w:val="00E742E5"/>
    <w:rsid w:val="00E750C8"/>
    <w:rsid w:val="00E756AD"/>
    <w:rsid w:val="00E775EC"/>
    <w:rsid w:val="00E80E10"/>
    <w:rsid w:val="00E814E5"/>
    <w:rsid w:val="00E843FD"/>
    <w:rsid w:val="00E85304"/>
    <w:rsid w:val="00E8681A"/>
    <w:rsid w:val="00E87410"/>
    <w:rsid w:val="00E8754F"/>
    <w:rsid w:val="00E87FDE"/>
    <w:rsid w:val="00E91780"/>
    <w:rsid w:val="00E919EF"/>
    <w:rsid w:val="00E92657"/>
    <w:rsid w:val="00E9472A"/>
    <w:rsid w:val="00E95FE9"/>
    <w:rsid w:val="00E96847"/>
    <w:rsid w:val="00E97889"/>
    <w:rsid w:val="00EA1936"/>
    <w:rsid w:val="00EA2042"/>
    <w:rsid w:val="00EA2641"/>
    <w:rsid w:val="00EA2BCF"/>
    <w:rsid w:val="00EA2C28"/>
    <w:rsid w:val="00EA5164"/>
    <w:rsid w:val="00EB34A8"/>
    <w:rsid w:val="00EB5BB9"/>
    <w:rsid w:val="00EB5E23"/>
    <w:rsid w:val="00EC2846"/>
    <w:rsid w:val="00EC2FF5"/>
    <w:rsid w:val="00EC3209"/>
    <w:rsid w:val="00EC3AB7"/>
    <w:rsid w:val="00EC5A39"/>
    <w:rsid w:val="00EC5E35"/>
    <w:rsid w:val="00EC6A12"/>
    <w:rsid w:val="00EC6F9F"/>
    <w:rsid w:val="00ED18A8"/>
    <w:rsid w:val="00ED2FF5"/>
    <w:rsid w:val="00ED61FA"/>
    <w:rsid w:val="00EE1A92"/>
    <w:rsid w:val="00EE22FA"/>
    <w:rsid w:val="00EE2A2D"/>
    <w:rsid w:val="00EE323C"/>
    <w:rsid w:val="00EE401E"/>
    <w:rsid w:val="00EE55AB"/>
    <w:rsid w:val="00EE57C2"/>
    <w:rsid w:val="00EE63CE"/>
    <w:rsid w:val="00EE7956"/>
    <w:rsid w:val="00EF0C34"/>
    <w:rsid w:val="00EF125C"/>
    <w:rsid w:val="00EF304E"/>
    <w:rsid w:val="00EF3A3D"/>
    <w:rsid w:val="00EF53C7"/>
    <w:rsid w:val="00EF601F"/>
    <w:rsid w:val="00EF663B"/>
    <w:rsid w:val="00EF6857"/>
    <w:rsid w:val="00EF6CB4"/>
    <w:rsid w:val="00EF74FB"/>
    <w:rsid w:val="00F00D8F"/>
    <w:rsid w:val="00F01727"/>
    <w:rsid w:val="00F036C6"/>
    <w:rsid w:val="00F047AA"/>
    <w:rsid w:val="00F06435"/>
    <w:rsid w:val="00F072C7"/>
    <w:rsid w:val="00F078B5"/>
    <w:rsid w:val="00F07924"/>
    <w:rsid w:val="00F11390"/>
    <w:rsid w:val="00F128D2"/>
    <w:rsid w:val="00F129BD"/>
    <w:rsid w:val="00F12A0C"/>
    <w:rsid w:val="00F14632"/>
    <w:rsid w:val="00F16AD4"/>
    <w:rsid w:val="00F17275"/>
    <w:rsid w:val="00F20EB7"/>
    <w:rsid w:val="00F21A1D"/>
    <w:rsid w:val="00F21BF2"/>
    <w:rsid w:val="00F227C4"/>
    <w:rsid w:val="00F228E8"/>
    <w:rsid w:val="00F22AD8"/>
    <w:rsid w:val="00F2501B"/>
    <w:rsid w:val="00F2504D"/>
    <w:rsid w:val="00F250A2"/>
    <w:rsid w:val="00F25CA0"/>
    <w:rsid w:val="00F26078"/>
    <w:rsid w:val="00F3155F"/>
    <w:rsid w:val="00F31687"/>
    <w:rsid w:val="00F323A8"/>
    <w:rsid w:val="00F36DFF"/>
    <w:rsid w:val="00F40135"/>
    <w:rsid w:val="00F4051F"/>
    <w:rsid w:val="00F4205E"/>
    <w:rsid w:val="00F4237D"/>
    <w:rsid w:val="00F44CAE"/>
    <w:rsid w:val="00F44FAB"/>
    <w:rsid w:val="00F456F8"/>
    <w:rsid w:val="00F45EB0"/>
    <w:rsid w:val="00F4775F"/>
    <w:rsid w:val="00F47CA8"/>
    <w:rsid w:val="00F47CAC"/>
    <w:rsid w:val="00F5220A"/>
    <w:rsid w:val="00F55994"/>
    <w:rsid w:val="00F55EFC"/>
    <w:rsid w:val="00F612DD"/>
    <w:rsid w:val="00F63764"/>
    <w:rsid w:val="00F63DC6"/>
    <w:rsid w:val="00F7162F"/>
    <w:rsid w:val="00F7364F"/>
    <w:rsid w:val="00F74976"/>
    <w:rsid w:val="00F76DB9"/>
    <w:rsid w:val="00F77BBA"/>
    <w:rsid w:val="00F82C22"/>
    <w:rsid w:val="00F83B52"/>
    <w:rsid w:val="00F8567D"/>
    <w:rsid w:val="00F85BE5"/>
    <w:rsid w:val="00F86003"/>
    <w:rsid w:val="00F86061"/>
    <w:rsid w:val="00F90041"/>
    <w:rsid w:val="00F91A9B"/>
    <w:rsid w:val="00F931E9"/>
    <w:rsid w:val="00F9624F"/>
    <w:rsid w:val="00F96880"/>
    <w:rsid w:val="00F97B7B"/>
    <w:rsid w:val="00FA0830"/>
    <w:rsid w:val="00FA1642"/>
    <w:rsid w:val="00FA2E41"/>
    <w:rsid w:val="00FA4DDF"/>
    <w:rsid w:val="00FA516A"/>
    <w:rsid w:val="00FA5A34"/>
    <w:rsid w:val="00FA5B92"/>
    <w:rsid w:val="00FA5CFF"/>
    <w:rsid w:val="00FA646F"/>
    <w:rsid w:val="00FA7919"/>
    <w:rsid w:val="00FA79DB"/>
    <w:rsid w:val="00FB067E"/>
    <w:rsid w:val="00FB06CC"/>
    <w:rsid w:val="00FB0DA8"/>
    <w:rsid w:val="00FB1144"/>
    <w:rsid w:val="00FB1C9D"/>
    <w:rsid w:val="00FB24EB"/>
    <w:rsid w:val="00FB44BF"/>
    <w:rsid w:val="00FB4930"/>
    <w:rsid w:val="00FB5D4C"/>
    <w:rsid w:val="00FB6ACA"/>
    <w:rsid w:val="00FB7F3B"/>
    <w:rsid w:val="00FC3CED"/>
    <w:rsid w:val="00FC4A64"/>
    <w:rsid w:val="00FC6B5F"/>
    <w:rsid w:val="00FD0F49"/>
    <w:rsid w:val="00FD1A5F"/>
    <w:rsid w:val="00FD3B6E"/>
    <w:rsid w:val="00FD3CFB"/>
    <w:rsid w:val="00FD45A3"/>
    <w:rsid w:val="00FD5AE9"/>
    <w:rsid w:val="00FD762B"/>
    <w:rsid w:val="00FE115D"/>
    <w:rsid w:val="00FE12C0"/>
    <w:rsid w:val="00FE44E3"/>
    <w:rsid w:val="00FE4F38"/>
    <w:rsid w:val="00FE6DD1"/>
    <w:rsid w:val="00FF1B20"/>
    <w:rsid w:val="00FF2E3B"/>
    <w:rsid w:val="00FF3D91"/>
    <w:rsid w:val="00FF69F3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F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F4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73F42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E73F42"/>
    <w:pPr>
      <w:spacing w:line="300" w:lineRule="exact"/>
      <w:ind w:firstLine="240"/>
      <w:jc w:val="both"/>
    </w:pPr>
    <w:rPr>
      <w:rFonts w:ascii="Times" w:hAnsi="Times" w:cs="Times"/>
    </w:rPr>
  </w:style>
  <w:style w:type="character" w:styleId="Hyperlink">
    <w:name w:val="Hyperlink"/>
    <w:basedOn w:val="a0"/>
    <w:rsid w:val="00E73F42"/>
    <w:rPr>
      <w:color w:val="0000FF"/>
      <w:u w:val="single"/>
    </w:rPr>
  </w:style>
  <w:style w:type="paragraph" w:styleId="a5">
    <w:name w:val="Balloon Text"/>
    <w:basedOn w:val="a"/>
    <w:semiHidden/>
    <w:rsid w:val="00AE35B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DC4649"/>
    <w:rPr>
      <w:sz w:val="20"/>
      <w:szCs w:val="20"/>
    </w:rPr>
  </w:style>
  <w:style w:type="character" w:customStyle="1" w:styleId="a7">
    <w:name w:val="טקסט הערת שוליים תו"/>
    <w:basedOn w:val="a0"/>
    <w:link w:val="a6"/>
    <w:rsid w:val="00DC4649"/>
  </w:style>
  <w:style w:type="character" w:styleId="a8">
    <w:name w:val="footnote reference"/>
    <w:basedOn w:val="a0"/>
    <w:rsid w:val="00DC4649"/>
    <w:rPr>
      <w:vertAlign w:val="superscript"/>
    </w:rPr>
  </w:style>
  <w:style w:type="character" w:styleId="FollowedHyperlink">
    <w:name w:val="FollowedHyperlink"/>
    <w:basedOn w:val="a0"/>
    <w:rsid w:val="002466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F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F4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73F42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E73F42"/>
    <w:pPr>
      <w:spacing w:line="300" w:lineRule="exact"/>
      <w:ind w:firstLine="240"/>
      <w:jc w:val="both"/>
    </w:pPr>
    <w:rPr>
      <w:rFonts w:ascii="Times" w:hAnsi="Times" w:cs="Times"/>
    </w:rPr>
  </w:style>
  <w:style w:type="character" w:styleId="Hyperlink">
    <w:name w:val="Hyperlink"/>
    <w:basedOn w:val="a0"/>
    <w:rsid w:val="00E73F42"/>
    <w:rPr>
      <w:color w:val="0000FF"/>
      <w:u w:val="single"/>
    </w:rPr>
  </w:style>
  <w:style w:type="paragraph" w:styleId="a5">
    <w:name w:val="Balloon Text"/>
    <w:basedOn w:val="a"/>
    <w:semiHidden/>
    <w:rsid w:val="00AE35B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DC4649"/>
    <w:rPr>
      <w:sz w:val="20"/>
      <w:szCs w:val="20"/>
    </w:rPr>
  </w:style>
  <w:style w:type="character" w:customStyle="1" w:styleId="a7">
    <w:name w:val="טקסט הערת שוליים תו"/>
    <w:basedOn w:val="a0"/>
    <w:link w:val="a6"/>
    <w:rsid w:val="00DC4649"/>
  </w:style>
  <w:style w:type="character" w:styleId="a8">
    <w:name w:val="footnote reference"/>
    <w:basedOn w:val="a0"/>
    <w:rsid w:val="00DC4649"/>
    <w:rPr>
      <w:vertAlign w:val="superscript"/>
    </w:rPr>
  </w:style>
  <w:style w:type="character" w:styleId="FollowedHyperlink">
    <w:name w:val="FollowedHyperlink"/>
    <w:basedOn w:val="a0"/>
    <w:rsid w:val="002466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dc66967819e61477bbb22baefbd46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a2d015b092b9b034dac7bb82bea7ad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2EEEA-28B6-469B-93CF-C78931683039}"/>
</file>

<file path=customXml/itemProps2.xml><?xml version="1.0" encoding="utf-8"?>
<ds:datastoreItem xmlns:ds="http://schemas.openxmlformats.org/officeDocument/2006/customXml" ds:itemID="{BD0F5D5F-525B-4F3D-807C-0080FCC8CFEC}"/>
</file>

<file path=customXml/itemProps3.xml><?xml version="1.0" encoding="utf-8"?>
<ds:datastoreItem xmlns:ds="http://schemas.openxmlformats.org/officeDocument/2006/customXml" ds:itemID="{F4B8F63B-5296-479B-9A3D-32BB414FD86D}"/>
</file>

<file path=customXml/itemProps4.xml><?xml version="1.0" encoding="utf-8"?>
<ds:datastoreItem xmlns:ds="http://schemas.openxmlformats.org/officeDocument/2006/customXml" ds:itemID="{85DFEA1A-BB64-43F0-B2D8-3F05B4495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5306</CharactersWithSpaces>
  <SharedDoc>false</SharedDoc>
  <HLinks>
    <vt:vector size="6" baseType="variant"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http://www.bankisrael.gov.il/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2013-09-08T10:04:00Z</dcterms:created>
  <dcterms:modified xsi:type="dcterms:W3CDTF">2013-09-10T11:35:00Z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