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E414D" w14:textId="77777777" w:rsidR="00CB5D78" w:rsidRPr="00CD02B7" w:rsidRDefault="002235F5" w:rsidP="00151D84">
      <w:pPr>
        <w:bidi w:val="0"/>
        <w:jc w:val="center"/>
        <w:rPr>
          <w:rFonts w:asciiTheme="majorBidi" w:hAnsiTheme="majorBidi" w:cstheme="majorBidi"/>
          <w:rtl/>
        </w:rPr>
      </w:pPr>
      <w:r w:rsidRPr="00CD02B7">
        <w:rPr>
          <w:rFonts w:asciiTheme="majorBidi" w:hAnsiTheme="majorBidi" w:cstheme="majorBidi"/>
          <w:noProof/>
        </w:rPr>
        <w:drawing>
          <wp:inline distT="0" distB="0" distL="0" distR="0" wp14:anchorId="3DF66824" wp14:editId="3106093E">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743BE695" w14:textId="77777777" w:rsidR="00760371" w:rsidRPr="00CD02B7" w:rsidRDefault="00760371" w:rsidP="00151D84">
      <w:pPr>
        <w:pStyle w:val="regpar"/>
        <w:spacing w:line="300" w:lineRule="atLeast"/>
        <w:ind w:firstLine="0"/>
        <w:jc w:val="center"/>
        <w:rPr>
          <w:rFonts w:asciiTheme="majorBidi" w:hAnsiTheme="majorBidi" w:cstheme="majorBidi"/>
          <w:b/>
        </w:rPr>
      </w:pPr>
    </w:p>
    <w:p w14:paraId="3909EA80" w14:textId="77777777" w:rsidR="00892A46" w:rsidRPr="00CD02B7" w:rsidRDefault="00892A46" w:rsidP="00892A46">
      <w:pPr>
        <w:pStyle w:val="regpar"/>
        <w:spacing w:line="300" w:lineRule="atLeast"/>
        <w:ind w:firstLine="0"/>
        <w:jc w:val="center"/>
        <w:rPr>
          <w:rFonts w:asciiTheme="majorBidi" w:hAnsiTheme="majorBidi" w:cstheme="majorBidi"/>
          <w:b/>
          <w:sz w:val="28"/>
          <w:szCs w:val="28"/>
        </w:rPr>
      </w:pPr>
      <w:r w:rsidRPr="00CD02B7">
        <w:rPr>
          <w:rFonts w:asciiTheme="majorBidi" w:hAnsiTheme="majorBidi" w:cstheme="majorBidi"/>
          <w:b/>
          <w:sz w:val="28"/>
          <w:szCs w:val="28"/>
        </w:rPr>
        <w:t>BANK OF ISRAEL</w:t>
      </w:r>
    </w:p>
    <w:p w14:paraId="4C75FA74" w14:textId="77777777" w:rsidR="00892A46" w:rsidRPr="00CD02B7" w:rsidRDefault="00892A46" w:rsidP="00892A46">
      <w:pPr>
        <w:pStyle w:val="regpar"/>
        <w:spacing w:line="300" w:lineRule="atLeast"/>
        <w:ind w:firstLine="0"/>
        <w:jc w:val="center"/>
        <w:rPr>
          <w:rFonts w:asciiTheme="majorBidi" w:hAnsiTheme="majorBidi" w:cstheme="majorBidi"/>
          <w:b/>
        </w:rPr>
      </w:pPr>
      <w:r w:rsidRPr="00CD02B7">
        <w:rPr>
          <w:rFonts w:asciiTheme="majorBidi" w:hAnsiTheme="majorBidi" w:cstheme="majorBidi"/>
        </w:rPr>
        <w:t>Office of the Spokesperson and Economic Information</w:t>
      </w:r>
    </w:p>
    <w:p w14:paraId="651618B1" w14:textId="77777777" w:rsidR="00892A46" w:rsidRPr="00CD02B7" w:rsidRDefault="00892A46" w:rsidP="00892A46">
      <w:pPr>
        <w:bidi w:val="0"/>
        <w:jc w:val="center"/>
        <w:rPr>
          <w:rFonts w:asciiTheme="majorBidi" w:hAnsiTheme="majorBidi" w:cstheme="majorBidi"/>
          <w:b/>
          <w:bCs/>
        </w:rPr>
      </w:pPr>
    </w:p>
    <w:p w14:paraId="1BBE355D" w14:textId="77777777" w:rsidR="00892A46" w:rsidRPr="00CD02B7" w:rsidRDefault="00892A46" w:rsidP="00892A46">
      <w:pPr>
        <w:bidi w:val="0"/>
        <w:jc w:val="right"/>
        <w:rPr>
          <w:rFonts w:asciiTheme="majorBidi" w:hAnsiTheme="majorBidi" w:cstheme="majorBidi"/>
        </w:rPr>
      </w:pPr>
    </w:p>
    <w:p w14:paraId="6B11FC50" w14:textId="57BC1B9A" w:rsidR="00892A46" w:rsidRPr="00CD02B7" w:rsidRDefault="003F56DC" w:rsidP="00E2338C">
      <w:pPr>
        <w:bidi w:val="0"/>
        <w:jc w:val="right"/>
        <w:rPr>
          <w:rFonts w:asciiTheme="majorBidi" w:hAnsiTheme="majorBidi" w:cstheme="majorBidi"/>
        </w:rPr>
      </w:pPr>
      <w:r w:rsidRPr="00E2338C">
        <w:rPr>
          <w:rFonts w:asciiTheme="majorBidi" w:hAnsiTheme="majorBidi" w:cstheme="majorBidi"/>
        </w:rPr>
        <w:t xml:space="preserve">March </w:t>
      </w:r>
      <w:r w:rsidR="00567B00" w:rsidRPr="00E2338C">
        <w:rPr>
          <w:rFonts w:asciiTheme="majorBidi" w:hAnsiTheme="majorBidi" w:cstheme="majorBidi"/>
        </w:rPr>
        <w:t>29</w:t>
      </w:r>
      <w:r w:rsidRPr="00E2338C">
        <w:rPr>
          <w:rFonts w:asciiTheme="majorBidi" w:hAnsiTheme="majorBidi" w:cstheme="majorBidi"/>
        </w:rPr>
        <w:t>, 202</w:t>
      </w:r>
      <w:r w:rsidR="00920090" w:rsidRPr="00E2338C">
        <w:rPr>
          <w:rFonts w:asciiTheme="majorBidi" w:hAnsiTheme="majorBidi" w:cstheme="majorBidi"/>
          <w:rtl/>
        </w:rPr>
        <w:t>3</w:t>
      </w:r>
    </w:p>
    <w:p w14:paraId="2C096680" w14:textId="77777777" w:rsidR="00892A46" w:rsidRPr="00CD02B7" w:rsidRDefault="00892A46" w:rsidP="00892A46">
      <w:pPr>
        <w:tabs>
          <w:tab w:val="center" w:pos="4156"/>
          <w:tab w:val="right" w:pos="8312"/>
        </w:tabs>
        <w:bidi w:val="0"/>
        <w:jc w:val="center"/>
        <w:rPr>
          <w:rFonts w:asciiTheme="majorBidi" w:hAnsiTheme="majorBidi" w:cstheme="majorBidi"/>
        </w:rPr>
      </w:pPr>
    </w:p>
    <w:p w14:paraId="7FAE0374" w14:textId="77777777" w:rsidR="00892A46" w:rsidRPr="00E2338C" w:rsidRDefault="00892A46" w:rsidP="00E2338C">
      <w:pPr>
        <w:tabs>
          <w:tab w:val="center" w:pos="4156"/>
          <w:tab w:val="right" w:pos="8312"/>
        </w:tabs>
        <w:bidi w:val="0"/>
        <w:jc w:val="center"/>
        <w:rPr>
          <w:rFonts w:asciiTheme="majorBidi" w:hAnsiTheme="majorBidi" w:cstheme="majorBidi"/>
          <w:sz w:val="22"/>
          <w:szCs w:val="22"/>
        </w:rPr>
      </w:pPr>
      <w:r w:rsidRPr="00E2338C">
        <w:rPr>
          <w:rFonts w:asciiTheme="majorBidi" w:hAnsiTheme="majorBidi" w:cstheme="majorBidi"/>
          <w:sz w:val="22"/>
          <w:szCs w:val="22"/>
        </w:rPr>
        <w:t>Press Release:</w:t>
      </w:r>
    </w:p>
    <w:p w14:paraId="51C779DE" w14:textId="77777777" w:rsidR="00892A46" w:rsidRPr="00CD02B7" w:rsidRDefault="00892A46" w:rsidP="00892A46">
      <w:pPr>
        <w:tabs>
          <w:tab w:val="center" w:pos="4156"/>
          <w:tab w:val="right" w:pos="8312"/>
        </w:tabs>
        <w:bidi w:val="0"/>
        <w:rPr>
          <w:rFonts w:asciiTheme="majorBidi" w:hAnsiTheme="majorBidi" w:cstheme="majorBidi"/>
        </w:rPr>
      </w:pPr>
    </w:p>
    <w:p w14:paraId="6C9B15E2" w14:textId="77777777" w:rsidR="008D7BC7" w:rsidRPr="00CD02B7" w:rsidRDefault="008D7BC7" w:rsidP="008D7BC7">
      <w:pPr>
        <w:pStyle w:val="PressReleaseTitle"/>
        <w:spacing w:line="300" w:lineRule="atLeast"/>
        <w:rPr>
          <w:rFonts w:asciiTheme="majorBidi" w:hAnsiTheme="majorBidi" w:cstheme="majorBidi"/>
        </w:rPr>
      </w:pPr>
    </w:p>
    <w:p w14:paraId="14A36FF2" w14:textId="6F2DADAF" w:rsidR="008D7BC7" w:rsidRPr="00E2338C" w:rsidRDefault="008D7BC7" w:rsidP="00920090">
      <w:pPr>
        <w:pStyle w:val="PressReleaseTitle"/>
        <w:spacing w:line="300" w:lineRule="atLeast"/>
        <w:rPr>
          <w:rFonts w:asciiTheme="majorBidi" w:hAnsiTheme="majorBidi" w:cstheme="majorBidi"/>
          <w:sz w:val="28"/>
          <w:szCs w:val="28"/>
        </w:rPr>
      </w:pPr>
      <w:bookmarkStart w:id="0" w:name="_GoBack"/>
      <w:r w:rsidRPr="00E2338C">
        <w:rPr>
          <w:rFonts w:asciiTheme="majorBidi" w:hAnsiTheme="majorBidi" w:cstheme="majorBidi"/>
          <w:sz w:val="28"/>
          <w:szCs w:val="28"/>
        </w:rPr>
        <w:t xml:space="preserve">The Bank of Israel publishes its financial statements for </w:t>
      </w:r>
      <w:r w:rsidR="00920090" w:rsidRPr="00E2338C">
        <w:rPr>
          <w:rFonts w:asciiTheme="majorBidi" w:hAnsiTheme="majorBidi" w:cstheme="majorBidi"/>
          <w:sz w:val="28"/>
          <w:szCs w:val="28"/>
          <w:rtl/>
        </w:rPr>
        <w:t>2022</w:t>
      </w:r>
    </w:p>
    <w:bookmarkEnd w:id="0"/>
    <w:p w14:paraId="5D0A5FAB" w14:textId="77777777" w:rsidR="008D7BC7" w:rsidRPr="00CD02B7" w:rsidRDefault="008D7BC7" w:rsidP="008D7BC7">
      <w:pPr>
        <w:pStyle w:val="Pressreleaseheading2"/>
        <w:spacing w:line="300" w:lineRule="atLeast"/>
        <w:jc w:val="left"/>
        <w:rPr>
          <w:rFonts w:asciiTheme="majorBidi" w:hAnsiTheme="majorBidi" w:cstheme="majorBidi"/>
          <w:sz w:val="24"/>
          <w:szCs w:val="24"/>
        </w:rPr>
      </w:pPr>
    </w:p>
    <w:p w14:paraId="72050B45" w14:textId="433F9A0B" w:rsidR="003F56DC" w:rsidRPr="00E2338C" w:rsidRDefault="00C50FF4" w:rsidP="00713A06">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rPr>
        <w:t xml:space="preserve">The Bank of Israel fulfills </w:t>
      </w:r>
      <w:r w:rsidR="00EF6BAC" w:rsidRPr="00E2338C">
        <w:rPr>
          <w:rFonts w:asciiTheme="majorBidi" w:hAnsiTheme="majorBidi" w:cstheme="majorBidi"/>
        </w:rPr>
        <w:t>the</w:t>
      </w:r>
      <w:r w:rsidRPr="00E2338C">
        <w:rPr>
          <w:rFonts w:asciiTheme="majorBidi" w:hAnsiTheme="majorBidi" w:cstheme="majorBidi"/>
        </w:rPr>
        <w:t xml:space="preserve"> functions imposed on it</w:t>
      </w:r>
      <w:r w:rsidR="00EF6BAC" w:rsidRPr="00E2338C">
        <w:rPr>
          <w:rFonts w:asciiTheme="majorBidi" w:hAnsiTheme="majorBidi" w:cstheme="majorBidi"/>
        </w:rPr>
        <w:t xml:space="preserve"> </w:t>
      </w:r>
      <w:r w:rsidRPr="00E2338C">
        <w:rPr>
          <w:rFonts w:asciiTheme="majorBidi" w:hAnsiTheme="majorBidi" w:cstheme="majorBidi"/>
        </w:rPr>
        <w:t xml:space="preserve">as a central bank, and acts to </w:t>
      </w:r>
      <w:r w:rsidR="00B4503A" w:rsidRPr="00E2338C">
        <w:rPr>
          <w:rFonts w:asciiTheme="majorBidi" w:hAnsiTheme="majorBidi" w:cstheme="majorBidi"/>
        </w:rPr>
        <w:t xml:space="preserve">achieve </w:t>
      </w:r>
      <w:r w:rsidRPr="00E2338C">
        <w:rPr>
          <w:rFonts w:asciiTheme="majorBidi" w:hAnsiTheme="majorBidi" w:cstheme="majorBidi"/>
        </w:rPr>
        <w:t xml:space="preserve">the objectives established for it under the Bank of Israel Law, 5770-2010: </w:t>
      </w:r>
      <w:r w:rsidR="00B4503A" w:rsidRPr="00E2338C">
        <w:rPr>
          <w:rFonts w:asciiTheme="majorBidi" w:hAnsiTheme="majorBidi" w:cstheme="majorBidi"/>
        </w:rPr>
        <w:t xml:space="preserve">maintaining </w:t>
      </w:r>
      <w:r w:rsidRPr="00E2338C">
        <w:rPr>
          <w:rFonts w:asciiTheme="majorBidi" w:hAnsiTheme="majorBidi" w:cstheme="majorBidi"/>
        </w:rPr>
        <w:t>price stability</w:t>
      </w:r>
      <w:r w:rsidR="00B4503A" w:rsidRPr="00E2338C">
        <w:rPr>
          <w:rFonts w:asciiTheme="majorBidi" w:hAnsiTheme="majorBidi" w:cstheme="majorBidi"/>
        </w:rPr>
        <w:t xml:space="preserve"> and supporting </w:t>
      </w:r>
      <w:r w:rsidRPr="00E2338C">
        <w:rPr>
          <w:rFonts w:asciiTheme="majorBidi" w:hAnsiTheme="majorBidi" w:cstheme="majorBidi"/>
        </w:rPr>
        <w:t>growth, employment</w:t>
      </w:r>
      <w:r w:rsidR="00B4503A" w:rsidRPr="00E2338C">
        <w:rPr>
          <w:rFonts w:asciiTheme="majorBidi" w:hAnsiTheme="majorBidi" w:cstheme="majorBidi"/>
        </w:rPr>
        <w:t xml:space="preserve">, the </w:t>
      </w:r>
      <w:r w:rsidRPr="00E2338C">
        <w:rPr>
          <w:rFonts w:asciiTheme="majorBidi" w:hAnsiTheme="majorBidi" w:cstheme="majorBidi"/>
        </w:rPr>
        <w:t xml:space="preserve">reducing </w:t>
      </w:r>
      <w:r w:rsidR="00B4503A" w:rsidRPr="00E2338C">
        <w:rPr>
          <w:rFonts w:asciiTheme="majorBidi" w:hAnsiTheme="majorBidi" w:cstheme="majorBidi"/>
        </w:rPr>
        <w:t xml:space="preserve">of </w:t>
      </w:r>
      <w:r w:rsidRPr="00E2338C">
        <w:rPr>
          <w:rFonts w:asciiTheme="majorBidi" w:hAnsiTheme="majorBidi" w:cstheme="majorBidi"/>
        </w:rPr>
        <w:t xml:space="preserve">social gaps, </w:t>
      </w:r>
      <w:r w:rsidR="00B4503A" w:rsidRPr="00E2338C">
        <w:rPr>
          <w:rFonts w:asciiTheme="majorBidi" w:hAnsiTheme="majorBidi" w:cstheme="majorBidi"/>
        </w:rPr>
        <w:t xml:space="preserve">and </w:t>
      </w:r>
      <w:r w:rsidRPr="00E2338C">
        <w:rPr>
          <w:rFonts w:asciiTheme="majorBidi" w:hAnsiTheme="majorBidi" w:cstheme="majorBidi"/>
        </w:rPr>
        <w:t>the stability of the financial system.</w:t>
      </w:r>
      <w:r w:rsidR="00B4503A" w:rsidRPr="00E2338C">
        <w:rPr>
          <w:rFonts w:asciiTheme="majorBidi" w:hAnsiTheme="majorBidi" w:cstheme="majorBidi"/>
        </w:rPr>
        <w:t xml:space="preserve"> The </w:t>
      </w:r>
      <w:r w:rsidR="003F56DC" w:rsidRPr="00E2338C">
        <w:rPr>
          <w:rFonts w:asciiTheme="majorBidi" w:hAnsiTheme="majorBidi" w:cstheme="majorBidi"/>
        </w:rPr>
        <w:t>B</w:t>
      </w:r>
      <w:r w:rsidR="00B4503A" w:rsidRPr="00E2338C">
        <w:rPr>
          <w:rFonts w:asciiTheme="majorBidi" w:hAnsiTheme="majorBidi" w:cstheme="majorBidi"/>
        </w:rPr>
        <w:t xml:space="preserve">ank’s activity to attain its objectives and to carry out its functions </w:t>
      </w:r>
      <w:proofErr w:type="gramStart"/>
      <w:r w:rsidR="00EF6BAC" w:rsidRPr="00E2338C">
        <w:rPr>
          <w:rFonts w:asciiTheme="majorBidi" w:hAnsiTheme="majorBidi" w:cstheme="majorBidi"/>
        </w:rPr>
        <w:t xml:space="preserve">is </w:t>
      </w:r>
      <w:r w:rsidR="00B4503A" w:rsidRPr="00E2338C">
        <w:rPr>
          <w:rFonts w:asciiTheme="majorBidi" w:hAnsiTheme="majorBidi" w:cstheme="majorBidi"/>
        </w:rPr>
        <w:t>not intended</w:t>
      </w:r>
      <w:proofErr w:type="gramEnd"/>
      <w:r w:rsidR="00B4503A" w:rsidRPr="00E2338C">
        <w:rPr>
          <w:rFonts w:asciiTheme="majorBidi" w:hAnsiTheme="majorBidi" w:cstheme="majorBidi"/>
        </w:rPr>
        <w:t xml:space="preserve"> </w:t>
      </w:r>
      <w:r w:rsidR="00920090" w:rsidRPr="00E2338C">
        <w:rPr>
          <w:rFonts w:asciiTheme="majorBidi" w:hAnsiTheme="majorBidi" w:cstheme="majorBidi"/>
        </w:rPr>
        <w:t xml:space="preserve">only </w:t>
      </w:r>
      <w:r w:rsidR="00B4503A" w:rsidRPr="00E2338C">
        <w:rPr>
          <w:rFonts w:asciiTheme="majorBidi" w:hAnsiTheme="majorBidi" w:cstheme="majorBidi"/>
        </w:rPr>
        <w:t xml:space="preserve">to </w:t>
      </w:r>
      <w:r w:rsidR="00713A06" w:rsidRPr="00E2338C">
        <w:rPr>
          <w:rFonts w:asciiTheme="majorBidi" w:hAnsiTheme="majorBidi" w:cstheme="majorBidi"/>
        </w:rPr>
        <w:t xml:space="preserve">maximize </w:t>
      </w:r>
      <w:r w:rsidR="00B4503A" w:rsidRPr="00E2338C">
        <w:rPr>
          <w:rFonts w:asciiTheme="majorBidi" w:hAnsiTheme="majorBidi" w:cstheme="majorBidi"/>
        </w:rPr>
        <w:t xml:space="preserve">profits, but rather to achieve </w:t>
      </w:r>
      <w:r w:rsidR="00801648" w:rsidRPr="00E2338C">
        <w:rPr>
          <w:rFonts w:asciiTheme="majorBidi" w:hAnsiTheme="majorBidi" w:cstheme="majorBidi"/>
        </w:rPr>
        <w:t xml:space="preserve">these </w:t>
      </w:r>
      <w:r w:rsidR="00B4503A" w:rsidRPr="00E2338C">
        <w:rPr>
          <w:rFonts w:asciiTheme="majorBidi" w:hAnsiTheme="majorBidi" w:cstheme="majorBidi"/>
        </w:rPr>
        <w:t xml:space="preserve">economy-wide economic goals. </w:t>
      </w:r>
    </w:p>
    <w:p w14:paraId="775E2F76" w14:textId="2207BD8F" w:rsidR="00920090" w:rsidRPr="00E2338C" w:rsidRDefault="00920090" w:rsidP="00CE2295">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szCs w:val="24"/>
        </w:rPr>
        <w:t xml:space="preserve">In 2022, the </w:t>
      </w:r>
      <w:r w:rsidR="00CE2295" w:rsidRPr="00E2338C">
        <w:rPr>
          <w:rFonts w:asciiTheme="majorBidi" w:hAnsiTheme="majorBidi" w:cstheme="majorBidi"/>
          <w:szCs w:val="24"/>
        </w:rPr>
        <w:t xml:space="preserve">Bank of Israel </w:t>
      </w:r>
      <w:r w:rsidRPr="00E2338C">
        <w:rPr>
          <w:rFonts w:asciiTheme="majorBidi" w:hAnsiTheme="majorBidi" w:cstheme="majorBidi"/>
          <w:szCs w:val="24"/>
        </w:rPr>
        <w:t xml:space="preserve">recorded total profit for </w:t>
      </w:r>
      <w:r w:rsidR="00EB173D" w:rsidRPr="00E2338C">
        <w:rPr>
          <w:rFonts w:asciiTheme="majorBidi" w:hAnsiTheme="majorBidi" w:cstheme="majorBidi"/>
          <w:szCs w:val="24"/>
        </w:rPr>
        <w:t xml:space="preserve">the </w:t>
      </w:r>
      <w:r w:rsidRPr="00E2338C">
        <w:rPr>
          <w:rFonts w:asciiTheme="majorBidi" w:hAnsiTheme="majorBidi" w:cstheme="majorBidi"/>
          <w:szCs w:val="24"/>
        </w:rPr>
        <w:t>year o</w:t>
      </w:r>
      <w:r w:rsidR="00EB173D" w:rsidRPr="00E2338C">
        <w:rPr>
          <w:rFonts w:asciiTheme="majorBidi" w:hAnsiTheme="majorBidi" w:cstheme="majorBidi"/>
          <w:szCs w:val="24"/>
        </w:rPr>
        <w:t>f</w:t>
      </w:r>
      <w:r w:rsidRPr="00E2338C">
        <w:rPr>
          <w:rFonts w:asciiTheme="majorBidi" w:hAnsiTheme="majorBidi" w:cstheme="majorBidi"/>
          <w:szCs w:val="24"/>
        </w:rPr>
        <w:t xml:space="preserve"> NIS 14.9 billion.</w:t>
      </w:r>
    </w:p>
    <w:p w14:paraId="21789CC7" w14:textId="29BD9650" w:rsidR="00920090" w:rsidRPr="00E2338C" w:rsidRDefault="00920090" w:rsidP="00166888">
      <w:pPr>
        <w:pStyle w:val="aa"/>
        <w:spacing w:line="300" w:lineRule="atLeast"/>
        <w:ind w:left="426"/>
        <w:jc w:val="both"/>
        <w:rPr>
          <w:rFonts w:asciiTheme="majorBidi" w:hAnsiTheme="majorBidi" w:cstheme="majorBidi"/>
          <w:szCs w:val="24"/>
        </w:rPr>
      </w:pPr>
      <w:r w:rsidRPr="00E2338C">
        <w:rPr>
          <w:rFonts w:asciiTheme="majorBidi" w:hAnsiTheme="majorBidi" w:cstheme="majorBidi"/>
          <w:szCs w:val="24"/>
        </w:rPr>
        <w:t xml:space="preserve">Revenue derived mainly from high income from exchange rate differentials totaling NIS 58 billion on balances denominated in foreign currency, the result of the </w:t>
      </w:r>
      <w:r w:rsidR="00166888" w:rsidRPr="00E2338C">
        <w:rPr>
          <w:rFonts w:asciiTheme="majorBidi" w:hAnsiTheme="majorBidi" w:cstheme="majorBidi"/>
          <w:szCs w:val="24"/>
        </w:rPr>
        <w:t xml:space="preserve">shekel’s </w:t>
      </w:r>
      <w:r w:rsidRPr="00E2338C">
        <w:rPr>
          <w:rFonts w:asciiTheme="majorBidi" w:hAnsiTheme="majorBidi" w:cstheme="majorBidi"/>
          <w:szCs w:val="24"/>
        </w:rPr>
        <w:t>depreciation vis-à-vis most foreign currencies this year.</w:t>
      </w:r>
    </w:p>
    <w:p w14:paraId="6CB8EAD9" w14:textId="0AE320F0" w:rsidR="00872380" w:rsidRPr="00E2338C" w:rsidRDefault="003F56DC" w:rsidP="00585B3D">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rPr>
        <w:t>In</w:t>
      </w:r>
      <w:r w:rsidR="00872380" w:rsidRPr="00E2338C">
        <w:rPr>
          <w:rFonts w:asciiTheme="majorBidi" w:hAnsiTheme="majorBidi" w:cstheme="majorBidi"/>
        </w:rPr>
        <w:t xml:space="preserve"> 2022, </w:t>
      </w:r>
      <w:proofErr w:type="gramStart"/>
      <w:r w:rsidR="00872380" w:rsidRPr="00E2338C">
        <w:rPr>
          <w:rFonts w:asciiTheme="majorBidi" w:hAnsiTheme="majorBidi" w:cstheme="majorBidi"/>
        </w:rPr>
        <w:t>the Bank’s financial results were impacted by an exceptional economic and financial environment</w:t>
      </w:r>
      <w:proofErr w:type="gramEnd"/>
      <w:r w:rsidR="00872380" w:rsidRPr="00E2338C">
        <w:rPr>
          <w:rFonts w:asciiTheme="majorBidi" w:hAnsiTheme="majorBidi" w:cstheme="majorBidi"/>
        </w:rPr>
        <w:t xml:space="preserve">. The global exit from the COVID-19 </w:t>
      </w:r>
      <w:r w:rsidR="00A220F3" w:rsidRPr="00E2338C">
        <w:rPr>
          <w:rFonts w:asciiTheme="majorBidi" w:hAnsiTheme="majorBidi" w:cstheme="majorBidi"/>
        </w:rPr>
        <w:t>crisis and</w:t>
      </w:r>
      <w:r w:rsidR="00872380" w:rsidRPr="00E2338C">
        <w:rPr>
          <w:rFonts w:asciiTheme="majorBidi" w:hAnsiTheme="majorBidi" w:cstheme="majorBidi"/>
        </w:rPr>
        <w:t xml:space="preserve"> a series of </w:t>
      </w:r>
      <w:r w:rsidR="00A220F3" w:rsidRPr="00E2338C">
        <w:rPr>
          <w:rFonts w:asciiTheme="majorBidi" w:hAnsiTheme="majorBidi" w:cstheme="majorBidi"/>
        </w:rPr>
        <w:t>significant</w:t>
      </w:r>
      <w:r w:rsidR="00872380" w:rsidRPr="00E2338C">
        <w:rPr>
          <w:rFonts w:asciiTheme="majorBidi" w:hAnsiTheme="majorBidi" w:cstheme="majorBidi"/>
        </w:rPr>
        <w:t xml:space="preserve"> </w:t>
      </w:r>
      <w:r w:rsidR="00A220F3" w:rsidRPr="00E2338C">
        <w:rPr>
          <w:rFonts w:asciiTheme="majorBidi" w:hAnsiTheme="majorBidi" w:cstheme="majorBidi"/>
        </w:rPr>
        <w:t>global</w:t>
      </w:r>
      <w:r w:rsidR="00872380" w:rsidRPr="00E2338C">
        <w:rPr>
          <w:rFonts w:asciiTheme="majorBidi" w:hAnsiTheme="majorBidi" w:cstheme="majorBidi"/>
        </w:rPr>
        <w:t xml:space="preserve"> events </w:t>
      </w:r>
      <w:r w:rsidR="00A220F3" w:rsidRPr="00E2338C">
        <w:rPr>
          <w:rFonts w:asciiTheme="majorBidi" w:hAnsiTheme="majorBidi" w:cstheme="majorBidi"/>
        </w:rPr>
        <w:t>that</w:t>
      </w:r>
      <w:r w:rsidR="00872380" w:rsidRPr="00E2338C">
        <w:rPr>
          <w:rFonts w:asciiTheme="majorBidi" w:hAnsiTheme="majorBidi" w:cstheme="majorBidi"/>
        </w:rPr>
        <w:t xml:space="preserve"> occurred in 2022, led </w:t>
      </w:r>
      <w:r w:rsidR="00A220F3" w:rsidRPr="00E2338C">
        <w:rPr>
          <w:rFonts w:asciiTheme="majorBidi" w:hAnsiTheme="majorBidi" w:cstheme="majorBidi"/>
        </w:rPr>
        <w:t>to</w:t>
      </w:r>
      <w:r w:rsidR="00872380" w:rsidRPr="00E2338C">
        <w:rPr>
          <w:rFonts w:asciiTheme="majorBidi" w:hAnsiTheme="majorBidi" w:cstheme="majorBidi"/>
        </w:rPr>
        <w:t xml:space="preserve"> an </w:t>
      </w:r>
      <w:r w:rsidR="00006AB5" w:rsidRPr="00E2338C">
        <w:rPr>
          <w:rFonts w:asciiTheme="majorBidi" w:hAnsiTheme="majorBidi" w:cstheme="majorBidi"/>
        </w:rPr>
        <w:t xml:space="preserve">increase in the </w:t>
      </w:r>
      <w:r w:rsidR="00872380" w:rsidRPr="00E2338C">
        <w:rPr>
          <w:rFonts w:asciiTheme="majorBidi" w:hAnsiTheme="majorBidi" w:cstheme="majorBidi"/>
        </w:rPr>
        <w:t xml:space="preserve">inflation </w:t>
      </w:r>
      <w:proofErr w:type="gramStart"/>
      <w:r w:rsidR="00006AB5" w:rsidRPr="00E2338C">
        <w:rPr>
          <w:rFonts w:asciiTheme="majorBidi" w:hAnsiTheme="majorBidi" w:cstheme="majorBidi"/>
        </w:rPr>
        <w:t>rate</w:t>
      </w:r>
      <w:proofErr w:type="gramEnd"/>
      <w:r w:rsidR="00006AB5" w:rsidRPr="00E2338C">
        <w:rPr>
          <w:rFonts w:asciiTheme="majorBidi" w:hAnsiTheme="majorBidi" w:cstheme="majorBidi"/>
        </w:rPr>
        <w:t xml:space="preserve"> </w:t>
      </w:r>
      <w:r w:rsidR="00872380" w:rsidRPr="00E2338C">
        <w:rPr>
          <w:rFonts w:asciiTheme="majorBidi" w:hAnsiTheme="majorBidi" w:cstheme="majorBidi"/>
        </w:rPr>
        <w:t>worldwide. As a</w:t>
      </w:r>
      <w:r w:rsidR="00A220F3" w:rsidRPr="00E2338C">
        <w:rPr>
          <w:rFonts w:asciiTheme="majorBidi" w:hAnsiTheme="majorBidi" w:cstheme="majorBidi"/>
        </w:rPr>
        <w:t xml:space="preserve"> result</w:t>
      </w:r>
      <w:r w:rsidR="00872380" w:rsidRPr="00E2338C">
        <w:rPr>
          <w:rFonts w:asciiTheme="majorBidi" w:hAnsiTheme="majorBidi" w:cstheme="majorBidi"/>
        </w:rPr>
        <w:t xml:space="preserve">, </w:t>
      </w:r>
      <w:r w:rsidR="00A220F3" w:rsidRPr="00E2338C">
        <w:rPr>
          <w:rFonts w:asciiTheme="majorBidi" w:hAnsiTheme="majorBidi" w:cstheme="majorBidi"/>
        </w:rPr>
        <w:t>central</w:t>
      </w:r>
      <w:r w:rsidR="00872380" w:rsidRPr="00E2338C">
        <w:rPr>
          <w:rFonts w:asciiTheme="majorBidi" w:hAnsiTheme="majorBidi" w:cstheme="majorBidi"/>
        </w:rPr>
        <w:t xml:space="preserve"> banks raised interest rates </w:t>
      </w:r>
      <w:r w:rsidR="00A220F3" w:rsidRPr="00E2338C">
        <w:rPr>
          <w:rFonts w:asciiTheme="majorBidi" w:hAnsiTheme="majorBidi" w:cstheme="majorBidi"/>
        </w:rPr>
        <w:t>sharply</w:t>
      </w:r>
      <w:r w:rsidR="00872380" w:rsidRPr="00E2338C">
        <w:rPr>
          <w:rFonts w:asciiTheme="majorBidi" w:hAnsiTheme="majorBidi" w:cstheme="majorBidi"/>
        </w:rPr>
        <w:t xml:space="preserve">, </w:t>
      </w:r>
      <w:r w:rsidR="00A220F3" w:rsidRPr="00E2338C">
        <w:rPr>
          <w:rFonts w:asciiTheme="majorBidi" w:hAnsiTheme="majorBidi" w:cstheme="majorBidi"/>
        </w:rPr>
        <w:t>after</w:t>
      </w:r>
      <w:r w:rsidR="00872380" w:rsidRPr="00E2338C">
        <w:rPr>
          <w:rFonts w:asciiTheme="majorBidi" w:hAnsiTheme="majorBidi" w:cstheme="majorBidi"/>
        </w:rPr>
        <w:t xml:space="preserve"> many years in which they were at very low levels</w:t>
      </w:r>
      <w:r w:rsidR="00A220F3" w:rsidRPr="00E2338C">
        <w:rPr>
          <w:rFonts w:asciiTheme="majorBidi" w:hAnsiTheme="majorBidi" w:cstheme="majorBidi"/>
        </w:rPr>
        <w:t>.</w:t>
      </w:r>
      <w:r w:rsidR="00872380" w:rsidRPr="00E2338C">
        <w:rPr>
          <w:rFonts w:asciiTheme="majorBidi" w:hAnsiTheme="majorBidi" w:cstheme="majorBidi"/>
        </w:rPr>
        <w:t xml:space="preserve"> </w:t>
      </w:r>
      <w:r w:rsidR="00297AE8" w:rsidRPr="00E2338C">
        <w:rPr>
          <w:rFonts w:asciiTheme="majorBidi" w:hAnsiTheme="majorBidi" w:cstheme="majorBidi"/>
        </w:rPr>
        <w:t xml:space="preserve">There were also </w:t>
      </w:r>
      <w:r w:rsidR="00872380" w:rsidRPr="00E2338C">
        <w:rPr>
          <w:rFonts w:asciiTheme="majorBidi" w:hAnsiTheme="majorBidi" w:cstheme="majorBidi"/>
        </w:rPr>
        <w:t>steep declines</w:t>
      </w:r>
      <w:r w:rsidR="00936705" w:rsidRPr="00E2338C">
        <w:rPr>
          <w:rFonts w:asciiTheme="majorBidi" w:hAnsiTheme="majorBidi" w:cstheme="majorBidi"/>
        </w:rPr>
        <w:t xml:space="preserve"> </w:t>
      </w:r>
      <w:r w:rsidR="00872380" w:rsidRPr="00E2338C">
        <w:rPr>
          <w:rFonts w:asciiTheme="majorBidi" w:hAnsiTheme="majorBidi" w:cstheme="majorBidi"/>
        </w:rPr>
        <w:t xml:space="preserve">in the prices of </w:t>
      </w:r>
      <w:r w:rsidR="00936705" w:rsidRPr="00E2338C">
        <w:rPr>
          <w:rFonts w:asciiTheme="majorBidi" w:hAnsiTheme="majorBidi" w:cstheme="majorBidi"/>
        </w:rPr>
        <w:t>equities</w:t>
      </w:r>
      <w:r w:rsidR="009D30CA" w:rsidRPr="00E2338C">
        <w:rPr>
          <w:rFonts w:asciiTheme="majorBidi" w:hAnsiTheme="majorBidi" w:cstheme="majorBidi"/>
        </w:rPr>
        <w:t xml:space="preserve">, with considerable volatility, </w:t>
      </w:r>
      <w:r w:rsidR="00872380" w:rsidRPr="00E2338C">
        <w:rPr>
          <w:rFonts w:asciiTheme="majorBidi" w:hAnsiTheme="majorBidi" w:cstheme="majorBidi"/>
        </w:rPr>
        <w:t xml:space="preserve">and significant </w:t>
      </w:r>
      <w:r w:rsidR="00936705" w:rsidRPr="00E2338C">
        <w:rPr>
          <w:rFonts w:asciiTheme="majorBidi" w:hAnsiTheme="majorBidi" w:cstheme="majorBidi"/>
        </w:rPr>
        <w:t>increases</w:t>
      </w:r>
      <w:r w:rsidR="00872380" w:rsidRPr="00E2338C">
        <w:rPr>
          <w:rFonts w:asciiTheme="majorBidi" w:hAnsiTheme="majorBidi" w:cstheme="majorBidi"/>
        </w:rPr>
        <w:t xml:space="preserve"> in yield</w:t>
      </w:r>
      <w:r w:rsidR="00E57B81" w:rsidRPr="00E2338C">
        <w:rPr>
          <w:rFonts w:asciiTheme="majorBidi" w:hAnsiTheme="majorBidi" w:cstheme="majorBidi"/>
        </w:rPr>
        <w:t>s</w:t>
      </w:r>
      <w:r w:rsidR="00872380" w:rsidRPr="00E2338C">
        <w:rPr>
          <w:rFonts w:asciiTheme="majorBidi" w:hAnsiTheme="majorBidi" w:cstheme="majorBidi"/>
        </w:rPr>
        <w:t xml:space="preserve"> to mat</w:t>
      </w:r>
      <w:r w:rsidR="00936705" w:rsidRPr="00E2338C">
        <w:rPr>
          <w:rFonts w:asciiTheme="majorBidi" w:hAnsiTheme="majorBidi" w:cstheme="majorBidi"/>
        </w:rPr>
        <w:t xml:space="preserve">urity </w:t>
      </w:r>
      <w:r w:rsidR="00872380" w:rsidRPr="00E2338C">
        <w:rPr>
          <w:rFonts w:asciiTheme="majorBidi" w:hAnsiTheme="majorBidi" w:cstheme="majorBidi"/>
        </w:rPr>
        <w:t xml:space="preserve">on government bonds, </w:t>
      </w:r>
      <w:r w:rsidR="00936705" w:rsidRPr="00E2338C">
        <w:rPr>
          <w:rFonts w:asciiTheme="majorBidi" w:hAnsiTheme="majorBidi" w:cstheme="majorBidi"/>
        </w:rPr>
        <w:t>which</w:t>
      </w:r>
      <w:r w:rsidR="00872380" w:rsidRPr="00E2338C">
        <w:rPr>
          <w:rFonts w:asciiTheme="majorBidi" w:hAnsiTheme="majorBidi" w:cstheme="majorBidi"/>
        </w:rPr>
        <w:t xml:space="preserve"> </w:t>
      </w:r>
      <w:r w:rsidR="00E57B81" w:rsidRPr="00E2338C">
        <w:rPr>
          <w:rFonts w:asciiTheme="majorBidi" w:hAnsiTheme="majorBidi" w:cstheme="majorBidi"/>
        </w:rPr>
        <w:t>l</w:t>
      </w:r>
      <w:r w:rsidR="00872380" w:rsidRPr="00E2338C">
        <w:rPr>
          <w:rFonts w:asciiTheme="majorBidi" w:hAnsiTheme="majorBidi" w:cstheme="majorBidi"/>
        </w:rPr>
        <w:t xml:space="preserve">ed to </w:t>
      </w:r>
      <w:r w:rsidR="00936705" w:rsidRPr="00E2338C">
        <w:rPr>
          <w:rFonts w:asciiTheme="majorBidi" w:hAnsiTheme="majorBidi" w:cstheme="majorBidi"/>
        </w:rPr>
        <w:t>capital</w:t>
      </w:r>
      <w:r w:rsidR="00872380" w:rsidRPr="00E2338C">
        <w:rPr>
          <w:rFonts w:asciiTheme="majorBidi" w:hAnsiTheme="majorBidi" w:cstheme="majorBidi"/>
        </w:rPr>
        <w:t xml:space="preserve"> </w:t>
      </w:r>
      <w:r w:rsidR="00936705" w:rsidRPr="00E2338C">
        <w:rPr>
          <w:rFonts w:asciiTheme="majorBidi" w:hAnsiTheme="majorBidi" w:cstheme="majorBidi"/>
        </w:rPr>
        <w:t>losses</w:t>
      </w:r>
      <w:r w:rsidR="00872380" w:rsidRPr="00E2338C">
        <w:rPr>
          <w:rFonts w:asciiTheme="majorBidi" w:hAnsiTheme="majorBidi" w:cstheme="majorBidi"/>
        </w:rPr>
        <w:t xml:space="preserve"> for </w:t>
      </w:r>
      <w:proofErr w:type="gramStart"/>
      <w:r w:rsidR="00872380" w:rsidRPr="00E2338C">
        <w:rPr>
          <w:rFonts w:asciiTheme="majorBidi" w:hAnsiTheme="majorBidi" w:cstheme="majorBidi"/>
        </w:rPr>
        <w:t>those whi</w:t>
      </w:r>
      <w:r w:rsidR="00936705" w:rsidRPr="00E2338C">
        <w:rPr>
          <w:rFonts w:asciiTheme="majorBidi" w:hAnsiTheme="majorBidi" w:cstheme="majorBidi"/>
        </w:rPr>
        <w:t>ch</w:t>
      </w:r>
      <w:proofErr w:type="gramEnd"/>
      <w:r w:rsidR="00872380" w:rsidRPr="00E2338C">
        <w:rPr>
          <w:rFonts w:asciiTheme="majorBidi" w:hAnsiTheme="majorBidi" w:cstheme="majorBidi"/>
        </w:rPr>
        <w:t xml:space="preserve"> invested in </w:t>
      </w:r>
      <w:r w:rsidR="00936705" w:rsidRPr="00E2338C">
        <w:rPr>
          <w:rFonts w:asciiTheme="majorBidi" w:hAnsiTheme="majorBidi" w:cstheme="majorBidi"/>
        </w:rPr>
        <w:t>them</w:t>
      </w:r>
      <w:r w:rsidR="00872380" w:rsidRPr="00E2338C">
        <w:rPr>
          <w:rFonts w:asciiTheme="majorBidi" w:hAnsiTheme="majorBidi" w:cstheme="majorBidi"/>
        </w:rPr>
        <w:t>.</w:t>
      </w:r>
      <w:r w:rsidR="00936705" w:rsidRPr="00E2338C">
        <w:rPr>
          <w:rFonts w:asciiTheme="majorBidi" w:hAnsiTheme="majorBidi" w:cstheme="majorBidi"/>
        </w:rPr>
        <w:t xml:space="preserve"> These</w:t>
      </w:r>
      <w:r w:rsidR="00872380" w:rsidRPr="00E2338C">
        <w:rPr>
          <w:rFonts w:asciiTheme="majorBidi" w:hAnsiTheme="majorBidi" w:cstheme="majorBidi"/>
        </w:rPr>
        <w:t xml:space="preserve"> developments </w:t>
      </w:r>
      <w:proofErr w:type="gramStart"/>
      <w:r w:rsidR="00760A69" w:rsidRPr="00E2338C">
        <w:rPr>
          <w:rFonts w:asciiTheme="majorBidi" w:hAnsiTheme="majorBidi" w:cstheme="majorBidi"/>
        </w:rPr>
        <w:t>impacted</w:t>
      </w:r>
      <w:r w:rsidR="00872380" w:rsidRPr="00E2338C">
        <w:rPr>
          <w:rFonts w:asciiTheme="majorBidi" w:hAnsiTheme="majorBidi" w:cstheme="majorBidi"/>
        </w:rPr>
        <w:t xml:space="preserve"> on</w:t>
      </w:r>
      <w:proofErr w:type="gramEnd"/>
      <w:r w:rsidR="00872380" w:rsidRPr="00E2338C">
        <w:rPr>
          <w:rFonts w:asciiTheme="majorBidi" w:hAnsiTheme="majorBidi" w:cstheme="majorBidi"/>
        </w:rPr>
        <w:t xml:space="preserve"> </w:t>
      </w:r>
      <w:r w:rsidR="00890EC7" w:rsidRPr="00E2338C">
        <w:rPr>
          <w:rFonts w:asciiTheme="majorBidi" w:hAnsiTheme="majorBidi" w:cstheme="majorBidi"/>
        </w:rPr>
        <w:t>most types of financial assets, including assets in which the foreign exchange reserves are invested.</w:t>
      </w:r>
    </w:p>
    <w:p w14:paraId="2438F56D" w14:textId="53359AA0" w:rsidR="00872380" w:rsidRPr="00E2338C" w:rsidRDefault="00760A69" w:rsidP="00585B3D">
      <w:pPr>
        <w:pStyle w:val="aa"/>
        <w:spacing w:line="300" w:lineRule="atLeast"/>
        <w:ind w:left="426"/>
        <w:jc w:val="both"/>
        <w:rPr>
          <w:rFonts w:asciiTheme="majorBidi" w:hAnsiTheme="majorBidi" w:cstheme="majorBidi"/>
          <w:szCs w:val="24"/>
        </w:rPr>
      </w:pPr>
      <w:r w:rsidRPr="00E2338C">
        <w:rPr>
          <w:rFonts w:asciiTheme="majorBidi" w:hAnsiTheme="majorBidi" w:cstheme="majorBidi"/>
        </w:rPr>
        <w:t>In</w:t>
      </w:r>
      <w:r w:rsidR="00872380" w:rsidRPr="00E2338C">
        <w:rPr>
          <w:rFonts w:asciiTheme="majorBidi" w:hAnsiTheme="majorBidi" w:cstheme="majorBidi"/>
        </w:rPr>
        <w:t xml:space="preserve"> </w:t>
      </w:r>
      <w:r w:rsidRPr="00E2338C">
        <w:rPr>
          <w:rFonts w:asciiTheme="majorBidi" w:hAnsiTheme="majorBidi" w:cstheme="majorBidi"/>
        </w:rPr>
        <w:t>contrast</w:t>
      </w:r>
      <w:r w:rsidR="00872380" w:rsidRPr="00E2338C">
        <w:rPr>
          <w:rFonts w:asciiTheme="majorBidi" w:hAnsiTheme="majorBidi" w:cstheme="majorBidi"/>
        </w:rPr>
        <w:t xml:space="preserve">, a </w:t>
      </w:r>
      <w:r w:rsidRPr="00E2338C">
        <w:rPr>
          <w:rFonts w:asciiTheme="majorBidi" w:hAnsiTheme="majorBidi" w:cstheme="majorBidi"/>
        </w:rPr>
        <w:t>sharp</w:t>
      </w:r>
      <w:r w:rsidR="00872380" w:rsidRPr="00E2338C">
        <w:rPr>
          <w:rFonts w:asciiTheme="majorBidi" w:hAnsiTheme="majorBidi" w:cstheme="majorBidi"/>
        </w:rPr>
        <w:t xml:space="preserve"> depreciation of the </w:t>
      </w:r>
      <w:r w:rsidRPr="00E2338C">
        <w:rPr>
          <w:rFonts w:asciiTheme="majorBidi" w:hAnsiTheme="majorBidi" w:cstheme="majorBidi"/>
        </w:rPr>
        <w:t>shekel</w:t>
      </w:r>
      <w:r w:rsidR="00872380" w:rsidRPr="00E2338C">
        <w:rPr>
          <w:rFonts w:asciiTheme="majorBidi" w:hAnsiTheme="majorBidi" w:cstheme="majorBidi"/>
        </w:rPr>
        <w:t xml:space="preserve"> </w:t>
      </w:r>
      <w:r w:rsidR="00E300CF" w:rsidRPr="00E2338C">
        <w:rPr>
          <w:rFonts w:asciiTheme="majorBidi" w:hAnsiTheme="majorBidi" w:cstheme="majorBidi"/>
        </w:rPr>
        <w:t xml:space="preserve">against </w:t>
      </w:r>
      <w:r w:rsidR="00872380" w:rsidRPr="00E2338C">
        <w:rPr>
          <w:rFonts w:asciiTheme="majorBidi" w:hAnsiTheme="majorBidi" w:cstheme="majorBidi"/>
        </w:rPr>
        <w:t xml:space="preserve">the dollar and against most </w:t>
      </w:r>
      <w:r w:rsidRPr="00E2338C">
        <w:rPr>
          <w:rFonts w:asciiTheme="majorBidi" w:hAnsiTheme="majorBidi" w:cstheme="majorBidi"/>
        </w:rPr>
        <w:t>currencies</w:t>
      </w:r>
      <w:r w:rsidR="00872380" w:rsidRPr="00E2338C">
        <w:rPr>
          <w:rFonts w:asciiTheme="majorBidi" w:hAnsiTheme="majorBidi" w:cstheme="majorBidi"/>
        </w:rPr>
        <w:t xml:space="preserve"> in the reserves </w:t>
      </w:r>
      <w:r w:rsidRPr="00E2338C">
        <w:rPr>
          <w:rFonts w:asciiTheme="majorBidi" w:hAnsiTheme="majorBidi" w:cstheme="majorBidi"/>
        </w:rPr>
        <w:t>portfolio</w:t>
      </w:r>
      <w:r w:rsidR="00872380" w:rsidRPr="00E2338C">
        <w:rPr>
          <w:rFonts w:asciiTheme="majorBidi" w:hAnsiTheme="majorBidi" w:cstheme="majorBidi"/>
        </w:rPr>
        <w:t xml:space="preserve"> led </w:t>
      </w:r>
      <w:r w:rsidR="00E300CF" w:rsidRPr="00E2338C">
        <w:rPr>
          <w:rFonts w:asciiTheme="majorBidi" w:hAnsiTheme="majorBidi" w:cstheme="majorBidi"/>
        </w:rPr>
        <w:t xml:space="preserve">to high </w:t>
      </w:r>
      <w:r w:rsidR="00872380" w:rsidRPr="00E2338C">
        <w:rPr>
          <w:rFonts w:asciiTheme="majorBidi" w:hAnsiTheme="majorBidi" w:cstheme="majorBidi"/>
        </w:rPr>
        <w:t>profits fr</w:t>
      </w:r>
      <w:r w:rsidR="00E300CF" w:rsidRPr="00E2338C">
        <w:rPr>
          <w:rFonts w:asciiTheme="majorBidi" w:hAnsiTheme="majorBidi" w:cstheme="majorBidi"/>
        </w:rPr>
        <w:t>o</w:t>
      </w:r>
      <w:r w:rsidR="00872380" w:rsidRPr="00E2338C">
        <w:rPr>
          <w:rFonts w:asciiTheme="majorBidi" w:hAnsiTheme="majorBidi" w:cstheme="majorBidi"/>
        </w:rPr>
        <w:t xml:space="preserve">m exchange rate </w:t>
      </w:r>
      <w:r w:rsidR="0080701C" w:rsidRPr="00E2338C">
        <w:rPr>
          <w:rFonts w:asciiTheme="majorBidi" w:hAnsiTheme="majorBidi" w:cstheme="majorBidi"/>
        </w:rPr>
        <w:t>differentials.</w:t>
      </w:r>
    </w:p>
    <w:p w14:paraId="00C676FC" w14:textId="2F03EF13" w:rsidR="00872380" w:rsidRPr="00E2338C" w:rsidRDefault="00760A69" w:rsidP="00E96198">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rPr>
        <w:t>Expenses</w:t>
      </w:r>
      <w:r w:rsidR="00872380" w:rsidRPr="00E2338C">
        <w:rPr>
          <w:rFonts w:asciiTheme="majorBidi" w:hAnsiTheme="majorBidi" w:cstheme="majorBidi"/>
        </w:rPr>
        <w:t xml:space="preserve"> </w:t>
      </w:r>
      <w:r w:rsidRPr="00E2338C">
        <w:rPr>
          <w:rFonts w:asciiTheme="majorBidi" w:hAnsiTheme="majorBidi" w:cstheme="majorBidi"/>
        </w:rPr>
        <w:t>in</w:t>
      </w:r>
      <w:r w:rsidR="00872380" w:rsidRPr="00E2338C">
        <w:rPr>
          <w:rFonts w:asciiTheme="majorBidi" w:hAnsiTheme="majorBidi" w:cstheme="majorBidi"/>
        </w:rPr>
        <w:t xml:space="preserve"> respe</w:t>
      </w:r>
      <w:r w:rsidRPr="00E2338C">
        <w:rPr>
          <w:rFonts w:asciiTheme="majorBidi" w:hAnsiTheme="majorBidi" w:cstheme="majorBidi"/>
        </w:rPr>
        <w:t>ct</w:t>
      </w:r>
      <w:r w:rsidR="00872380" w:rsidRPr="00E2338C">
        <w:rPr>
          <w:rFonts w:asciiTheme="majorBidi" w:hAnsiTheme="majorBidi" w:cstheme="majorBidi"/>
        </w:rPr>
        <w:t xml:space="preserve"> of </w:t>
      </w:r>
      <w:r w:rsidR="00126B9E" w:rsidRPr="00E2338C">
        <w:rPr>
          <w:rFonts w:asciiTheme="majorBidi" w:hAnsiTheme="majorBidi" w:cstheme="majorBidi"/>
        </w:rPr>
        <w:t xml:space="preserve">foreign </w:t>
      </w:r>
      <w:r w:rsidR="00872380" w:rsidRPr="00E2338C">
        <w:rPr>
          <w:rFonts w:asciiTheme="majorBidi" w:hAnsiTheme="majorBidi" w:cstheme="majorBidi"/>
        </w:rPr>
        <w:t xml:space="preserve">currency </w:t>
      </w:r>
      <w:r w:rsidRPr="00E2338C">
        <w:rPr>
          <w:rFonts w:asciiTheme="majorBidi" w:hAnsiTheme="majorBidi" w:cstheme="majorBidi"/>
        </w:rPr>
        <w:t>activity</w:t>
      </w:r>
      <w:r w:rsidR="00872380" w:rsidRPr="00E2338C">
        <w:rPr>
          <w:rFonts w:asciiTheme="majorBidi" w:hAnsiTheme="majorBidi" w:cstheme="majorBidi"/>
        </w:rPr>
        <w:t xml:space="preserve"> </w:t>
      </w:r>
      <w:r w:rsidRPr="00E2338C">
        <w:rPr>
          <w:rFonts w:asciiTheme="majorBidi" w:hAnsiTheme="majorBidi" w:cstheme="majorBidi"/>
        </w:rPr>
        <w:t>abroad</w:t>
      </w:r>
      <w:r w:rsidR="00872380" w:rsidRPr="00E2338C">
        <w:rPr>
          <w:rFonts w:asciiTheme="majorBidi" w:hAnsiTheme="majorBidi" w:cstheme="majorBidi"/>
        </w:rPr>
        <w:t xml:space="preserve"> total</w:t>
      </w:r>
      <w:r w:rsidR="00503423" w:rsidRPr="00E2338C">
        <w:rPr>
          <w:rFonts w:asciiTheme="majorBidi" w:hAnsiTheme="majorBidi" w:cstheme="majorBidi"/>
        </w:rPr>
        <w:t>ed</w:t>
      </w:r>
      <w:r w:rsidR="00872380" w:rsidRPr="00E2338C">
        <w:rPr>
          <w:rFonts w:asciiTheme="majorBidi" w:hAnsiTheme="majorBidi" w:cstheme="majorBidi"/>
        </w:rPr>
        <w:t xml:space="preserve"> NIS 36.5 billion this year, most o</w:t>
      </w:r>
      <w:r w:rsidRPr="00E2338C">
        <w:rPr>
          <w:rFonts w:asciiTheme="majorBidi" w:hAnsiTheme="majorBidi" w:cstheme="majorBidi"/>
        </w:rPr>
        <w:t>f</w:t>
      </w:r>
      <w:r w:rsidR="00872380" w:rsidRPr="00E2338C">
        <w:rPr>
          <w:rFonts w:asciiTheme="majorBidi" w:hAnsiTheme="majorBidi" w:cstheme="majorBidi"/>
        </w:rPr>
        <w:t xml:space="preserve"> </w:t>
      </w:r>
      <w:r w:rsidRPr="00E2338C">
        <w:rPr>
          <w:rFonts w:asciiTheme="majorBidi" w:hAnsiTheme="majorBidi" w:cstheme="majorBidi"/>
        </w:rPr>
        <w:t>which</w:t>
      </w:r>
      <w:r w:rsidR="00872380" w:rsidRPr="00E2338C">
        <w:rPr>
          <w:rFonts w:asciiTheme="majorBidi" w:hAnsiTheme="majorBidi" w:cstheme="majorBidi"/>
        </w:rPr>
        <w:t xml:space="preserve"> </w:t>
      </w:r>
      <w:r w:rsidR="00E96198" w:rsidRPr="00E2338C">
        <w:rPr>
          <w:rFonts w:asciiTheme="majorBidi" w:hAnsiTheme="majorBidi" w:cstheme="majorBidi"/>
        </w:rPr>
        <w:t>was</w:t>
      </w:r>
      <w:r w:rsidRPr="00E2338C">
        <w:rPr>
          <w:rFonts w:asciiTheme="majorBidi" w:hAnsiTheme="majorBidi" w:cstheme="majorBidi"/>
        </w:rPr>
        <w:t xml:space="preserve"> f</w:t>
      </w:r>
      <w:r w:rsidR="00872380" w:rsidRPr="00E2338C">
        <w:rPr>
          <w:rFonts w:asciiTheme="majorBidi" w:hAnsiTheme="majorBidi" w:cstheme="majorBidi"/>
        </w:rPr>
        <w:t>r</w:t>
      </w:r>
      <w:r w:rsidRPr="00E2338C">
        <w:rPr>
          <w:rFonts w:asciiTheme="majorBidi" w:hAnsiTheme="majorBidi" w:cstheme="majorBidi"/>
        </w:rPr>
        <w:t>o</w:t>
      </w:r>
      <w:r w:rsidR="00872380" w:rsidRPr="00E2338C">
        <w:rPr>
          <w:rFonts w:asciiTheme="majorBidi" w:hAnsiTheme="majorBidi" w:cstheme="majorBidi"/>
        </w:rPr>
        <w:t>m a negative revaluation of</w:t>
      </w:r>
      <w:r w:rsidR="00022A98" w:rsidRPr="00E2338C">
        <w:rPr>
          <w:rFonts w:asciiTheme="majorBidi" w:hAnsiTheme="majorBidi" w:cstheme="majorBidi"/>
        </w:rPr>
        <w:t xml:space="preserve"> the </w:t>
      </w:r>
      <w:r w:rsidR="00872380" w:rsidRPr="00E2338C">
        <w:rPr>
          <w:rFonts w:asciiTheme="majorBidi" w:hAnsiTheme="majorBidi" w:cstheme="majorBidi"/>
        </w:rPr>
        <w:t xml:space="preserve">fair value  </w:t>
      </w:r>
      <w:r w:rsidR="005A0A87" w:rsidRPr="00E2338C">
        <w:rPr>
          <w:rFonts w:asciiTheme="majorBidi" w:hAnsiTheme="majorBidi" w:cstheme="majorBidi"/>
        </w:rPr>
        <w:t>of the fore</w:t>
      </w:r>
      <w:r w:rsidRPr="00E2338C">
        <w:rPr>
          <w:rFonts w:asciiTheme="majorBidi" w:hAnsiTheme="majorBidi" w:cstheme="majorBidi"/>
        </w:rPr>
        <w:t>i</w:t>
      </w:r>
      <w:r w:rsidR="005A0A87" w:rsidRPr="00E2338C">
        <w:rPr>
          <w:rFonts w:asciiTheme="majorBidi" w:hAnsiTheme="majorBidi" w:cstheme="majorBidi"/>
        </w:rPr>
        <w:t xml:space="preserve">gn </w:t>
      </w:r>
      <w:r w:rsidRPr="00E2338C">
        <w:rPr>
          <w:rFonts w:asciiTheme="majorBidi" w:hAnsiTheme="majorBidi" w:cstheme="majorBidi"/>
        </w:rPr>
        <w:t>exchange</w:t>
      </w:r>
      <w:r w:rsidR="005A0A87" w:rsidRPr="00E2338C">
        <w:rPr>
          <w:rFonts w:asciiTheme="majorBidi" w:hAnsiTheme="majorBidi" w:cstheme="majorBidi"/>
        </w:rPr>
        <w:t xml:space="preserve"> </w:t>
      </w:r>
      <w:r w:rsidRPr="00E2338C">
        <w:rPr>
          <w:rFonts w:asciiTheme="majorBidi" w:hAnsiTheme="majorBidi" w:cstheme="majorBidi"/>
        </w:rPr>
        <w:t>reserves</w:t>
      </w:r>
      <w:r w:rsidR="005A0A87" w:rsidRPr="00E2338C">
        <w:rPr>
          <w:rFonts w:asciiTheme="majorBidi" w:hAnsiTheme="majorBidi" w:cstheme="majorBidi"/>
        </w:rPr>
        <w:t xml:space="preserve">, a </w:t>
      </w:r>
      <w:r w:rsidRPr="00E2338C">
        <w:rPr>
          <w:rFonts w:asciiTheme="majorBidi" w:hAnsiTheme="majorBidi" w:cstheme="majorBidi"/>
        </w:rPr>
        <w:t>result</w:t>
      </w:r>
      <w:r w:rsidR="005A0A87" w:rsidRPr="00E2338C">
        <w:rPr>
          <w:rFonts w:asciiTheme="majorBidi" w:hAnsiTheme="majorBidi" w:cstheme="majorBidi"/>
        </w:rPr>
        <w:t xml:space="preserve"> of the steep </w:t>
      </w:r>
      <w:r w:rsidRPr="00E2338C">
        <w:rPr>
          <w:rFonts w:asciiTheme="majorBidi" w:hAnsiTheme="majorBidi" w:cstheme="majorBidi"/>
        </w:rPr>
        <w:t>declines</w:t>
      </w:r>
      <w:r w:rsidR="005A0A87" w:rsidRPr="00E2338C">
        <w:rPr>
          <w:rFonts w:asciiTheme="majorBidi" w:hAnsiTheme="majorBidi" w:cstheme="majorBidi"/>
        </w:rPr>
        <w:t xml:space="preserve"> in bond and </w:t>
      </w:r>
      <w:r w:rsidRPr="00E2338C">
        <w:rPr>
          <w:rFonts w:asciiTheme="majorBidi" w:hAnsiTheme="majorBidi" w:cstheme="majorBidi"/>
        </w:rPr>
        <w:t>equit</w:t>
      </w:r>
      <w:r w:rsidR="00E96198" w:rsidRPr="00E2338C">
        <w:rPr>
          <w:rFonts w:asciiTheme="majorBidi" w:hAnsiTheme="majorBidi" w:cstheme="majorBidi"/>
        </w:rPr>
        <w:t xml:space="preserve">y prices </w:t>
      </w:r>
      <w:r w:rsidRPr="00E2338C">
        <w:rPr>
          <w:rFonts w:asciiTheme="majorBidi" w:hAnsiTheme="majorBidi" w:cstheme="majorBidi"/>
        </w:rPr>
        <w:t>worldwide</w:t>
      </w:r>
      <w:r w:rsidR="005A0A87" w:rsidRPr="00E2338C">
        <w:rPr>
          <w:rFonts w:asciiTheme="majorBidi" w:hAnsiTheme="majorBidi" w:cstheme="majorBidi"/>
        </w:rPr>
        <w:t>. In con</w:t>
      </w:r>
      <w:r w:rsidRPr="00E2338C">
        <w:rPr>
          <w:rFonts w:asciiTheme="majorBidi" w:hAnsiTheme="majorBidi" w:cstheme="majorBidi"/>
        </w:rPr>
        <w:t>tr</w:t>
      </w:r>
      <w:r w:rsidR="005A0A87" w:rsidRPr="00E2338C">
        <w:rPr>
          <w:rFonts w:asciiTheme="majorBidi" w:hAnsiTheme="majorBidi" w:cstheme="majorBidi"/>
        </w:rPr>
        <w:t xml:space="preserve">ast, there was an </w:t>
      </w:r>
      <w:r w:rsidRPr="00E2338C">
        <w:rPr>
          <w:rFonts w:asciiTheme="majorBidi" w:hAnsiTheme="majorBidi" w:cstheme="majorBidi"/>
        </w:rPr>
        <w:t>increase</w:t>
      </w:r>
      <w:r w:rsidR="005A0A87" w:rsidRPr="00E2338C">
        <w:rPr>
          <w:rFonts w:asciiTheme="majorBidi" w:hAnsiTheme="majorBidi" w:cstheme="majorBidi"/>
        </w:rPr>
        <w:t xml:space="preserve"> in interest income from </w:t>
      </w:r>
      <w:r w:rsidRPr="00E2338C">
        <w:rPr>
          <w:rFonts w:asciiTheme="majorBidi" w:hAnsiTheme="majorBidi" w:cstheme="majorBidi"/>
        </w:rPr>
        <w:t>the</w:t>
      </w:r>
      <w:r w:rsidR="005A0A87" w:rsidRPr="00E2338C">
        <w:rPr>
          <w:rFonts w:asciiTheme="majorBidi" w:hAnsiTheme="majorBidi" w:cstheme="majorBidi"/>
        </w:rPr>
        <w:t xml:space="preserve"> reserves, due to </w:t>
      </w:r>
      <w:r w:rsidR="00503423" w:rsidRPr="00E2338C">
        <w:rPr>
          <w:rFonts w:asciiTheme="majorBidi" w:hAnsiTheme="majorBidi" w:cstheme="majorBidi"/>
        </w:rPr>
        <w:t xml:space="preserve">an </w:t>
      </w:r>
      <w:r w:rsidR="005A0A87" w:rsidRPr="00E2338C">
        <w:rPr>
          <w:rFonts w:asciiTheme="majorBidi" w:hAnsiTheme="majorBidi" w:cstheme="majorBidi"/>
        </w:rPr>
        <w:t xml:space="preserve">increase in interest rates </w:t>
      </w:r>
      <w:r w:rsidR="00503423" w:rsidRPr="00E2338C">
        <w:rPr>
          <w:rFonts w:asciiTheme="majorBidi" w:hAnsiTheme="majorBidi" w:cstheme="majorBidi"/>
        </w:rPr>
        <w:t xml:space="preserve">around </w:t>
      </w:r>
      <w:r w:rsidR="005A0A87" w:rsidRPr="00E2338C">
        <w:rPr>
          <w:rFonts w:asciiTheme="majorBidi" w:hAnsiTheme="majorBidi" w:cstheme="majorBidi"/>
        </w:rPr>
        <w:t>the world.</w:t>
      </w:r>
    </w:p>
    <w:p w14:paraId="00D2AE15" w14:textId="3DAFDEFB" w:rsidR="00AB02DF" w:rsidRPr="00E2338C" w:rsidRDefault="006F135C" w:rsidP="006F135C">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szCs w:val="24"/>
        </w:rPr>
        <w:t>Interest expenses in respect of activity in Israel totaled NIS 5.5 billion, against the background of an increase in the shekel interest rate this year.</w:t>
      </w:r>
    </w:p>
    <w:p w14:paraId="4234E6E7" w14:textId="0269F052" w:rsidR="00E93668" w:rsidRPr="00E2338C" w:rsidRDefault="00E93668" w:rsidP="00ED79D7">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rPr>
        <w:t>The Bank’s balance sheet at the end of 202</w:t>
      </w:r>
      <w:r w:rsidR="00ED79D7" w:rsidRPr="00E2338C">
        <w:rPr>
          <w:rFonts w:asciiTheme="majorBidi" w:hAnsiTheme="majorBidi" w:cstheme="majorBidi"/>
        </w:rPr>
        <w:t>2</w:t>
      </w:r>
      <w:r w:rsidRPr="00E2338C">
        <w:rPr>
          <w:rFonts w:asciiTheme="majorBidi" w:hAnsiTheme="majorBidi" w:cstheme="majorBidi"/>
        </w:rPr>
        <w:t xml:space="preserve"> totaled NIS </w:t>
      </w:r>
      <w:r w:rsidR="00ED79D7" w:rsidRPr="00E2338C">
        <w:rPr>
          <w:rFonts w:asciiTheme="majorBidi" w:hAnsiTheme="majorBidi" w:cstheme="majorBidi"/>
        </w:rPr>
        <w:t xml:space="preserve">826.3 </w:t>
      </w:r>
      <w:r w:rsidRPr="00E2338C">
        <w:rPr>
          <w:rFonts w:asciiTheme="majorBidi" w:hAnsiTheme="majorBidi" w:cstheme="majorBidi"/>
        </w:rPr>
        <w:t xml:space="preserve">billion, an increase of approximately NIS </w:t>
      </w:r>
      <w:r w:rsidR="00ED79D7" w:rsidRPr="00E2338C">
        <w:rPr>
          <w:rFonts w:asciiTheme="majorBidi" w:hAnsiTheme="majorBidi" w:cstheme="majorBidi"/>
        </w:rPr>
        <w:t xml:space="preserve">17 </w:t>
      </w:r>
      <w:r w:rsidRPr="00E2338C">
        <w:rPr>
          <w:rFonts w:asciiTheme="majorBidi" w:hAnsiTheme="majorBidi" w:cstheme="majorBidi"/>
        </w:rPr>
        <w:t>billion (2</w:t>
      </w:r>
      <w:r w:rsidR="00ED79D7" w:rsidRPr="00E2338C">
        <w:rPr>
          <w:rFonts w:asciiTheme="majorBidi" w:hAnsiTheme="majorBidi" w:cstheme="majorBidi"/>
        </w:rPr>
        <w:t xml:space="preserve"> </w:t>
      </w:r>
      <w:r w:rsidRPr="00E2338C">
        <w:rPr>
          <w:rFonts w:asciiTheme="majorBidi" w:hAnsiTheme="majorBidi" w:cstheme="majorBidi"/>
        </w:rPr>
        <w:t>percent)</w:t>
      </w:r>
      <w:r w:rsidR="00ED79D7" w:rsidRPr="00E2338C">
        <w:rPr>
          <w:rFonts w:asciiTheme="majorBidi" w:hAnsiTheme="majorBidi" w:cstheme="majorBidi"/>
        </w:rPr>
        <w:t xml:space="preserve"> compared to its 2021 level.</w:t>
      </w:r>
    </w:p>
    <w:p w14:paraId="154225E8" w14:textId="1DA72EF0" w:rsidR="00934376" w:rsidRPr="00E2338C" w:rsidRDefault="00934376" w:rsidP="00D51D25">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rPr>
        <w:t>Most of the growth on the assets side derived from the increase in the shekel value of the assets i</w:t>
      </w:r>
      <w:r w:rsidR="000A79AA" w:rsidRPr="00E2338C">
        <w:rPr>
          <w:rFonts w:asciiTheme="majorBidi" w:hAnsiTheme="majorBidi" w:cstheme="majorBidi"/>
        </w:rPr>
        <w:t>n the foreign exchange reserves, due to the depreciation of the shekel during the year</w:t>
      </w:r>
      <w:r w:rsidR="00D51D25" w:rsidRPr="00E2338C">
        <w:rPr>
          <w:rFonts w:asciiTheme="majorBidi" w:hAnsiTheme="majorBidi" w:cstheme="majorBidi"/>
        </w:rPr>
        <w:t xml:space="preserve"> </w:t>
      </w:r>
      <w:r w:rsidR="000A79AA" w:rsidRPr="00E2338C">
        <w:rPr>
          <w:rFonts w:asciiTheme="majorBidi" w:hAnsiTheme="majorBidi" w:cstheme="majorBidi"/>
        </w:rPr>
        <w:t>against most foreign currencies in the reserves portfolio.</w:t>
      </w:r>
    </w:p>
    <w:p w14:paraId="31C06F5A" w14:textId="5A3A6764" w:rsidR="00007AD8" w:rsidRPr="00E2338C" w:rsidRDefault="00007AD8" w:rsidP="00126B9E">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rPr>
        <w:lastRenderedPageBreak/>
        <w:t xml:space="preserve">The Bank’s liabilities balance totaled approximately NIS 873.8 billion at the end of 2022, similar to 2021 (an increase of NIS 0.9 </w:t>
      </w:r>
      <w:proofErr w:type="gramStart"/>
      <w:r w:rsidRPr="00E2338C">
        <w:rPr>
          <w:rFonts w:asciiTheme="majorBidi" w:hAnsiTheme="majorBidi" w:cstheme="majorBidi"/>
        </w:rPr>
        <w:t>billion</w:t>
      </w:r>
      <w:proofErr w:type="gramEnd"/>
      <w:r w:rsidRPr="00E2338C">
        <w:rPr>
          <w:rFonts w:asciiTheme="majorBidi" w:hAnsiTheme="majorBidi" w:cstheme="majorBidi"/>
        </w:rPr>
        <w:t>, or 0.1 percent, compared to 2021).</w:t>
      </w:r>
      <w:r w:rsidR="003F0FDD" w:rsidRPr="00E2338C">
        <w:rPr>
          <w:rFonts w:asciiTheme="majorBidi" w:hAnsiTheme="majorBidi" w:cstheme="majorBidi"/>
        </w:rPr>
        <w:t xml:space="preserve"> This was in view of the end of the market</w:t>
      </w:r>
      <w:r w:rsidR="00126B9E" w:rsidRPr="00E2338C">
        <w:rPr>
          <w:rFonts w:asciiTheme="majorBidi" w:hAnsiTheme="majorBidi" w:cstheme="majorBidi"/>
        </w:rPr>
        <w:t xml:space="preserve"> </w:t>
      </w:r>
      <w:r w:rsidR="003F0FDD" w:rsidRPr="00E2338C">
        <w:rPr>
          <w:rFonts w:asciiTheme="majorBidi" w:hAnsiTheme="majorBidi" w:cstheme="majorBidi"/>
        </w:rPr>
        <w:t>intervention programs</w:t>
      </w:r>
      <w:r w:rsidR="00970321" w:rsidRPr="00E2338C">
        <w:rPr>
          <w:rFonts w:asciiTheme="majorBidi" w:hAnsiTheme="majorBidi" w:cstheme="majorBidi"/>
        </w:rPr>
        <w:t xml:space="preserve">, reflected in a significant increase in </w:t>
      </w:r>
      <w:r w:rsidR="00F53494" w:rsidRPr="00E2338C">
        <w:rPr>
          <w:rFonts w:asciiTheme="majorBidi" w:hAnsiTheme="majorBidi" w:cstheme="majorBidi"/>
        </w:rPr>
        <w:t xml:space="preserve">monetary </w:t>
      </w:r>
      <w:r w:rsidR="00970321" w:rsidRPr="00E2338C">
        <w:rPr>
          <w:rFonts w:asciiTheme="majorBidi" w:hAnsiTheme="majorBidi" w:cstheme="majorBidi"/>
        </w:rPr>
        <w:t xml:space="preserve">absorption </w:t>
      </w:r>
      <w:r w:rsidR="00F53494" w:rsidRPr="00E2338C">
        <w:rPr>
          <w:rFonts w:asciiTheme="majorBidi" w:hAnsiTheme="majorBidi" w:cstheme="majorBidi"/>
        </w:rPr>
        <w:t xml:space="preserve">instruments </w:t>
      </w:r>
      <w:r w:rsidR="00970321" w:rsidRPr="00E2338C">
        <w:rPr>
          <w:rFonts w:asciiTheme="majorBidi" w:hAnsiTheme="majorBidi" w:cstheme="majorBidi"/>
        </w:rPr>
        <w:t>in 2020–21.</w:t>
      </w:r>
    </w:p>
    <w:p w14:paraId="3A2FBB40" w14:textId="40FF5F50" w:rsidR="00970321" w:rsidRPr="00E2338C" w:rsidRDefault="000D472F" w:rsidP="000D472F">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szCs w:val="24"/>
        </w:rPr>
        <w:t>The capital deficit and the revaluation funds contracted in the year, totaling NIS 47.5 billion at the end of 2022, compared to NIS 63.5 billion at the end of 2021, the result of the profit recorded this year.</w:t>
      </w:r>
    </w:p>
    <w:p w14:paraId="1FF845C0" w14:textId="6351E5FB" w:rsidR="00937E97" w:rsidRPr="00E2338C" w:rsidRDefault="00937E97" w:rsidP="004232B5">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szCs w:val="24"/>
        </w:rPr>
        <w:t xml:space="preserve">The revaluation funds, which </w:t>
      </w:r>
      <w:r w:rsidR="00126B9E" w:rsidRPr="00E2338C">
        <w:rPr>
          <w:rFonts w:asciiTheme="majorBidi" w:hAnsiTheme="majorBidi" w:cstheme="majorBidi"/>
          <w:szCs w:val="24"/>
        </w:rPr>
        <w:t xml:space="preserve">primarily </w:t>
      </w:r>
      <w:r w:rsidRPr="00E2338C">
        <w:rPr>
          <w:rFonts w:asciiTheme="majorBidi" w:hAnsiTheme="majorBidi" w:cstheme="majorBidi"/>
          <w:szCs w:val="24"/>
        </w:rPr>
        <w:t>include unrealized profits included in the Bank’s net income in accordance with law, totaled NIS 73.7 billion this year.</w:t>
      </w:r>
      <w:r w:rsidR="001D1D79" w:rsidRPr="00E2338C">
        <w:rPr>
          <w:rFonts w:asciiTheme="majorBidi" w:hAnsiTheme="majorBidi" w:cstheme="majorBidi"/>
          <w:szCs w:val="24"/>
        </w:rPr>
        <w:t xml:space="preserve"> </w:t>
      </w:r>
      <w:r w:rsidR="00072FC8" w:rsidRPr="00E2338C">
        <w:rPr>
          <w:rFonts w:asciiTheme="majorBidi" w:hAnsiTheme="majorBidi" w:cstheme="majorBidi"/>
          <w:szCs w:val="24"/>
        </w:rPr>
        <w:t xml:space="preserve">Most of the balance, a total of NIS 57 billion, derives from the revaluation fund in respect of </w:t>
      </w:r>
      <w:r w:rsidR="00E94185" w:rsidRPr="00E2338C">
        <w:rPr>
          <w:rFonts w:asciiTheme="majorBidi" w:hAnsiTheme="majorBidi" w:cstheme="majorBidi"/>
          <w:szCs w:val="24"/>
        </w:rPr>
        <w:t>un</w:t>
      </w:r>
      <w:r w:rsidR="00072FC8" w:rsidRPr="00E2338C">
        <w:rPr>
          <w:rFonts w:asciiTheme="majorBidi" w:hAnsiTheme="majorBidi" w:cstheme="majorBidi"/>
          <w:szCs w:val="24"/>
        </w:rPr>
        <w:t xml:space="preserve">realized exchange rate differentials </w:t>
      </w:r>
      <w:r w:rsidR="00E94185" w:rsidRPr="00E2338C">
        <w:rPr>
          <w:rFonts w:asciiTheme="majorBidi" w:hAnsiTheme="majorBidi" w:cstheme="majorBidi"/>
          <w:szCs w:val="24"/>
        </w:rPr>
        <w:t xml:space="preserve">on the balances denominated in foreign currency, and NIS 19 billion </w:t>
      </w:r>
      <w:r w:rsidR="00940221" w:rsidRPr="00E2338C">
        <w:rPr>
          <w:rFonts w:asciiTheme="majorBidi" w:hAnsiTheme="majorBidi" w:cstheme="majorBidi"/>
          <w:szCs w:val="24"/>
        </w:rPr>
        <w:t xml:space="preserve">that </w:t>
      </w:r>
      <w:r w:rsidR="00E94185" w:rsidRPr="00E2338C">
        <w:rPr>
          <w:rFonts w:asciiTheme="majorBidi" w:hAnsiTheme="majorBidi" w:cstheme="majorBidi"/>
          <w:szCs w:val="24"/>
        </w:rPr>
        <w:t>originated in the revaluation fund</w:t>
      </w:r>
      <w:r w:rsidR="004232B5" w:rsidRPr="00E2338C">
        <w:rPr>
          <w:rFonts w:asciiTheme="majorBidi" w:hAnsiTheme="majorBidi" w:cstheme="majorBidi"/>
          <w:szCs w:val="24"/>
        </w:rPr>
        <w:t xml:space="preserve"> </w:t>
      </w:r>
      <w:r w:rsidR="00E94185" w:rsidRPr="00E2338C">
        <w:rPr>
          <w:rFonts w:asciiTheme="majorBidi" w:hAnsiTheme="majorBidi" w:cstheme="majorBidi"/>
          <w:szCs w:val="24"/>
        </w:rPr>
        <w:t>from adjustments to fair value, most of which were unrealized profits in respect of equities that accumulated in previous years.</w:t>
      </w:r>
    </w:p>
    <w:p w14:paraId="63FCDF08" w14:textId="68785E25" w:rsidR="00934376" w:rsidRPr="00E2338C" w:rsidRDefault="000517DC" w:rsidP="00D075CE">
      <w:pPr>
        <w:pStyle w:val="aa"/>
        <w:numPr>
          <w:ilvl w:val="0"/>
          <w:numId w:val="5"/>
        </w:numPr>
        <w:spacing w:line="300" w:lineRule="atLeast"/>
        <w:ind w:left="426"/>
        <w:jc w:val="both"/>
        <w:rPr>
          <w:rFonts w:asciiTheme="majorBidi" w:hAnsiTheme="majorBidi" w:cstheme="majorBidi"/>
          <w:szCs w:val="24"/>
        </w:rPr>
      </w:pPr>
      <w:r w:rsidRPr="00E2338C">
        <w:rPr>
          <w:rFonts w:asciiTheme="majorBidi" w:hAnsiTheme="majorBidi" w:cstheme="majorBidi"/>
          <w:szCs w:val="24"/>
        </w:rPr>
        <w:t>The capital deficit in accordance with the Bank of Israel Law, 5770-2010, which does not include unrealized profits attributed to the revaluation funds, was NIS 121.1 billion in 2022, an increase of approximately NIS 21.5 billion compared with 2021.</w:t>
      </w:r>
    </w:p>
    <w:sectPr w:rsidR="00934376" w:rsidRPr="00E2338C" w:rsidSect="00D114C9">
      <w:footerReference w:type="default" r:id="rId9"/>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00EF" w14:textId="77777777" w:rsidR="007E7C95" w:rsidRDefault="007E7C95" w:rsidP="00E64B36">
      <w:r>
        <w:separator/>
      </w:r>
    </w:p>
  </w:endnote>
  <w:endnote w:type="continuationSeparator" w:id="0">
    <w:p w14:paraId="0F5C859E" w14:textId="77777777" w:rsidR="007E7C95" w:rsidRDefault="007E7C95"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36ED" w14:textId="0A8F189D" w:rsidR="00B96022" w:rsidRPr="00986270" w:rsidRDefault="00B96022" w:rsidP="00EB0782">
    <w:pPr>
      <w:bidi w:val="0"/>
      <w:ind w:right="-52"/>
      <w:rPr>
        <w:b/>
        <w:bCs/>
        <w:sz w:val="26"/>
        <w:szCs w:val="26"/>
        <w:u w:val="single"/>
        <w:rtl/>
        <w: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344C" w14:textId="77777777" w:rsidR="007E7C95" w:rsidRDefault="007E7C95" w:rsidP="00E64B36">
      <w:r>
        <w:separator/>
      </w:r>
    </w:p>
  </w:footnote>
  <w:footnote w:type="continuationSeparator" w:id="0">
    <w:p w14:paraId="5922004F" w14:textId="77777777" w:rsidR="007E7C95" w:rsidRDefault="007E7C95" w:rsidP="00E6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5C20"/>
    <w:multiLevelType w:val="hybridMultilevel"/>
    <w:tmpl w:val="06309BCE"/>
    <w:lvl w:ilvl="0" w:tplc="04090001">
      <w:start w:val="1"/>
      <w:numFmt w:val="bullet"/>
      <w:lvlText w:val=""/>
      <w:lvlJc w:val="left"/>
      <w:pPr>
        <w:ind w:left="654" w:hanging="360"/>
      </w:pPr>
      <w:rPr>
        <w:rFonts w:ascii="Symbol" w:hAnsi="Symbol" w:hint="default"/>
      </w:rPr>
    </w:lvl>
    <w:lvl w:ilvl="1" w:tplc="04090003">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24CA"/>
    <w:rsid w:val="00006AB5"/>
    <w:rsid w:val="00007AD8"/>
    <w:rsid w:val="00007FFE"/>
    <w:rsid w:val="0001385E"/>
    <w:rsid w:val="0001413F"/>
    <w:rsid w:val="00016984"/>
    <w:rsid w:val="00022A98"/>
    <w:rsid w:val="00022DA8"/>
    <w:rsid w:val="00033569"/>
    <w:rsid w:val="00051247"/>
    <w:rsid w:val="000517DC"/>
    <w:rsid w:val="000526A0"/>
    <w:rsid w:val="0005726E"/>
    <w:rsid w:val="00066660"/>
    <w:rsid w:val="00072FC8"/>
    <w:rsid w:val="000A4447"/>
    <w:rsid w:val="000A520E"/>
    <w:rsid w:val="000A79AA"/>
    <w:rsid w:val="000C41CB"/>
    <w:rsid w:val="000C476B"/>
    <w:rsid w:val="000C4933"/>
    <w:rsid w:val="000C710C"/>
    <w:rsid w:val="000D472F"/>
    <w:rsid w:val="000F48F6"/>
    <w:rsid w:val="000F4BF2"/>
    <w:rsid w:val="001001A2"/>
    <w:rsid w:val="00101B55"/>
    <w:rsid w:val="00126B9E"/>
    <w:rsid w:val="00130245"/>
    <w:rsid w:val="001428C4"/>
    <w:rsid w:val="00143F3A"/>
    <w:rsid w:val="00151D84"/>
    <w:rsid w:val="00160B25"/>
    <w:rsid w:val="00162F5E"/>
    <w:rsid w:val="00164818"/>
    <w:rsid w:val="00166888"/>
    <w:rsid w:val="00170202"/>
    <w:rsid w:val="001815E1"/>
    <w:rsid w:val="00182CF0"/>
    <w:rsid w:val="00184AA9"/>
    <w:rsid w:val="00184D01"/>
    <w:rsid w:val="00190AB8"/>
    <w:rsid w:val="001963C6"/>
    <w:rsid w:val="001A6A56"/>
    <w:rsid w:val="001B4E73"/>
    <w:rsid w:val="001C1BC1"/>
    <w:rsid w:val="001C388F"/>
    <w:rsid w:val="001C71E8"/>
    <w:rsid w:val="001D1D79"/>
    <w:rsid w:val="001D381C"/>
    <w:rsid w:val="001F57DE"/>
    <w:rsid w:val="00202E77"/>
    <w:rsid w:val="002111FE"/>
    <w:rsid w:val="0021137D"/>
    <w:rsid w:val="002117DC"/>
    <w:rsid w:val="0021327F"/>
    <w:rsid w:val="0021631B"/>
    <w:rsid w:val="002235F5"/>
    <w:rsid w:val="00226569"/>
    <w:rsid w:val="002271A2"/>
    <w:rsid w:val="00237CE5"/>
    <w:rsid w:val="00247387"/>
    <w:rsid w:val="00252C62"/>
    <w:rsid w:val="00273AE1"/>
    <w:rsid w:val="00281C70"/>
    <w:rsid w:val="00283FB7"/>
    <w:rsid w:val="00284417"/>
    <w:rsid w:val="0029640A"/>
    <w:rsid w:val="00297100"/>
    <w:rsid w:val="00297AE8"/>
    <w:rsid w:val="002A0D2A"/>
    <w:rsid w:val="002B48CC"/>
    <w:rsid w:val="002C5D66"/>
    <w:rsid w:val="002D02FA"/>
    <w:rsid w:val="002D0996"/>
    <w:rsid w:val="002F7EEF"/>
    <w:rsid w:val="0030279B"/>
    <w:rsid w:val="003129D6"/>
    <w:rsid w:val="003136EE"/>
    <w:rsid w:val="00321832"/>
    <w:rsid w:val="00322E89"/>
    <w:rsid w:val="00326D58"/>
    <w:rsid w:val="003365E0"/>
    <w:rsid w:val="00336FDE"/>
    <w:rsid w:val="00344E60"/>
    <w:rsid w:val="00353800"/>
    <w:rsid w:val="00360B5C"/>
    <w:rsid w:val="00364C08"/>
    <w:rsid w:val="003657D5"/>
    <w:rsid w:val="003727EE"/>
    <w:rsid w:val="003772AF"/>
    <w:rsid w:val="00385CB3"/>
    <w:rsid w:val="00387840"/>
    <w:rsid w:val="0039059D"/>
    <w:rsid w:val="00390CA5"/>
    <w:rsid w:val="003A335C"/>
    <w:rsid w:val="003A3813"/>
    <w:rsid w:val="003A5633"/>
    <w:rsid w:val="003B034E"/>
    <w:rsid w:val="003B39ED"/>
    <w:rsid w:val="003B715F"/>
    <w:rsid w:val="003B7DC3"/>
    <w:rsid w:val="003C7815"/>
    <w:rsid w:val="003D6F31"/>
    <w:rsid w:val="003D7860"/>
    <w:rsid w:val="003E3F4C"/>
    <w:rsid w:val="003E4823"/>
    <w:rsid w:val="003F0FDD"/>
    <w:rsid w:val="003F2739"/>
    <w:rsid w:val="003F56DC"/>
    <w:rsid w:val="00403D99"/>
    <w:rsid w:val="00411BA4"/>
    <w:rsid w:val="00412846"/>
    <w:rsid w:val="00413339"/>
    <w:rsid w:val="004147FC"/>
    <w:rsid w:val="004232B5"/>
    <w:rsid w:val="00430365"/>
    <w:rsid w:val="004309C6"/>
    <w:rsid w:val="0043204C"/>
    <w:rsid w:val="00440CCB"/>
    <w:rsid w:val="00443044"/>
    <w:rsid w:val="00445B15"/>
    <w:rsid w:val="00447E5A"/>
    <w:rsid w:val="0046455D"/>
    <w:rsid w:val="00474107"/>
    <w:rsid w:val="00482E08"/>
    <w:rsid w:val="00492391"/>
    <w:rsid w:val="00497ECA"/>
    <w:rsid w:val="004A20A5"/>
    <w:rsid w:val="004B5C69"/>
    <w:rsid w:val="004D32A7"/>
    <w:rsid w:val="004D5D6F"/>
    <w:rsid w:val="004E25DD"/>
    <w:rsid w:val="004E4AEC"/>
    <w:rsid w:val="0050183E"/>
    <w:rsid w:val="00503423"/>
    <w:rsid w:val="00513B9F"/>
    <w:rsid w:val="00514B9B"/>
    <w:rsid w:val="005207F7"/>
    <w:rsid w:val="005221FC"/>
    <w:rsid w:val="005406F8"/>
    <w:rsid w:val="00540B03"/>
    <w:rsid w:val="005462D0"/>
    <w:rsid w:val="0055455A"/>
    <w:rsid w:val="00555C8A"/>
    <w:rsid w:val="005576E1"/>
    <w:rsid w:val="00567B00"/>
    <w:rsid w:val="005713A8"/>
    <w:rsid w:val="00574B7C"/>
    <w:rsid w:val="00583DAD"/>
    <w:rsid w:val="00585B3D"/>
    <w:rsid w:val="005866CF"/>
    <w:rsid w:val="0059277F"/>
    <w:rsid w:val="00596FB4"/>
    <w:rsid w:val="00597EED"/>
    <w:rsid w:val="005A0A87"/>
    <w:rsid w:val="005A2991"/>
    <w:rsid w:val="005B4465"/>
    <w:rsid w:val="005C0442"/>
    <w:rsid w:val="005C4B3E"/>
    <w:rsid w:val="005D02C7"/>
    <w:rsid w:val="005D0AF8"/>
    <w:rsid w:val="005D42E1"/>
    <w:rsid w:val="005D6166"/>
    <w:rsid w:val="005F3A83"/>
    <w:rsid w:val="005F3E47"/>
    <w:rsid w:val="005F49F5"/>
    <w:rsid w:val="0060215A"/>
    <w:rsid w:val="00603386"/>
    <w:rsid w:val="0061038E"/>
    <w:rsid w:val="0061692C"/>
    <w:rsid w:val="006216F9"/>
    <w:rsid w:val="00621BB5"/>
    <w:rsid w:val="00624B90"/>
    <w:rsid w:val="0062658F"/>
    <w:rsid w:val="00626E9B"/>
    <w:rsid w:val="00640EEA"/>
    <w:rsid w:val="00652D53"/>
    <w:rsid w:val="00662FB1"/>
    <w:rsid w:val="00663742"/>
    <w:rsid w:val="00666B93"/>
    <w:rsid w:val="0067516F"/>
    <w:rsid w:val="0068096D"/>
    <w:rsid w:val="006908BD"/>
    <w:rsid w:val="006A36CC"/>
    <w:rsid w:val="006A66C5"/>
    <w:rsid w:val="006B466F"/>
    <w:rsid w:val="006B4683"/>
    <w:rsid w:val="006B679C"/>
    <w:rsid w:val="006C6841"/>
    <w:rsid w:val="006C714C"/>
    <w:rsid w:val="006D3582"/>
    <w:rsid w:val="006E0386"/>
    <w:rsid w:val="006E1B6A"/>
    <w:rsid w:val="006E2B47"/>
    <w:rsid w:val="006F135C"/>
    <w:rsid w:val="0070010B"/>
    <w:rsid w:val="00701734"/>
    <w:rsid w:val="00710373"/>
    <w:rsid w:val="00713A06"/>
    <w:rsid w:val="00721560"/>
    <w:rsid w:val="00726036"/>
    <w:rsid w:val="0074341E"/>
    <w:rsid w:val="00745008"/>
    <w:rsid w:val="00751F08"/>
    <w:rsid w:val="00760371"/>
    <w:rsid w:val="00760A69"/>
    <w:rsid w:val="007666A8"/>
    <w:rsid w:val="00776466"/>
    <w:rsid w:val="007806C5"/>
    <w:rsid w:val="0078291B"/>
    <w:rsid w:val="00786563"/>
    <w:rsid w:val="00787142"/>
    <w:rsid w:val="00793399"/>
    <w:rsid w:val="007969C0"/>
    <w:rsid w:val="007B2769"/>
    <w:rsid w:val="007B76A7"/>
    <w:rsid w:val="007C6400"/>
    <w:rsid w:val="007D57EE"/>
    <w:rsid w:val="007E1CB3"/>
    <w:rsid w:val="007E7C95"/>
    <w:rsid w:val="007F7993"/>
    <w:rsid w:val="00801648"/>
    <w:rsid w:val="0080701C"/>
    <w:rsid w:val="0081026B"/>
    <w:rsid w:val="008201C1"/>
    <w:rsid w:val="008403F1"/>
    <w:rsid w:val="00842057"/>
    <w:rsid w:val="00842BAF"/>
    <w:rsid w:val="00844CD4"/>
    <w:rsid w:val="00853E3A"/>
    <w:rsid w:val="0086005B"/>
    <w:rsid w:val="00864C55"/>
    <w:rsid w:val="00871B6E"/>
    <w:rsid w:val="00872380"/>
    <w:rsid w:val="0087791D"/>
    <w:rsid w:val="00884167"/>
    <w:rsid w:val="00884E78"/>
    <w:rsid w:val="00890EC7"/>
    <w:rsid w:val="008914B1"/>
    <w:rsid w:val="00892440"/>
    <w:rsid w:val="00892A46"/>
    <w:rsid w:val="008A7212"/>
    <w:rsid w:val="008B257A"/>
    <w:rsid w:val="008B6168"/>
    <w:rsid w:val="008C082F"/>
    <w:rsid w:val="008C366C"/>
    <w:rsid w:val="008D07C7"/>
    <w:rsid w:val="008D390B"/>
    <w:rsid w:val="008D4A8E"/>
    <w:rsid w:val="008D6FB6"/>
    <w:rsid w:val="008D7BC7"/>
    <w:rsid w:val="008E38F1"/>
    <w:rsid w:val="008E4D8E"/>
    <w:rsid w:val="008F1FCF"/>
    <w:rsid w:val="00900453"/>
    <w:rsid w:val="0090462E"/>
    <w:rsid w:val="00905463"/>
    <w:rsid w:val="00906954"/>
    <w:rsid w:val="0091307F"/>
    <w:rsid w:val="00920090"/>
    <w:rsid w:val="00933EF4"/>
    <w:rsid w:val="00934376"/>
    <w:rsid w:val="0093574D"/>
    <w:rsid w:val="00936705"/>
    <w:rsid w:val="00937E97"/>
    <w:rsid w:val="00940221"/>
    <w:rsid w:val="00951B40"/>
    <w:rsid w:val="00951F31"/>
    <w:rsid w:val="00960509"/>
    <w:rsid w:val="00961BD6"/>
    <w:rsid w:val="009624D9"/>
    <w:rsid w:val="00970321"/>
    <w:rsid w:val="0097278E"/>
    <w:rsid w:val="009727A9"/>
    <w:rsid w:val="009744A0"/>
    <w:rsid w:val="0097514F"/>
    <w:rsid w:val="00976781"/>
    <w:rsid w:val="00986270"/>
    <w:rsid w:val="009B3693"/>
    <w:rsid w:val="009B66C8"/>
    <w:rsid w:val="009C0127"/>
    <w:rsid w:val="009C21B3"/>
    <w:rsid w:val="009C2C42"/>
    <w:rsid w:val="009C2EBE"/>
    <w:rsid w:val="009C7FC6"/>
    <w:rsid w:val="009D30CA"/>
    <w:rsid w:val="009E3D4E"/>
    <w:rsid w:val="009E6A28"/>
    <w:rsid w:val="009F010F"/>
    <w:rsid w:val="00A1095A"/>
    <w:rsid w:val="00A117D2"/>
    <w:rsid w:val="00A220F3"/>
    <w:rsid w:val="00A239A7"/>
    <w:rsid w:val="00A263F9"/>
    <w:rsid w:val="00A374AC"/>
    <w:rsid w:val="00A37869"/>
    <w:rsid w:val="00A44A88"/>
    <w:rsid w:val="00A4738A"/>
    <w:rsid w:val="00A72122"/>
    <w:rsid w:val="00A74752"/>
    <w:rsid w:val="00A749E1"/>
    <w:rsid w:val="00A81B6C"/>
    <w:rsid w:val="00A84B4B"/>
    <w:rsid w:val="00A9154F"/>
    <w:rsid w:val="00A94775"/>
    <w:rsid w:val="00AB02DF"/>
    <w:rsid w:val="00AB75B4"/>
    <w:rsid w:val="00AC2085"/>
    <w:rsid w:val="00AD7CC8"/>
    <w:rsid w:val="00AE5F9B"/>
    <w:rsid w:val="00AE6E25"/>
    <w:rsid w:val="00AF0216"/>
    <w:rsid w:val="00AF6B3A"/>
    <w:rsid w:val="00B108AE"/>
    <w:rsid w:val="00B126C1"/>
    <w:rsid w:val="00B13C9D"/>
    <w:rsid w:val="00B17FB6"/>
    <w:rsid w:val="00B2426C"/>
    <w:rsid w:val="00B35F9A"/>
    <w:rsid w:val="00B40E49"/>
    <w:rsid w:val="00B4503A"/>
    <w:rsid w:val="00B47C6E"/>
    <w:rsid w:val="00B54F09"/>
    <w:rsid w:val="00B65AC2"/>
    <w:rsid w:val="00B71972"/>
    <w:rsid w:val="00B84789"/>
    <w:rsid w:val="00B85769"/>
    <w:rsid w:val="00B87F00"/>
    <w:rsid w:val="00B9176B"/>
    <w:rsid w:val="00B96022"/>
    <w:rsid w:val="00B97165"/>
    <w:rsid w:val="00BC113A"/>
    <w:rsid w:val="00BC2C7F"/>
    <w:rsid w:val="00BC53F2"/>
    <w:rsid w:val="00BC6ADC"/>
    <w:rsid w:val="00BC71FF"/>
    <w:rsid w:val="00BD0FFD"/>
    <w:rsid w:val="00BE27B4"/>
    <w:rsid w:val="00BE4CAF"/>
    <w:rsid w:val="00BE52BF"/>
    <w:rsid w:val="00BF3B1A"/>
    <w:rsid w:val="00C00BB8"/>
    <w:rsid w:val="00C02233"/>
    <w:rsid w:val="00C05BED"/>
    <w:rsid w:val="00C106C2"/>
    <w:rsid w:val="00C15121"/>
    <w:rsid w:val="00C171FF"/>
    <w:rsid w:val="00C21009"/>
    <w:rsid w:val="00C21363"/>
    <w:rsid w:val="00C23BE6"/>
    <w:rsid w:val="00C349B9"/>
    <w:rsid w:val="00C37129"/>
    <w:rsid w:val="00C47A56"/>
    <w:rsid w:val="00C50FF4"/>
    <w:rsid w:val="00C51093"/>
    <w:rsid w:val="00C52224"/>
    <w:rsid w:val="00C52FC2"/>
    <w:rsid w:val="00C54D07"/>
    <w:rsid w:val="00C573A4"/>
    <w:rsid w:val="00C57D2C"/>
    <w:rsid w:val="00C634C1"/>
    <w:rsid w:val="00C67CE0"/>
    <w:rsid w:val="00C74F11"/>
    <w:rsid w:val="00C7649E"/>
    <w:rsid w:val="00C76E10"/>
    <w:rsid w:val="00C8417A"/>
    <w:rsid w:val="00C91720"/>
    <w:rsid w:val="00C93A46"/>
    <w:rsid w:val="00CB5D78"/>
    <w:rsid w:val="00CB6236"/>
    <w:rsid w:val="00CC58F8"/>
    <w:rsid w:val="00CD02B7"/>
    <w:rsid w:val="00CD06BC"/>
    <w:rsid w:val="00CD0A35"/>
    <w:rsid w:val="00CD5F91"/>
    <w:rsid w:val="00CD6927"/>
    <w:rsid w:val="00CD6D0D"/>
    <w:rsid w:val="00CE0B40"/>
    <w:rsid w:val="00CE2295"/>
    <w:rsid w:val="00CF77F1"/>
    <w:rsid w:val="00D114C9"/>
    <w:rsid w:val="00D11BDC"/>
    <w:rsid w:val="00D13C47"/>
    <w:rsid w:val="00D21685"/>
    <w:rsid w:val="00D26D43"/>
    <w:rsid w:val="00D326DC"/>
    <w:rsid w:val="00D353EC"/>
    <w:rsid w:val="00D354E8"/>
    <w:rsid w:val="00D43110"/>
    <w:rsid w:val="00D44122"/>
    <w:rsid w:val="00D51D25"/>
    <w:rsid w:val="00D53BC0"/>
    <w:rsid w:val="00D554DA"/>
    <w:rsid w:val="00D60BFC"/>
    <w:rsid w:val="00D60FF3"/>
    <w:rsid w:val="00D655F5"/>
    <w:rsid w:val="00D67C46"/>
    <w:rsid w:val="00D70252"/>
    <w:rsid w:val="00D70591"/>
    <w:rsid w:val="00D907A2"/>
    <w:rsid w:val="00D95877"/>
    <w:rsid w:val="00DA6116"/>
    <w:rsid w:val="00DB09A1"/>
    <w:rsid w:val="00DC6BEB"/>
    <w:rsid w:val="00DD4976"/>
    <w:rsid w:val="00DE01A0"/>
    <w:rsid w:val="00DE0699"/>
    <w:rsid w:val="00DE2955"/>
    <w:rsid w:val="00DF4CC2"/>
    <w:rsid w:val="00DF6966"/>
    <w:rsid w:val="00E04222"/>
    <w:rsid w:val="00E1281F"/>
    <w:rsid w:val="00E14BA2"/>
    <w:rsid w:val="00E2177F"/>
    <w:rsid w:val="00E2338C"/>
    <w:rsid w:val="00E2493A"/>
    <w:rsid w:val="00E300CF"/>
    <w:rsid w:val="00E369B9"/>
    <w:rsid w:val="00E57B81"/>
    <w:rsid w:val="00E64B36"/>
    <w:rsid w:val="00E660F1"/>
    <w:rsid w:val="00E67F2A"/>
    <w:rsid w:val="00E7204F"/>
    <w:rsid w:val="00E8008F"/>
    <w:rsid w:val="00E85DB1"/>
    <w:rsid w:val="00E93668"/>
    <w:rsid w:val="00E94185"/>
    <w:rsid w:val="00E96198"/>
    <w:rsid w:val="00EA0CAB"/>
    <w:rsid w:val="00EB0782"/>
    <w:rsid w:val="00EB0DEC"/>
    <w:rsid w:val="00EB173D"/>
    <w:rsid w:val="00EB44F5"/>
    <w:rsid w:val="00EB669A"/>
    <w:rsid w:val="00EC126C"/>
    <w:rsid w:val="00EC13FB"/>
    <w:rsid w:val="00EC48D4"/>
    <w:rsid w:val="00ED5226"/>
    <w:rsid w:val="00ED697D"/>
    <w:rsid w:val="00ED79D7"/>
    <w:rsid w:val="00EE2AA0"/>
    <w:rsid w:val="00EE3596"/>
    <w:rsid w:val="00EF1554"/>
    <w:rsid w:val="00EF1AC2"/>
    <w:rsid w:val="00EF6BAC"/>
    <w:rsid w:val="00F033FC"/>
    <w:rsid w:val="00F105B2"/>
    <w:rsid w:val="00F1403F"/>
    <w:rsid w:val="00F146F7"/>
    <w:rsid w:val="00F15E93"/>
    <w:rsid w:val="00F24C91"/>
    <w:rsid w:val="00F45972"/>
    <w:rsid w:val="00F53236"/>
    <w:rsid w:val="00F53494"/>
    <w:rsid w:val="00F56917"/>
    <w:rsid w:val="00F576F6"/>
    <w:rsid w:val="00F6462D"/>
    <w:rsid w:val="00F765CF"/>
    <w:rsid w:val="00F768D8"/>
    <w:rsid w:val="00F806F6"/>
    <w:rsid w:val="00F959F2"/>
    <w:rsid w:val="00FA13BA"/>
    <w:rsid w:val="00FA4548"/>
    <w:rsid w:val="00FB0ACF"/>
    <w:rsid w:val="00FB2B74"/>
    <w:rsid w:val="00FB5D83"/>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84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LetterheadBOI">
    <w:name w:val="Letterhead BOI"/>
    <w:basedOn w:val="regpar"/>
    <w:link w:val="LetterheadBOIChar"/>
    <w:qFormat/>
    <w:rsid w:val="008D7BC7"/>
    <w:pPr>
      <w:spacing w:line="300" w:lineRule="atLeast"/>
      <w:ind w:firstLine="0"/>
      <w:jc w:val="center"/>
    </w:pPr>
    <w:rPr>
      <w:rFonts w:ascii="Times New Roman" w:hAnsi="Times New Roman" w:cs="David"/>
      <w:b/>
    </w:rPr>
  </w:style>
  <w:style w:type="paragraph" w:customStyle="1" w:styleId="Letterhead2">
    <w:name w:val="Letterhead 2"/>
    <w:basedOn w:val="regpar"/>
    <w:link w:val="Letterhead2Char"/>
    <w:qFormat/>
    <w:rsid w:val="008D7BC7"/>
    <w:pPr>
      <w:spacing w:line="300" w:lineRule="atLeast"/>
      <w:ind w:firstLine="0"/>
      <w:jc w:val="center"/>
    </w:pPr>
    <w:rPr>
      <w:rFonts w:ascii="Times New Roman" w:hAnsi="Times New Roman" w:cs="Times New Roman"/>
      <w:sz w:val="26"/>
      <w:szCs w:val="26"/>
    </w:rPr>
  </w:style>
  <w:style w:type="character" w:customStyle="1" w:styleId="LetterheadBOIChar">
    <w:name w:val="Letterhead BOI Char"/>
    <w:basedOn w:val="a0"/>
    <w:link w:val="LetterheadBOI"/>
    <w:rsid w:val="008D7BC7"/>
    <w:rPr>
      <w:rFonts w:cs="David"/>
      <w:b/>
      <w:sz w:val="24"/>
      <w:szCs w:val="24"/>
    </w:rPr>
  </w:style>
  <w:style w:type="paragraph" w:customStyle="1" w:styleId="PressReleaseTitle">
    <w:name w:val="Press Release Title"/>
    <w:basedOn w:val="a"/>
    <w:link w:val="PressReleaseTitleChar"/>
    <w:qFormat/>
    <w:rsid w:val="008D7BC7"/>
    <w:pPr>
      <w:tabs>
        <w:tab w:val="center" w:pos="4156"/>
        <w:tab w:val="right" w:pos="8312"/>
      </w:tabs>
      <w:bidi w:val="0"/>
      <w:jc w:val="center"/>
    </w:pPr>
    <w:rPr>
      <w:rFonts w:cs="David"/>
      <w:b/>
      <w:bCs/>
      <w:sz w:val="26"/>
      <w:szCs w:val="26"/>
    </w:rPr>
  </w:style>
  <w:style w:type="character" w:customStyle="1" w:styleId="Letterhead2Char">
    <w:name w:val="Letterhead 2 Char"/>
    <w:basedOn w:val="a0"/>
    <w:link w:val="Letterhead2"/>
    <w:rsid w:val="008D7BC7"/>
    <w:rPr>
      <w:sz w:val="26"/>
      <w:szCs w:val="26"/>
    </w:rPr>
  </w:style>
  <w:style w:type="paragraph" w:customStyle="1" w:styleId="Pressreleaseheading2">
    <w:name w:val="Press release heading 2"/>
    <w:basedOn w:val="PressReleaseTitle"/>
    <w:link w:val="Pressreleaseheading2Char"/>
    <w:qFormat/>
    <w:rsid w:val="008D7BC7"/>
    <w:rPr>
      <w:b w:val="0"/>
      <w:bCs w:val="0"/>
    </w:rPr>
  </w:style>
  <w:style w:type="character" w:customStyle="1" w:styleId="PressReleaseTitleChar">
    <w:name w:val="Press Release Title Char"/>
    <w:basedOn w:val="a0"/>
    <w:link w:val="PressReleaseTitle"/>
    <w:rsid w:val="008D7BC7"/>
    <w:rPr>
      <w:rFonts w:cs="David"/>
      <w:b/>
      <w:bCs/>
      <w:sz w:val="26"/>
      <w:szCs w:val="26"/>
    </w:rPr>
  </w:style>
  <w:style w:type="character" w:customStyle="1" w:styleId="Pressreleaseheading2Char">
    <w:name w:val="Press release heading 2 Char"/>
    <w:basedOn w:val="PressReleaseTitleChar"/>
    <w:link w:val="Pressreleaseheading2"/>
    <w:rsid w:val="008D7BC7"/>
    <w:rPr>
      <w:rFonts w:cs="David"/>
      <w:b w:val="0"/>
      <w:bCs w:val="0"/>
      <w:sz w:val="26"/>
      <w:szCs w:val="26"/>
    </w:rPr>
  </w:style>
  <w:style w:type="character" w:styleId="ae">
    <w:name w:val="annotation reference"/>
    <w:basedOn w:val="a0"/>
    <w:semiHidden/>
    <w:unhideWhenUsed/>
    <w:rsid w:val="00F765CF"/>
    <w:rPr>
      <w:sz w:val="16"/>
      <w:szCs w:val="16"/>
    </w:rPr>
  </w:style>
  <w:style w:type="paragraph" w:styleId="af">
    <w:name w:val="annotation text"/>
    <w:basedOn w:val="a"/>
    <w:link w:val="af0"/>
    <w:semiHidden/>
    <w:unhideWhenUsed/>
    <w:rsid w:val="00F765CF"/>
    <w:rPr>
      <w:sz w:val="20"/>
      <w:szCs w:val="20"/>
    </w:rPr>
  </w:style>
  <w:style w:type="character" w:customStyle="1" w:styleId="af0">
    <w:name w:val="טקסט הערה תו"/>
    <w:basedOn w:val="a0"/>
    <w:link w:val="af"/>
    <w:semiHidden/>
    <w:rsid w:val="00F765CF"/>
  </w:style>
  <w:style w:type="paragraph" w:styleId="af1">
    <w:name w:val="annotation subject"/>
    <w:basedOn w:val="af"/>
    <w:next w:val="af"/>
    <w:link w:val="af2"/>
    <w:semiHidden/>
    <w:unhideWhenUsed/>
    <w:rsid w:val="00F765CF"/>
    <w:rPr>
      <w:b/>
      <w:bCs/>
    </w:rPr>
  </w:style>
  <w:style w:type="character" w:customStyle="1" w:styleId="af2">
    <w:name w:val="נושא הערה תו"/>
    <w:basedOn w:val="af0"/>
    <w:link w:val="af1"/>
    <w:semiHidden/>
    <w:rsid w:val="00F76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F1E6-3C0C-4B58-A02F-7FA6D4CF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3457</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4113</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2023-03-29T08:20:00Z</dcterms:created>
  <dcterms:modified xsi:type="dcterms:W3CDTF">2023-03-29T08:20:00Z</dcterms:modified>
</cp:coreProperties>
</file>