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730B17" w:rsidTr="00031A9D">
        <w:tc>
          <w:tcPr>
            <w:tcW w:w="3343" w:type="dxa"/>
            <w:tcBorders>
              <w:top w:val="nil"/>
              <w:left w:val="nil"/>
              <w:bottom w:val="nil"/>
              <w:right w:val="nil"/>
            </w:tcBorders>
            <w:vAlign w:val="center"/>
          </w:tcPr>
          <w:p w:rsidR="00031A9D" w:rsidRPr="00730B17" w:rsidRDefault="00031A9D" w:rsidP="005E28F6">
            <w:pPr>
              <w:bidi/>
              <w:spacing w:line="276" w:lineRule="auto"/>
              <w:jc w:val="center"/>
              <w:rPr>
                <w:rFonts w:asciiTheme="minorHAnsi" w:hAnsiTheme="minorHAnsi" w:cstheme="minorHAnsi"/>
                <w:b/>
                <w:bCs/>
                <w:rtl/>
              </w:rPr>
            </w:pPr>
            <w:r w:rsidRPr="00730B17">
              <w:rPr>
                <w:rFonts w:asciiTheme="minorHAnsi" w:hAnsiTheme="minorHAnsi" w:cstheme="minorHAnsi"/>
                <w:b/>
                <w:bCs/>
                <w:rtl/>
              </w:rPr>
              <w:t>בנק ישראל</w:t>
            </w:r>
          </w:p>
          <w:p w:rsidR="00031A9D" w:rsidRPr="00730B17" w:rsidRDefault="00031A9D" w:rsidP="005E28F6">
            <w:pPr>
              <w:bidi/>
              <w:spacing w:line="276" w:lineRule="auto"/>
              <w:jc w:val="center"/>
              <w:rPr>
                <w:rFonts w:asciiTheme="minorHAnsi" w:hAnsiTheme="minorHAnsi" w:cstheme="minorHAnsi"/>
                <w:b/>
                <w:bCs/>
              </w:rPr>
            </w:pPr>
            <w:r w:rsidRPr="00730B17">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730B17" w:rsidRDefault="00031A9D" w:rsidP="005E28F6">
            <w:pPr>
              <w:bidi/>
              <w:jc w:val="center"/>
              <w:rPr>
                <w:rFonts w:asciiTheme="minorHAnsi" w:hAnsiTheme="minorHAnsi" w:cstheme="minorHAnsi"/>
              </w:rPr>
            </w:pPr>
            <w:r w:rsidRPr="00730B17">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730B17" w:rsidRDefault="00031A9D" w:rsidP="005E28F6">
            <w:pPr>
              <w:bidi/>
              <w:spacing w:line="276" w:lineRule="auto"/>
              <w:jc w:val="center"/>
              <w:rPr>
                <w:rFonts w:asciiTheme="minorHAnsi" w:hAnsiTheme="minorHAnsi" w:cstheme="minorHAnsi"/>
                <w:rtl/>
              </w:rPr>
            </w:pPr>
            <w:r w:rsidRPr="00730B17">
              <w:rPr>
                <w:rFonts w:asciiTheme="minorHAnsi" w:hAnsiTheme="minorHAnsi" w:cstheme="minorHAnsi"/>
                <w:highlight w:val="green"/>
                <w:rtl/>
              </w:rPr>
              <w:t>‏</w:t>
            </w:r>
            <w:r w:rsidRPr="00730B17">
              <w:rPr>
                <w:rFonts w:asciiTheme="minorHAnsi" w:hAnsiTheme="minorHAnsi" w:cstheme="minorHAnsi"/>
                <w:rtl/>
              </w:rPr>
              <w:t xml:space="preserve">ירושלים, </w:t>
            </w:r>
            <w:r w:rsidRPr="00730B17">
              <w:rPr>
                <w:rFonts w:asciiTheme="minorHAnsi" w:hAnsiTheme="minorHAnsi" w:cstheme="minorHAnsi"/>
                <w:rtl/>
              </w:rPr>
              <w:fldChar w:fldCharType="begin"/>
            </w:r>
            <w:r w:rsidRPr="00730B17">
              <w:rPr>
                <w:rFonts w:asciiTheme="minorHAnsi" w:hAnsiTheme="minorHAnsi" w:cstheme="minorHAnsi"/>
                <w:rtl/>
              </w:rPr>
              <w:instrText xml:space="preserve"> </w:instrText>
            </w:r>
            <w:r w:rsidRPr="00730B17">
              <w:rPr>
                <w:rFonts w:asciiTheme="minorHAnsi" w:hAnsiTheme="minorHAnsi" w:cstheme="minorHAnsi"/>
              </w:rPr>
              <w:instrText>DATE</w:instrText>
            </w:r>
            <w:r w:rsidRPr="00730B17">
              <w:rPr>
                <w:rFonts w:asciiTheme="minorHAnsi" w:hAnsiTheme="minorHAnsi" w:cstheme="minorHAnsi"/>
                <w:rtl/>
              </w:rPr>
              <w:instrText xml:space="preserve"> \@ "</w:instrText>
            </w:r>
            <w:r w:rsidRPr="00730B17">
              <w:rPr>
                <w:rFonts w:asciiTheme="minorHAnsi" w:hAnsiTheme="minorHAnsi" w:cstheme="minorHAnsi"/>
              </w:rPr>
              <w:instrText>d MMMM, yyyy" \h</w:instrText>
            </w:r>
            <w:r w:rsidRPr="00730B17">
              <w:rPr>
                <w:rFonts w:asciiTheme="minorHAnsi" w:hAnsiTheme="minorHAnsi" w:cstheme="minorHAnsi"/>
                <w:rtl/>
              </w:rPr>
              <w:instrText xml:space="preserve"> </w:instrText>
            </w:r>
            <w:r w:rsidRPr="00730B17">
              <w:rPr>
                <w:rFonts w:asciiTheme="minorHAnsi" w:hAnsiTheme="minorHAnsi" w:cstheme="minorHAnsi"/>
                <w:rtl/>
              </w:rPr>
              <w:fldChar w:fldCharType="separate"/>
            </w:r>
            <w:r w:rsidR="00730B17" w:rsidRPr="00730B17">
              <w:rPr>
                <w:rFonts w:asciiTheme="minorHAnsi" w:hAnsiTheme="minorHAnsi" w:cstheme="minorHAnsi"/>
                <w:noProof/>
                <w:rtl/>
              </w:rPr>
              <w:t>‏ט' סיון, תשפ"ה</w:t>
            </w:r>
            <w:r w:rsidRPr="00730B17">
              <w:rPr>
                <w:rFonts w:asciiTheme="minorHAnsi" w:hAnsiTheme="minorHAnsi" w:cstheme="minorHAnsi"/>
                <w:rtl/>
              </w:rPr>
              <w:fldChar w:fldCharType="end"/>
            </w:r>
          </w:p>
          <w:p w:rsidR="00031A9D" w:rsidRPr="00730B17" w:rsidRDefault="00031A9D" w:rsidP="005E28F6">
            <w:pPr>
              <w:bidi/>
              <w:spacing w:line="276" w:lineRule="auto"/>
              <w:jc w:val="center"/>
              <w:rPr>
                <w:rFonts w:asciiTheme="minorHAnsi" w:hAnsiTheme="minorHAnsi" w:cstheme="minorHAnsi"/>
                <w:highlight w:val="green"/>
              </w:rPr>
            </w:pPr>
            <w:r w:rsidRPr="00730B17">
              <w:rPr>
                <w:rFonts w:asciiTheme="minorHAnsi" w:hAnsiTheme="minorHAnsi" w:cstheme="minorHAnsi"/>
                <w:rtl/>
              </w:rPr>
              <w:fldChar w:fldCharType="begin"/>
            </w:r>
            <w:r w:rsidRPr="00730B17">
              <w:rPr>
                <w:rFonts w:asciiTheme="minorHAnsi" w:hAnsiTheme="minorHAnsi" w:cstheme="minorHAnsi"/>
                <w:rtl/>
              </w:rPr>
              <w:instrText xml:space="preserve"> </w:instrText>
            </w:r>
            <w:r w:rsidRPr="00730B17">
              <w:rPr>
                <w:rFonts w:asciiTheme="minorHAnsi" w:hAnsiTheme="minorHAnsi" w:cstheme="minorHAnsi"/>
              </w:rPr>
              <w:instrText>DATE</w:instrText>
            </w:r>
            <w:r w:rsidRPr="00730B17">
              <w:rPr>
                <w:rFonts w:asciiTheme="minorHAnsi" w:hAnsiTheme="minorHAnsi" w:cstheme="minorHAnsi"/>
                <w:rtl/>
              </w:rPr>
              <w:instrText xml:space="preserve"> \@ "</w:instrText>
            </w:r>
            <w:r w:rsidRPr="00730B17">
              <w:rPr>
                <w:rFonts w:asciiTheme="minorHAnsi" w:hAnsiTheme="minorHAnsi" w:cstheme="minorHAnsi"/>
              </w:rPr>
              <w:instrText>d MMMM, yyyy</w:instrText>
            </w:r>
            <w:r w:rsidRPr="00730B17">
              <w:rPr>
                <w:rFonts w:asciiTheme="minorHAnsi" w:hAnsiTheme="minorHAnsi" w:cstheme="minorHAnsi"/>
                <w:rtl/>
              </w:rPr>
              <w:instrText xml:space="preserve">" </w:instrText>
            </w:r>
            <w:r w:rsidRPr="00730B17">
              <w:rPr>
                <w:rFonts w:asciiTheme="minorHAnsi" w:hAnsiTheme="minorHAnsi" w:cstheme="minorHAnsi"/>
                <w:rtl/>
              </w:rPr>
              <w:fldChar w:fldCharType="separate"/>
            </w:r>
            <w:r w:rsidR="00730B17" w:rsidRPr="00730B17">
              <w:rPr>
                <w:rFonts w:asciiTheme="minorHAnsi" w:hAnsiTheme="minorHAnsi" w:cstheme="minorHAnsi"/>
                <w:noProof/>
                <w:rtl/>
              </w:rPr>
              <w:t>‏5 יוני, 2025</w:t>
            </w:r>
            <w:r w:rsidRPr="00730B17">
              <w:rPr>
                <w:rFonts w:asciiTheme="minorHAnsi" w:hAnsiTheme="minorHAnsi" w:cstheme="minorHAnsi"/>
                <w:rtl/>
              </w:rPr>
              <w:fldChar w:fldCharType="end"/>
            </w:r>
          </w:p>
        </w:tc>
      </w:tr>
    </w:tbl>
    <w:p w:rsidR="00031A9D" w:rsidRPr="00730B17" w:rsidRDefault="00031A9D" w:rsidP="005E28F6">
      <w:pPr>
        <w:bidi/>
        <w:rPr>
          <w:rFonts w:asciiTheme="minorHAnsi" w:hAnsiTheme="minorHAnsi" w:cstheme="minorHAnsi"/>
          <w:rtl/>
        </w:rPr>
      </w:pPr>
    </w:p>
    <w:p w:rsidR="005E28F6" w:rsidRPr="00730B17" w:rsidRDefault="005E28F6" w:rsidP="005E28F6">
      <w:pPr>
        <w:bidi/>
        <w:spacing w:line="360" w:lineRule="auto"/>
        <w:rPr>
          <w:rFonts w:asciiTheme="minorHAnsi" w:hAnsiTheme="minorHAnsi" w:cstheme="minorHAnsi"/>
          <w:rtl/>
        </w:rPr>
      </w:pPr>
      <w:r w:rsidRPr="00730B17">
        <w:rPr>
          <w:rFonts w:asciiTheme="minorHAnsi" w:hAnsiTheme="minorHAnsi" w:cstheme="minorHAnsi"/>
          <w:rtl/>
        </w:rPr>
        <w:t>הודעה לעיתונות</w:t>
      </w:r>
      <w:r w:rsidRPr="00730B17">
        <w:rPr>
          <w:rFonts w:asciiTheme="minorHAnsi" w:hAnsiTheme="minorHAnsi" w:cstheme="minorHAnsi"/>
        </w:rPr>
        <w:t>:</w:t>
      </w:r>
    </w:p>
    <w:p w:rsidR="00730B17" w:rsidRPr="00730B17" w:rsidRDefault="00730B17" w:rsidP="00730B17">
      <w:pPr>
        <w:bidi/>
        <w:jc w:val="center"/>
        <w:rPr>
          <w:rFonts w:asciiTheme="minorHAnsi" w:hAnsiTheme="minorHAnsi" w:cstheme="minorHAnsi" w:hint="cs"/>
          <w:b/>
          <w:bCs/>
          <w:sz w:val="28"/>
          <w:szCs w:val="28"/>
          <w:rtl/>
        </w:rPr>
      </w:pPr>
      <w:bookmarkStart w:id="0" w:name="_GoBack"/>
      <w:r w:rsidRPr="00730B17">
        <w:rPr>
          <w:rFonts w:asciiTheme="minorHAnsi" w:hAnsiTheme="minorHAnsi" w:cstheme="minorHAnsi"/>
          <w:b/>
          <w:bCs/>
          <w:sz w:val="28"/>
          <w:szCs w:val="28"/>
          <w:rtl/>
        </w:rPr>
        <w:t>הפיקוח על הבנקים מפרסם להערות הציבור טיוטת הוראה בנושא מתן שירותים ללקוחות ברקע משטרי סנקציות בינ"ל</w:t>
      </w:r>
      <w:bookmarkEnd w:id="0"/>
    </w:p>
    <w:p w:rsidR="00730B17" w:rsidRDefault="00730B17" w:rsidP="00730B17">
      <w:pPr>
        <w:bidi/>
        <w:rPr>
          <w:rFonts w:asciiTheme="minorHAnsi" w:hAnsiTheme="minorHAnsi" w:cstheme="minorHAnsi"/>
          <w:rtl/>
        </w:rPr>
      </w:pPr>
    </w:p>
    <w:p w:rsidR="00730B17" w:rsidRPr="00730B17" w:rsidRDefault="00730B17" w:rsidP="00730B17">
      <w:pPr>
        <w:bidi/>
        <w:rPr>
          <w:rFonts w:asciiTheme="minorHAnsi" w:hAnsiTheme="minorHAnsi" w:cstheme="minorHAnsi"/>
          <w:rtl/>
        </w:rPr>
      </w:pPr>
      <w:r w:rsidRPr="00730B17">
        <w:rPr>
          <w:rFonts w:asciiTheme="minorHAnsi" w:hAnsiTheme="minorHAnsi" w:cstheme="minorHAnsi"/>
          <w:rtl/>
        </w:rPr>
        <w:t>הפיקוח על הבנקים מפרסם להערות הציבור טיוטת הוראה חדשה בנושא מתן שירותים ללקוחות ברקע משטרי סנקציות, על מנת להבטיח כי לצד ניהול הסיכונים הכרוכים במשטרי סנקציות, יינתן שירות בנקאי הולם ללקוחות המושפעים ממשטרי הסנקציות</w:t>
      </w:r>
    </w:p>
    <w:p w:rsidR="00730B17" w:rsidRPr="00730B17" w:rsidRDefault="00730B17" w:rsidP="00730B17">
      <w:pPr>
        <w:bidi/>
        <w:jc w:val="both"/>
        <w:rPr>
          <w:rFonts w:asciiTheme="minorHAnsi" w:hAnsiTheme="minorHAnsi" w:cstheme="minorHAnsi"/>
          <w:rtl/>
        </w:rPr>
      </w:pPr>
    </w:p>
    <w:p w:rsidR="00730B17" w:rsidRPr="00730B17" w:rsidRDefault="00730B17" w:rsidP="00730B17">
      <w:pPr>
        <w:bidi/>
        <w:jc w:val="both"/>
        <w:rPr>
          <w:rFonts w:asciiTheme="minorHAnsi" w:hAnsiTheme="minorHAnsi" w:cstheme="minorHAnsi"/>
          <w:rtl/>
        </w:rPr>
      </w:pPr>
      <w:r w:rsidRPr="00730B17">
        <w:rPr>
          <w:rFonts w:asciiTheme="minorHAnsi" w:hAnsiTheme="minorHAnsi" w:cstheme="minorHAnsi"/>
          <w:rtl/>
        </w:rPr>
        <w:t>בשנים האחרונות גובר בעולם השימוש בסנקציות כלכליות מסוגים שונים, ככלי אכיפה משפטי המופעל למגוון מטרות, ומהווה מנוף לחץ והרתעה בזירה הבין-לאומית. משטרי סנקציות, המונהגים בידי מדינות זרות וארגונים בין-לאומיים שונים, הם משטרים מורכבים מבחינת מהות הסנקציות ובעלי השלכות שונות, בין היתר על גורמים פרטיים יחידים, על גורמים עסקיים ועל גופים פיננסיים שונים.</w:t>
      </w:r>
    </w:p>
    <w:p w:rsidR="00730B17" w:rsidRPr="00730B17" w:rsidRDefault="00730B17" w:rsidP="00730B17">
      <w:pPr>
        <w:bidi/>
        <w:jc w:val="both"/>
        <w:rPr>
          <w:rFonts w:asciiTheme="minorHAnsi" w:hAnsiTheme="minorHAnsi" w:cstheme="minorHAnsi"/>
          <w:rtl/>
        </w:rPr>
      </w:pPr>
      <w:r w:rsidRPr="00730B17">
        <w:rPr>
          <w:rFonts w:asciiTheme="minorHAnsi" w:hAnsiTheme="minorHAnsi" w:cstheme="minorHAnsi"/>
          <w:rtl/>
        </w:rPr>
        <w:t xml:space="preserve">עקיפה של משטרי סנקציות זרים באמצעות המערכת הבנקאית הישראלית, חושפת את התאגידים הבנקאיים לסיכונים שונים שאותם הם נדרשים לנהל, וביניהם, סיכוני ציות, סיכוני הלבנת הון ומימון טרור, סיכונים משפטיים וסיכוני מוניטין. ניהול סיכונים זה משפיע על היחסים שבין התאגיד הבנקאי ללקוח. </w:t>
      </w:r>
    </w:p>
    <w:p w:rsidR="00730B17" w:rsidRPr="00730B17" w:rsidRDefault="00730B17" w:rsidP="00730B17">
      <w:pPr>
        <w:bidi/>
        <w:jc w:val="both"/>
        <w:rPr>
          <w:rFonts w:asciiTheme="minorHAnsi" w:hAnsiTheme="minorHAnsi" w:cstheme="minorHAnsi"/>
          <w:rtl/>
        </w:rPr>
      </w:pPr>
      <w:r w:rsidRPr="00730B17">
        <w:rPr>
          <w:rFonts w:asciiTheme="minorHAnsi" w:hAnsiTheme="minorHAnsi" w:cstheme="minorHAnsi"/>
          <w:rtl/>
        </w:rPr>
        <w:t>הואיל והפיקוח על הבנקים מבקש להבטיח כי לצד ניהול סיכונים אפקטיבי, יינתן שירות בנקאי הולם ללקוחות המושפעים ממשטרי הסנקציות, פועל הפיקוח על הבנקים בשנתיים האחרונות במגוון כלים, על מנת להבטיח כי לצד ניהול סיכונים נאות בכל הקשור למשטר הסנקציות, ניהול הסיכונים לא ייעשה בדרך של הימנעות גורפת מראש ממתן השירותים ללקוחות, וזאת בהתאם לחובות החלות על המערכת הבנקאית.</w:t>
      </w:r>
    </w:p>
    <w:p w:rsidR="00730B17" w:rsidRPr="00730B17" w:rsidRDefault="00730B17" w:rsidP="00730B17">
      <w:pPr>
        <w:bidi/>
        <w:jc w:val="both"/>
        <w:rPr>
          <w:rFonts w:asciiTheme="minorHAnsi" w:hAnsiTheme="minorHAnsi" w:cstheme="minorHAnsi"/>
        </w:rPr>
      </w:pPr>
      <w:r w:rsidRPr="00730B17">
        <w:rPr>
          <w:rFonts w:asciiTheme="minorHAnsi" w:hAnsiTheme="minorHAnsi" w:cstheme="minorHAnsi"/>
          <w:rtl/>
        </w:rPr>
        <w:t>נוכח הימשכותם של משטרי הסנקציות הבינ"ל השונים והשפעתם על לקוחות המערכת הבנקאית בישראל, בחודשים האחרונים גיבש הפיקוח על הבנקים טיוטת הוראה, המעגנת את כלל הציפיות שהובהרו למערכת הבנקאית באשר לחובות המוטלות על התאגידים הבנקאיים בכל הנוגע לניהול הסיכונים ולמתן שירות בנקאי ללקוחות. כמקובל בתהליך האסדרה, טיוטת ההוראה נידונה מול המערכת הבנקאית במסגרת הוועדה לנהלים תקינים, כשבועיים לפני פרסום זה.</w:t>
      </w:r>
    </w:p>
    <w:p w:rsidR="00730B17" w:rsidRPr="00730B17" w:rsidRDefault="00730B17" w:rsidP="00730B17">
      <w:pPr>
        <w:bidi/>
        <w:spacing w:line="360" w:lineRule="auto"/>
        <w:rPr>
          <w:rFonts w:asciiTheme="minorHAnsi" w:hAnsiTheme="minorHAnsi" w:cstheme="minorHAnsi"/>
          <w:rtl/>
        </w:rPr>
      </w:pPr>
    </w:p>
    <w:p w:rsidR="00F25BB5" w:rsidRPr="00730B17" w:rsidRDefault="00F25BB5" w:rsidP="00F25BB5">
      <w:pPr>
        <w:bidi/>
        <w:spacing w:line="360" w:lineRule="auto"/>
        <w:rPr>
          <w:rFonts w:asciiTheme="minorHAnsi" w:hAnsiTheme="minorHAnsi" w:cstheme="minorHAnsi"/>
          <w:rtl/>
        </w:rPr>
      </w:pPr>
    </w:p>
    <w:p w:rsidR="00F25BB5" w:rsidRPr="00730B17" w:rsidRDefault="00F25BB5" w:rsidP="00F25BB5">
      <w:pPr>
        <w:bidi/>
        <w:spacing w:line="360" w:lineRule="auto"/>
        <w:rPr>
          <w:rFonts w:asciiTheme="minorHAnsi" w:hAnsiTheme="minorHAnsi" w:cstheme="minorHAnsi"/>
          <w:rtl/>
        </w:rPr>
      </w:pPr>
    </w:p>
    <w:p w:rsidR="003E7478" w:rsidRPr="00730B17" w:rsidRDefault="003E7478" w:rsidP="005E28F6">
      <w:pPr>
        <w:bidi/>
        <w:spacing w:line="360" w:lineRule="auto"/>
        <w:jc w:val="both"/>
        <w:rPr>
          <w:rFonts w:asciiTheme="minorHAnsi" w:hAnsiTheme="minorHAnsi" w:cstheme="minorHAnsi"/>
        </w:rPr>
      </w:pPr>
    </w:p>
    <w:sectPr w:rsidR="003E7478" w:rsidRPr="00730B17"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Footer"/>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0B17"/>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E128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1533</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2025-06-05T11:20:00Z</dcterms:created>
  <dcterms:modified xsi:type="dcterms:W3CDTF">2025-06-05T11:20:00Z</dcterms:modified>
</cp:coreProperties>
</file>