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840"/>
        <w:gridCol w:w="2840"/>
      </w:tblGrid>
      <w:tr w:rsidR="00DD5923" w:rsidRPr="00DB1CBC" w:rsidTr="00D87676">
        <w:trPr>
          <w:jc w:val="center"/>
        </w:trPr>
        <w:tc>
          <w:tcPr>
            <w:tcW w:w="2840" w:type="dxa"/>
            <w:tcBorders>
              <w:top w:val="nil"/>
              <w:left w:val="nil"/>
              <w:bottom w:val="nil"/>
              <w:right w:val="nil"/>
            </w:tcBorders>
            <w:vAlign w:val="center"/>
          </w:tcPr>
          <w:p w:rsidR="00DD5923" w:rsidRDefault="00DD5923" w:rsidP="00D763BF">
            <w:pPr>
              <w:bidi/>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D763BF">
            <w:pPr>
              <w:bidi/>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840" w:type="dxa"/>
            <w:tcBorders>
              <w:top w:val="nil"/>
              <w:left w:val="nil"/>
              <w:bottom w:val="nil"/>
              <w:right w:val="nil"/>
            </w:tcBorders>
          </w:tcPr>
          <w:p w:rsidR="00DD5923" w:rsidRDefault="00DD5923" w:rsidP="00D763BF">
            <w:pPr>
              <w:bidi/>
              <w:jc w:val="center"/>
            </w:pPr>
            <w:r>
              <w:rPr>
                <w:noProof/>
                <w:lang w:eastAsia="en-US"/>
              </w:rPr>
              <w:drawing>
                <wp:inline distT="0" distB="0" distL="0" distR="0" wp14:anchorId="21F85C2F" wp14:editId="4FF546B9">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9"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DD5923" w:rsidRDefault="00DD5923" w:rsidP="00D763BF">
            <w:pPr>
              <w:bidi/>
              <w:spacing w:line="360" w:lineRule="auto"/>
              <w:jc w:val="right"/>
              <w:rPr>
                <w:rFonts w:cs="David"/>
                <w:sz w:val="24"/>
                <w:szCs w:val="24"/>
              </w:rPr>
            </w:pPr>
            <w:r>
              <w:rPr>
                <w:rFonts w:cs="David" w:hint="eastAsia"/>
                <w:sz w:val="24"/>
                <w:szCs w:val="24"/>
                <w:rtl/>
              </w:rPr>
              <w:t>‏</w:t>
            </w:r>
            <w:r w:rsidR="00826810">
              <w:rPr>
                <w:rFonts w:cs="David" w:hint="cs"/>
                <w:sz w:val="24"/>
                <w:szCs w:val="24"/>
                <w:rtl/>
              </w:rPr>
              <w:t xml:space="preserve">ירושלים, </w:t>
            </w:r>
            <w:r w:rsidR="00D763BF">
              <w:rPr>
                <w:rFonts w:cs="David" w:hint="cs"/>
                <w:sz w:val="24"/>
                <w:szCs w:val="24"/>
                <w:rtl/>
              </w:rPr>
              <w:t>ט"ז</w:t>
            </w:r>
            <w:r w:rsidR="008B5665">
              <w:rPr>
                <w:rFonts w:cs="David" w:hint="cs"/>
                <w:sz w:val="24"/>
                <w:szCs w:val="24"/>
                <w:rtl/>
              </w:rPr>
              <w:t xml:space="preserve"> בטבת</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D763BF">
            <w:pPr>
              <w:bidi/>
              <w:spacing w:line="360" w:lineRule="auto"/>
              <w:jc w:val="right"/>
              <w:rPr>
                <w:rFonts w:cs="David"/>
                <w:sz w:val="24"/>
                <w:szCs w:val="24"/>
              </w:rPr>
            </w:pPr>
            <w:r>
              <w:rPr>
                <w:rFonts w:cs="David" w:hint="eastAsia"/>
                <w:sz w:val="24"/>
                <w:szCs w:val="24"/>
                <w:rtl/>
              </w:rPr>
              <w:t>‏‏</w:t>
            </w:r>
            <w:r w:rsidR="00D763BF">
              <w:rPr>
                <w:rFonts w:cs="David" w:hint="cs"/>
                <w:sz w:val="24"/>
                <w:szCs w:val="24"/>
                <w:rtl/>
              </w:rPr>
              <w:t>19</w:t>
            </w:r>
            <w:r w:rsidR="00F75061">
              <w:rPr>
                <w:rFonts w:cs="David" w:hint="cs"/>
                <w:sz w:val="24"/>
                <w:szCs w:val="24"/>
                <w:rtl/>
              </w:rPr>
              <w:t xml:space="preserve"> בדצמבר</w:t>
            </w:r>
            <w:r>
              <w:rPr>
                <w:rFonts w:cs="David"/>
                <w:sz w:val="24"/>
                <w:szCs w:val="24"/>
                <w:rtl/>
              </w:rPr>
              <w:t xml:space="preserve"> 2013</w:t>
            </w:r>
          </w:p>
        </w:tc>
      </w:tr>
    </w:tbl>
    <w:p w:rsidR="007E18EE" w:rsidRDefault="007E18EE" w:rsidP="00D763BF">
      <w:pPr>
        <w:bidi/>
        <w:ind w:right="-101"/>
        <w:rPr>
          <w:rFonts w:cs="David"/>
          <w:sz w:val="24"/>
          <w:szCs w:val="24"/>
          <w:rtl/>
        </w:rPr>
      </w:pPr>
      <w:r w:rsidRPr="007E18EE">
        <w:rPr>
          <w:rFonts w:cs="David" w:hint="cs"/>
          <w:sz w:val="24"/>
          <w:szCs w:val="24"/>
          <w:rtl/>
        </w:rPr>
        <w:t>הודעה לעיתונות:</w:t>
      </w:r>
    </w:p>
    <w:p w:rsidR="0006614C" w:rsidRDefault="0006614C" w:rsidP="0006614C">
      <w:pPr>
        <w:bidi/>
        <w:ind w:right="-101"/>
        <w:rPr>
          <w:rFonts w:cs="David"/>
          <w:sz w:val="24"/>
          <w:szCs w:val="24"/>
          <w:rtl/>
        </w:rPr>
      </w:pPr>
    </w:p>
    <w:p w:rsidR="00D763BF" w:rsidRDefault="00D763BF" w:rsidP="00D763BF">
      <w:pPr>
        <w:pStyle w:val="4"/>
        <w:bidi/>
        <w:rPr>
          <w:color w:val="auto"/>
          <w:rtl/>
        </w:rPr>
      </w:pPr>
      <w:r>
        <w:rPr>
          <w:rFonts w:hint="cs"/>
          <w:color w:val="auto"/>
          <w:rtl/>
        </w:rPr>
        <w:t xml:space="preserve">המדד המשולב </w:t>
      </w:r>
      <w:r w:rsidRPr="001E6CA3">
        <w:rPr>
          <w:color w:val="auto"/>
          <w:rtl/>
        </w:rPr>
        <w:t>לחודש</w:t>
      </w:r>
      <w:r w:rsidRPr="001E6CA3">
        <w:rPr>
          <w:rFonts w:hint="cs"/>
          <w:color w:val="auto"/>
          <w:rtl/>
        </w:rPr>
        <w:t xml:space="preserve"> </w:t>
      </w:r>
      <w:r>
        <w:rPr>
          <w:rFonts w:hint="cs"/>
          <w:color w:val="auto"/>
          <w:rtl/>
        </w:rPr>
        <w:t xml:space="preserve">נובמבר </w:t>
      </w:r>
      <w:r w:rsidRPr="001E6CA3">
        <w:rPr>
          <w:rFonts w:hint="cs"/>
          <w:color w:val="auto"/>
          <w:rtl/>
        </w:rPr>
        <w:t>201</w:t>
      </w:r>
      <w:r>
        <w:rPr>
          <w:rFonts w:hint="cs"/>
          <w:color w:val="auto"/>
          <w:rtl/>
        </w:rPr>
        <w:t>3</w:t>
      </w:r>
      <w:r w:rsidRPr="001E6CA3">
        <w:rPr>
          <w:rFonts w:hint="cs"/>
          <w:color w:val="auto"/>
          <w:rtl/>
        </w:rPr>
        <w:t xml:space="preserve"> </w:t>
      </w:r>
      <w:r>
        <w:rPr>
          <w:rFonts w:hint="cs"/>
          <w:color w:val="auto"/>
          <w:rtl/>
        </w:rPr>
        <w:t>עלה ב-0.2 אחוז</w:t>
      </w:r>
    </w:p>
    <w:p w:rsidR="00D763BF" w:rsidRPr="00DE4153" w:rsidRDefault="00D763BF" w:rsidP="00D763BF">
      <w:pPr>
        <w:bidi/>
        <w:rPr>
          <w:rtl/>
        </w:rPr>
      </w:pPr>
    </w:p>
    <w:p w:rsidR="00D763BF" w:rsidRDefault="00D763BF" w:rsidP="00117120">
      <w:pPr>
        <w:bidi/>
        <w:spacing w:line="360" w:lineRule="auto"/>
        <w:ind w:right="-57"/>
        <w:jc w:val="both"/>
        <w:rPr>
          <w:rFonts w:cs="David"/>
          <w:i/>
          <w:sz w:val="22"/>
          <w:szCs w:val="22"/>
          <w:rtl/>
        </w:rPr>
      </w:pPr>
      <w:bookmarkStart w:id="0" w:name="_GoBack"/>
      <w:r w:rsidRPr="00487189">
        <w:rPr>
          <w:rFonts w:cs="David"/>
          <w:sz w:val="22"/>
          <w:szCs w:val="22"/>
          <w:rtl/>
        </w:rPr>
        <w:t xml:space="preserve">המדד המשולב למצב המשק בחודש </w:t>
      </w:r>
      <w:r>
        <w:rPr>
          <w:rFonts w:cs="David"/>
          <w:sz w:val="22"/>
          <w:szCs w:val="22"/>
          <w:rtl/>
        </w:rPr>
        <w:t>נובמבר</w:t>
      </w:r>
      <w:r w:rsidRPr="00487189">
        <w:rPr>
          <w:rFonts w:cs="David"/>
          <w:sz w:val="22"/>
          <w:szCs w:val="22"/>
          <w:rtl/>
        </w:rPr>
        <w:t xml:space="preserve"> עלה ב-0.</w:t>
      </w:r>
      <w:r>
        <w:rPr>
          <w:rFonts w:cs="David"/>
          <w:sz w:val="22"/>
          <w:szCs w:val="22"/>
          <w:rtl/>
        </w:rPr>
        <w:t>2</w:t>
      </w:r>
      <w:r w:rsidRPr="00487189">
        <w:rPr>
          <w:rFonts w:cs="David"/>
          <w:sz w:val="22"/>
          <w:szCs w:val="22"/>
          <w:rtl/>
        </w:rPr>
        <w:t xml:space="preserve"> אחוז</w:t>
      </w:r>
      <w:r w:rsidRPr="002936A8">
        <w:rPr>
          <w:rFonts w:cs="David"/>
          <w:sz w:val="22"/>
          <w:szCs w:val="22"/>
          <w:rtl/>
        </w:rPr>
        <w:t xml:space="preserve">. </w:t>
      </w:r>
      <w:r>
        <w:rPr>
          <w:rFonts w:cs="David"/>
          <w:sz w:val="22"/>
          <w:szCs w:val="22"/>
          <w:rtl/>
        </w:rPr>
        <w:t xml:space="preserve">קצב עלייתו של המדד ממשיך להעיד על צמיחתו של המשק בקצב יציב בתקופה האחרונה. לעליית המדד תרמו במיוחד העלייה ביבוא מוצרי הצריכה, העלייה ביצוא השירותים והעלייה במדד הייצור התעשייתי ובמדדי הפדיון של ענפי המסחר והשירותים. העלייה קוזזה במידת מה בעקבות ירידה קלה של יצוא הסחורות – לאחר עלייה ניכרת שלו בספטמבר ובאוקטובר – ובעקבות ירידה בשיעור המשרות הפנויות ובמספר משרות השכיר בחודשים האחרונים. החודש לא חלו עדכונים של ממש בנתוני המדד לחודשים הקודמים (לוח 1).  </w:t>
      </w:r>
      <w:r w:rsidRPr="00487189">
        <w:rPr>
          <w:rFonts w:cs="David"/>
          <w:sz w:val="22"/>
          <w:szCs w:val="22"/>
          <w:rtl/>
        </w:rPr>
        <w:t>לוח 2 מציג את התפתחות רכיבי המדד בחודשים האחרונים.</w:t>
      </w:r>
    </w:p>
    <w:bookmarkEnd w:id="0"/>
    <w:p w:rsidR="00D763BF" w:rsidRDefault="00D763BF" w:rsidP="00D763BF">
      <w:pPr>
        <w:bidi/>
        <w:ind w:right="-57" w:firstLine="720"/>
        <w:jc w:val="both"/>
        <w:rPr>
          <w:rFonts w:cs="David"/>
          <w:i/>
          <w:sz w:val="22"/>
          <w:szCs w:val="22"/>
          <w:rtl/>
        </w:rPr>
      </w:pPr>
    </w:p>
    <w:p w:rsidR="00D763BF" w:rsidRDefault="00D763BF" w:rsidP="00D763BF">
      <w:pPr>
        <w:bidi/>
        <w:ind w:right="-57" w:firstLine="720"/>
        <w:jc w:val="center"/>
        <w:rPr>
          <w:rFonts w:cs="David"/>
          <w:b/>
          <w:bCs/>
          <w:i/>
          <w:sz w:val="26"/>
          <w:szCs w:val="26"/>
          <w:rtl/>
        </w:rPr>
      </w:pPr>
      <w:r w:rsidRPr="004124E0">
        <w:rPr>
          <w:rFonts w:cs="David"/>
          <w:b/>
          <w:bCs/>
          <w:i/>
          <w:sz w:val="26"/>
          <w:szCs w:val="26"/>
          <w:rtl/>
        </w:rPr>
        <w:t xml:space="preserve">לוח 1: </w:t>
      </w:r>
      <w:r w:rsidRPr="0006614C">
        <w:rPr>
          <w:rFonts w:cs="David"/>
          <w:b/>
          <w:bCs/>
          <w:i/>
          <w:sz w:val="26"/>
          <w:szCs w:val="26"/>
          <w:u w:val="single"/>
          <w:rtl/>
        </w:rPr>
        <w:t>עדכונים לאחור במדד המשולב</w:t>
      </w:r>
    </w:p>
    <w:p w:rsidR="0006614C" w:rsidRPr="004124E0" w:rsidRDefault="0006614C" w:rsidP="0006614C">
      <w:pPr>
        <w:bidi/>
        <w:ind w:right="-57" w:firstLine="720"/>
        <w:jc w:val="center"/>
        <w:rPr>
          <w:rFonts w:cs="David"/>
          <w:b/>
          <w:bCs/>
          <w:i/>
          <w:sz w:val="26"/>
          <w:szCs w:val="26"/>
          <w:rtl/>
        </w:rPr>
      </w:pPr>
    </w:p>
    <w:tbl>
      <w:tblPr>
        <w:bidiVisual/>
        <w:tblW w:w="0" w:type="auto"/>
        <w:tblInd w:w="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6"/>
        <w:gridCol w:w="1547"/>
        <w:gridCol w:w="1989"/>
      </w:tblGrid>
      <w:tr w:rsidR="00D763BF" w:rsidRPr="008E14DD" w:rsidTr="0006614C">
        <w:trPr>
          <w:trHeight w:hRule="exact" w:val="479"/>
        </w:trPr>
        <w:tc>
          <w:tcPr>
            <w:tcW w:w="1326" w:type="dxa"/>
            <w:vAlign w:val="center"/>
          </w:tcPr>
          <w:p w:rsidR="00D763BF" w:rsidRPr="008E14DD" w:rsidRDefault="00D763BF" w:rsidP="0006614C">
            <w:pPr>
              <w:pStyle w:val="a9"/>
              <w:spacing w:after="0" w:line="240" w:lineRule="auto"/>
              <w:ind w:left="0" w:firstLine="0"/>
              <w:jc w:val="center"/>
            </w:pPr>
            <w:r w:rsidRPr="008E14DD">
              <w:rPr>
                <w:rFonts w:hint="cs"/>
                <w:b/>
                <w:bCs/>
                <w:rtl/>
              </w:rPr>
              <w:t xml:space="preserve">עדכון </w:t>
            </w:r>
            <w:r w:rsidRPr="008E14DD">
              <w:rPr>
                <w:b/>
                <w:bCs/>
                <w:rtl/>
              </w:rPr>
              <w:t>משולב (באחוזים)</w:t>
            </w:r>
          </w:p>
        </w:tc>
        <w:tc>
          <w:tcPr>
            <w:tcW w:w="1547" w:type="dxa"/>
            <w:vAlign w:val="center"/>
          </w:tcPr>
          <w:p w:rsidR="00D763BF" w:rsidRPr="008E14DD" w:rsidRDefault="00D763BF" w:rsidP="0006614C">
            <w:pPr>
              <w:pStyle w:val="a9"/>
              <w:spacing w:after="0" w:line="240" w:lineRule="auto"/>
              <w:ind w:left="0" w:firstLine="0"/>
              <w:jc w:val="center"/>
              <w:rPr>
                <w:u w:val="single"/>
              </w:rPr>
            </w:pPr>
            <w:r w:rsidRPr="008E14DD">
              <w:rPr>
                <w:rFonts w:hint="cs"/>
                <w:u w:val="single"/>
                <w:rtl/>
              </w:rPr>
              <w:t>נתון קודם</w:t>
            </w:r>
          </w:p>
        </w:tc>
        <w:tc>
          <w:tcPr>
            <w:tcW w:w="1989" w:type="dxa"/>
            <w:vAlign w:val="center"/>
          </w:tcPr>
          <w:p w:rsidR="00D763BF" w:rsidRPr="008E14DD" w:rsidRDefault="00D763BF" w:rsidP="0006614C">
            <w:pPr>
              <w:pStyle w:val="a9"/>
              <w:tabs>
                <w:tab w:val="center" w:pos="886"/>
              </w:tabs>
              <w:spacing w:after="0" w:line="240" w:lineRule="auto"/>
              <w:ind w:left="0" w:firstLine="0"/>
              <w:jc w:val="center"/>
              <w:rPr>
                <w:u w:val="single"/>
                <w:rtl/>
              </w:rPr>
            </w:pPr>
            <w:r w:rsidRPr="008E14DD">
              <w:rPr>
                <w:rFonts w:hint="cs"/>
                <w:u w:val="single"/>
                <w:rtl/>
              </w:rPr>
              <w:t>נתון חדש</w:t>
            </w:r>
          </w:p>
        </w:tc>
      </w:tr>
      <w:tr w:rsidR="00D763BF" w:rsidRPr="008E14DD" w:rsidTr="0006614C">
        <w:trPr>
          <w:trHeight w:hRule="exact" w:val="397"/>
        </w:trPr>
        <w:tc>
          <w:tcPr>
            <w:tcW w:w="1326" w:type="dxa"/>
            <w:vAlign w:val="center"/>
          </w:tcPr>
          <w:p w:rsidR="00D763BF" w:rsidRDefault="00D763BF" w:rsidP="0006614C">
            <w:pPr>
              <w:bidi/>
              <w:rPr>
                <w:rFonts w:cs="David"/>
                <w:rtl/>
              </w:rPr>
            </w:pPr>
            <w:r>
              <w:rPr>
                <w:rFonts w:cs="David"/>
                <w:rtl/>
              </w:rPr>
              <w:t>נובמבר</w:t>
            </w:r>
          </w:p>
        </w:tc>
        <w:tc>
          <w:tcPr>
            <w:tcW w:w="1547" w:type="dxa"/>
            <w:vAlign w:val="center"/>
          </w:tcPr>
          <w:p w:rsidR="00D763BF" w:rsidRPr="00B9331A" w:rsidRDefault="00D763BF" w:rsidP="0006614C">
            <w:pPr>
              <w:pStyle w:val="a9"/>
              <w:spacing w:after="0" w:line="240" w:lineRule="auto"/>
              <w:ind w:left="0" w:firstLine="0"/>
              <w:jc w:val="center"/>
              <w:rPr>
                <w:rFonts w:cs="Times New Roman"/>
                <w:rtl/>
              </w:rPr>
            </w:pPr>
          </w:p>
        </w:tc>
        <w:tc>
          <w:tcPr>
            <w:tcW w:w="1989" w:type="dxa"/>
            <w:vAlign w:val="center"/>
          </w:tcPr>
          <w:p w:rsidR="00D763BF" w:rsidRDefault="00D763BF" w:rsidP="0006614C">
            <w:pPr>
              <w:pStyle w:val="a9"/>
              <w:spacing w:after="0" w:line="240" w:lineRule="auto"/>
              <w:ind w:left="0" w:firstLine="0"/>
              <w:jc w:val="center"/>
              <w:rPr>
                <w:rFonts w:cs="Times New Roman"/>
                <w:rtl/>
              </w:rPr>
            </w:pPr>
            <w:r>
              <w:rPr>
                <w:rFonts w:cs="Times New Roman" w:hint="cs"/>
                <w:rtl/>
              </w:rPr>
              <w:t>0.23</w:t>
            </w:r>
          </w:p>
        </w:tc>
      </w:tr>
      <w:tr w:rsidR="00D763BF" w:rsidRPr="008E14DD" w:rsidTr="0006614C">
        <w:trPr>
          <w:trHeight w:hRule="exact" w:val="397"/>
        </w:trPr>
        <w:tc>
          <w:tcPr>
            <w:tcW w:w="1326" w:type="dxa"/>
            <w:vAlign w:val="center"/>
          </w:tcPr>
          <w:p w:rsidR="00D763BF" w:rsidRDefault="00D763BF" w:rsidP="0006614C">
            <w:pPr>
              <w:bidi/>
              <w:rPr>
                <w:rFonts w:cs="David"/>
                <w:rtl/>
              </w:rPr>
            </w:pPr>
            <w:r>
              <w:rPr>
                <w:rFonts w:cs="David"/>
                <w:rtl/>
              </w:rPr>
              <w:t>אוקטובר</w:t>
            </w:r>
          </w:p>
        </w:tc>
        <w:tc>
          <w:tcPr>
            <w:tcW w:w="1547" w:type="dxa"/>
            <w:vAlign w:val="center"/>
          </w:tcPr>
          <w:p w:rsidR="00D763BF" w:rsidRDefault="00D763BF" w:rsidP="0006614C">
            <w:pPr>
              <w:pStyle w:val="a9"/>
              <w:spacing w:after="0" w:line="240" w:lineRule="auto"/>
              <w:ind w:left="0" w:firstLine="0"/>
              <w:jc w:val="center"/>
              <w:rPr>
                <w:rFonts w:cs="Times New Roman"/>
                <w:rtl/>
              </w:rPr>
            </w:pPr>
            <w:r>
              <w:rPr>
                <w:rFonts w:cs="Times New Roman" w:hint="cs"/>
                <w:rtl/>
              </w:rPr>
              <w:t>0.21</w:t>
            </w:r>
          </w:p>
        </w:tc>
        <w:tc>
          <w:tcPr>
            <w:tcW w:w="1989" w:type="dxa"/>
            <w:vAlign w:val="center"/>
          </w:tcPr>
          <w:p w:rsidR="00D763BF" w:rsidRDefault="00D763BF" w:rsidP="0006614C">
            <w:pPr>
              <w:pStyle w:val="a9"/>
              <w:spacing w:after="0" w:line="240" w:lineRule="auto"/>
              <w:ind w:left="0" w:firstLine="0"/>
              <w:jc w:val="center"/>
              <w:rPr>
                <w:rFonts w:cs="Times New Roman"/>
                <w:rtl/>
              </w:rPr>
            </w:pPr>
            <w:r>
              <w:rPr>
                <w:rFonts w:cs="Times New Roman" w:hint="cs"/>
                <w:rtl/>
              </w:rPr>
              <w:t>0.23</w:t>
            </w:r>
          </w:p>
        </w:tc>
      </w:tr>
      <w:tr w:rsidR="00D763BF" w:rsidRPr="008E14DD" w:rsidTr="0006614C">
        <w:trPr>
          <w:trHeight w:hRule="exact" w:val="397"/>
        </w:trPr>
        <w:tc>
          <w:tcPr>
            <w:tcW w:w="1326" w:type="dxa"/>
            <w:vAlign w:val="center"/>
          </w:tcPr>
          <w:p w:rsidR="00D763BF" w:rsidRPr="008E14DD" w:rsidRDefault="00D763BF" w:rsidP="0006614C">
            <w:pPr>
              <w:bidi/>
              <w:rPr>
                <w:rFonts w:cs="David"/>
                <w:rtl/>
              </w:rPr>
            </w:pPr>
            <w:r>
              <w:rPr>
                <w:rFonts w:cs="David"/>
                <w:rtl/>
              </w:rPr>
              <w:t>ספטמבר</w:t>
            </w:r>
          </w:p>
        </w:tc>
        <w:tc>
          <w:tcPr>
            <w:tcW w:w="1547" w:type="dxa"/>
            <w:vAlign w:val="center"/>
          </w:tcPr>
          <w:p w:rsidR="00D763BF" w:rsidRPr="00B9331A" w:rsidRDefault="00D763BF" w:rsidP="0006614C">
            <w:pPr>
              <w:pStyle w:val="a9"/>
              <w:spacing w:after="0" w:line="240" w:lineRule="auto"/>
              <w:ind w:left="0" w:firstLine="0"/>
              <w:jc w:val="center"/>
              <w:rPr>
                <w:rFonts w:cs="Times New Roman"/>
                <w:rtl/>
              </w:rPr>
            </w:pPr>
            <w:r>
              <w:rPr>
                <w:rFonts w:cs="Times New Roman" w:hint="cs"/>
                <w:rtl/>
              </w:rPr>
              <w:t>0.22</w:t>
            </w:r>
          </w:p>
        </w:tc>
        <w:tc>
          <w:tcPr>
            <w:tcW w:w="1989" w:type="dxa"/>
            <w:vAlign w:val="center"/>
          </w:tcPr>
          <w:p w:rsidR="00D763BF" w:rsidRPr="00B9331A" w:rsidRDefault="00D763BF" w:rsidP="0006614C">
            <w:pPr>
              <w:pStyle w:val="a9"/>
              <w:spacing w:after="0" w:line="240" w:lineRule="auto"/>
              <w:ind w:left="0" w:firstLine="0"/>
              <w:jc w:val="center"/>
              <w:rPr>
                <w:rFonts w:cs="Times New Roman"/>
                <w:rtl/>
              </w:rPr>
            </w:pPr>
            <w:r>
              <w:rPr>
                <w:rFonts w:cs="Times New Roman" w:hint="cs"/>
                <w:rtl/>
              </w:rPr>
              <w:t>0.21</w:t>
            </w:r>
          </w:p>
        </w:tc>
      </w:tr>
      <w:tr w:rsidR="00D763BF" w:rsidRPr="008E14DD" w:rsidTr="0006614C">
        <w:trPr>
          <w:trHeight w:hRule="exact" w:val="397"/>
        </w:trPr>
        <w:tc>
          <w:tcPr>
            <w:tcW w:w="1326" w:type="dxa"/>
            <w:vAlign w:val="center"/>
          </w:tcPr>
          <w:p w:rsidR="00D763BF" w:rsidRPr="008E14DD" w:rsidRDefault="00D763BF" w:rsidP="0006614C">
            <w:pPr>
              <w:bidi/>
              <w:rPr>
                <w:rFonts w:cs="David"/>
                <w:rtl/>
              </w:rPr>
            </w:pPr>
            <w:r>
              <w:rPr>
                <w:rFonts w:cs="David"/>
                <w:rtl/>
              </w:rPr>
              <w:t>אוגוסט</w:t>
            </w:r>
          </w:p>
        </w:tc>
        <w:tc>
          <w:tcPr>
            <w:tcW w:w="1547" w:type="dxa"/>
            <w:vAlign w:val="center"/>
          </w:tcPr>
          <w:p w:rsidR="00D763BF" w:rsidRPr="00B9331A" w:rsidRDefault="00D763BF" w:rsidP="0006614C">
            <w:pPr>
              <w:pStyle w:val="a9"/>
              <w:spacing w:after="0" w:line="240" w:lineRule="auto"/>
              <w:ind w:left="0" w:firstLine="0"/>
              <w:jc w:val="center"/>
              <w:rPr>
                <w:rFonts w:cs="Times New Roman"/>
                <w:rtl/>
              </w:rPr>
            </w:pPr>
            <w:r>
              <w:rPr>
                <w:rFonts w:cs="Times New Roman" w:hint="cs"/>
                <w:rtl/>
              </w:rPr>
              <w:t>0.16</w:t>
            </w:r>
          </w:p>
        </w:tc>
        <w:tc>
          <w:tcPr>
            <w:tcW w:w="1989" w:type="dxa"/>
            <w:vAlign w:val="center"/>
          </w:tcPr>
          <w:p w:rsidR="00D763BF" w:rsidRPr="00B9331A" w:rsidRDefault="00D763BF" w:rsidP="0006614C">
            <w:pPr>
              <w:pStyle w:val="a9"/>
              <w:spacing w:after="0" w:line="240" w:lineRule="auto"/>
              <w:ind w:left="0" w:firstLine="0"/>
              <w:jc w:val="center"/>
              <w:rPr>
                <w:rFonts w:cs="Times New Roman"/>
                <w:rtl/>
              </w:rPr>
            </w:pPr>
            <w:r>
              <w:rPr>
                <w:rFonts w:cs="Times New Roman" w:hint="cs"/>
                <w:rtl/>
              </w:rPr>
              <w:t>0.14</w:t>
            </w:r>
          </w:p>
        </w:tc>
      </w:tr>
      <w:tr w:rsidR="00D763BF" w:rsidRPr="008E14DD" w:rsidTr="0006614C">
        <w:trPr>
          <w:trHeight w:hRule="exact" w:val="397"/>
        </w:trPr>
        <w:tc>
          <w:tcPr>
            <w:tcW w:w="1326" w:type="dxa"/>
            <w:vAlign w:val="center"/>
          </w:tcPr>
          <w:p w:rsidR="00D763BF" w:rsidRPr="008E14DD" w:rsidRDefault="00D763BF" w:rsidP="0006614C">
            <w:pPr>
              <w:bidi/>
              <w:rPr>
                <w:rFonts w:cs="David"/>
                <w:rtl/>
              </w:rPr>
            </w:pPr>
            <w:r>
              <w:rPr>
                <w:rFonts w:cs="David"/>
                <w:rtl/>
              </w:rPr>
              <w:t>יולי</w:t>
            </w:r>
          </w:p>
        </w:tc>
        <w:tc>
          <w:tcPr>
            <w:tcW w:w="1547" w:type="dxa"/>
            <w:vAlign w:val="center"/>
          </w:tcPr>
          <w:p w:rsidR="00D763BF" w:rsidRPr="00B9331A" w:rsidRDefault="00D763BF" w:rsidP="0006614C">
            <w:pPr>
              <w:pStyle w:val="a9"/>
              <w:spacing w:after="0" w:line="240" w:lineRule="auto"/>
              <w:ind w:left="0" w:firstLine="0"/>
              <w:jc w:val="center"/>
              <w:rPr>
                <w:rFonts w:cs="Times New Roman"/>
                <w:rtl/>
              </w:rPr>
            </w:pPr>
            <w:r>
              <w:rPr>
                <w:rFonts w:cs="Times New Roman" w:hint="cs"/>
                <w:rtl/>
              </w:rPr>
              <w:t>0.19</w:t>
            </w:r>
          </w:p>
        </w:tc>
        <w:tc>
          <w:tcPr>
            <w:tcW w:w="1989" w:type="dxa"/>
            <w:vAlign w:val="center"/>
          </w:tcPr>
          <w:p w:rsidR="00D763BF" w:rsidRPr="00B9331A" w:rsidRDefault="00D763BF" w:rsidP="0006614C">
            <w:pPr>
              <w:pStyle w:val="a9"/>
              <w:spacing w:after="0" w:line="240" w:lineRule="auto"/>
              <w:ind w:left="0" w:firstLine="0"/>
              <w:jc w:val="center"/>
              <w:rPr>
                <w:rFonts w:cs="Times New Roman"/>
                <w:rtl/>
              </w:rPr>
            </w:pPr>
            <w:r>
              <w:rPr>
                <w:rFonts w:cs="Times New Roman" w:hint="cs"/>
                <w:rtl/>
              </w:rPr>
              <w:t>0.18</w:t>
            </w:r>
          </w:p>
        </w:tc>
      </w:tr>
      <w:tr w:rsidR="00D763BF" w:rsidRPr="008E14DD" w:rsidTr="0006614C">
        <w:trPr>
          <w:trHeight w:hRule="exact" w:val="63"/>
        </w:trPr>
        <w:tc>
          <w:tcPr>
            <w:tcW w:w="1326" w:type="dxa"/>
          </w:tcPr>
          <w:p w:rsidR="00D763BF" w:rsidRPr="008E14DD" w:rsidRDefault="00D763BF" w:rsidP="0006614C">
            <w:pPr>
              <w:bidi/>
              <w:rPr>
                <w:rFonts w:cs="David"/>
                <w:rtl/>
              </w:rPr>
            </w:pPr>
          </w:p>
        </w:tc>
        <w:tc>
          <w:tcPr>
            <w:tcW w:w="1547" w:type="dxa"/>
          </w:tcPr>
          <w:p w:rsidR="00D763BF" w:rsidRDefault="00D763BF" w:rsidP="0006614C">
            <w:pPr>
              <w:pStyle w:val="a9"/>
              <w:spacing w:after="0" w:line="240" w:lineRule="auto"/>
              <w:ind w:left="0" w:firstLine="0"/>
              <w:jc w:val="center"/>
              <w:rPr>
                <w:rFonts w:cs="Times New Roman"/>
                <w:rtl/>
              </w:rPr>
            </w:pPr>
          </w:p>
        </w:tc>
        <w:tc>
          <w:tcPr>
            <w:tcW w:w="1989" w:type="dxa"/>
          </w:tcPr>
          <w:p w:rsidR="00D763BF" w:rsidRDefault="00D763BF" w:rsidP="0006614C">
            <w:pPr>
              <w:pStyle w:val="a9"/>
              <w:spacing w:after="0" w:line="240" w:lineRule="auto"/>
              <w:ind w:left="0" w:firstLine="0"/>
              <w:jc w:val="center"/>
              <w:rPr>
                <w:rFonts w:cs="Times New Roman"/>
                <w:rtl/>
              </w:rPr>
            </w:pPr>
          </w:p>
        </w:tc>
      </w:tr>
    </w:tbl>
    <w:p w:rsidR="00D763BF" w:rsidRDefault="00D763BF" w:rsidP="00D763BF">
      <w:pPr>
        <w:autoSpaceDE w:val="0"/>
        <w:autoSpaceDN w:val="0"/>
        <w:bidi/>
        <w:adjustRightInd w:val="0"/>
        <w:rPr>
          <w:rFonts w:cs="David"/>
          <w:b/>
          <w:bCs/>
          <w:i/>
          <w:rtl/>
        </w:rPr>
      </w:pPr>
    </w:p>
    <w:p w:rsidR="00D763BF" w:rsidRDefault="00D763BF" w:rsidP="00D763BF">
      <w:pPr>
        <w:autoSpaceDE w:val="0"/>
        <w:autoSpaceDN w:val="0"/>
        <w:bidi/>
        <w:adjustRightInd w:val="0"/>
        <w:jc w:val="center"/>
        <w:rPr>
          <w:rFonts w:cs="David"/>
          <w:b/>
          <w:bCs/>
          <w:i/>
          <w:rtl/>
        </w:rPr>
      </w:pPr>
    </w:p>
    <w:p w:rsidR="00D763BF" w:rsidRPr="00D763BF" w:rsidRDefault="00D763BF" w:rsidP="004124E0">
      <w:pPr>
        <w:autoSpaceDE w:val="0"/>
        <w:autoSpaceDN w:val="0"/>
        <w:bidi/>
        <w:adjustRightInd w:val="0"/>
        <w:jc w:val="center"/>
        <w:rPr>
          <w:rFonts w:cs="David"/>
          <w:b/>
          <w:bCs/>
          <w:i/>
          <w:sz w:val="26"/>
          <w:szCs w:val="26"/>
          <w:rtl/>
        </w:rPr>
      </w:pPr>
      <w:r w:rsidRPr="00D763BF">
        <w:rPr>
          <w:rFonts w:cs="David"/>
          <w:b/>
          <w:bCs/>
          <w:i/>
          <w:sz w:val="26"/>
          <w:szCs w:val="26"/>
          <w:rtl/>
        </w:rPr>
        <w:t xml:space="preserve">לוח 2: </w:t>
      </w:r>
      <w:r w:rsidRPr="0006614C">
        <w:rPr>
          <w:rFonts w:cs="David"/>
          <w:b/>
          <w:bCs/>
          <w:i/>
          <w:sz w:val="26"/>
          <w:szCs w:val="26"/>
          <w:u w:val="single"/>
          <w:rtl/>
        </w:rPr>
        <w:t>השינויים ברכיבי המדד בחודשים האחרונים</w:t>
      </w:r>
    </w:p>
    <w:p w:rsidR="00D763BF" w:rsidRDefault="00D763BF" w:rsidP="00D763BF">
      <w:pPr>
        <w:autoSpaceDE w:val="0"/>
        <w:autoSpaceDN w:val="0"/>
        <w:bidi/>
        <w:adjustRightInd w:val="0"/>
        <w:jc w:val="center"/>
        <w:rPr>
          <w:rFonts w:cs="David"/>
          <w:i/>
          <w:sz w:val="16"/>
          <w:szCs w:val="16"/>
          <w:rtl/>
        </w:rPr>
      </w:pPr>
      <w:r w:rsidRPr="00487189">
        <w:rPr>
          <w:rFonts w:cs="David"/>
          <w:i/>
          <w:sz w:val="16"/>
          <w:szCs w:val="16"/>
          <w:rtl/>
        </w:rPr>
        <w:t>(שיעורי שינוי חודשיים  באחוזים, אלא אם כן צוין אחרת)</w:t>
      </w:r>
    </w:p>
    <w:p w:rsidR="0006614C" w:rsidRPr="00487189" w:rsidRDefault="0006614C" w:rsidP="0006614C">
      <w:pPr>
        <w:autoSpaceDE w:val="0"/>
        <w:autoSpaceDN w:val="0"/>
        <w:bidi/>
        <w:adjustRightInd w:val="0"/>
        <w:jc w:val="center"/>
        <w:rPr>
          <w:rFonts w:cs="David"/>
          <w:i/>
          <w:sz w:val="16"/>
          <w:szCs w:val="16"/>
          <w:rtl/>
        </w:rPr>
      </w:pPr>
    </w:p>
    <w:tbl>
      <w:tblPr>
        <w:bidiVisual/>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8"/>
        <w:gridCol w:w="992"/>
        <w:gridCol w:w="1134"/>
        <w:gridCol w:w="993"/>
        <w:gridCol w:w="993"/>
      </w:tblGrid>
      <w:tr w:rsidR="00D763BF" w:rsidRPr="00A32AFE" w:rsidTr="0006614C">
        <w:trPr>
          <w:trHeight w:val="397"/>
        </w:trPr>
        <w:tc>
          <w:tcPr>
            <w:tcW w:w="4728" w:type="dxa"/>
            <w:tcBorders>
              <w:top w:val="nil"/>
              <w:left w:val="nil"/>
              <w:bottom w:val="single" w:sz="4" w:space="0" w:color="auto"/>
              <w:right w:val="single" w:sz="4" w:space="0" w:color="auto"/>
            </w:tcBorders>
            <w:shd w:val="clear" w:color="auto" w:fill="auto"/>
          </w:tcPr>
          <w:p w:rsidR="00D763BF" w:rsidRPr="00A32AFE" w:rsidRDefault="00D763BF" w:rsidP="00D763BF">
            <w:pPr>
              <w:autoSpaceDE w:val="0"/>
              <w:autoSpaceDN w:val="0"/>
              <w:bidi/>
              <w:adjustRightInd w:val="0"/>
              <w:jc w:val="center"/>
              <w:rPr>
                <w:rFonts w:cs="David"/>
                <w:i/>
                <w:rtl/>
              </w:rPr>
            </w:pPr>
          </w:p>
        </w:tc>
        <w:tc>
          <w:tcPr>
            <w:tcW w:w="992" w:type="dxa"/>
            <w:tcBorders>
              <w:left w:val="single" w:sz="4" w:space="0" w:color="auto"/>
            </w:tcBorders>
            <w:shd w:val="clear" w:color="auto" w:fill="auto"/>
            <w:vAlign w:val="center"/>
          </w:tcPr>
          <w:p w:rsidR="00D763BF" w:rsidRPr="0006614C" w:rsidRDefault="00D763BF" w:rsidP="00D763BF">
            <w:pPr>
              <w:autoSpaceDE w:val="0"/>
              <w:autoSpaceDN w:val="0"/>
              <w:bidi/>
              <w:adjustRightInd w:val="0"/>
              <w:jc w:val="center"/>
              <w:rPr>
                <w:rFonts w:cs="David"/>
                <w:b/>
                <w:bCs/>
                <w:i/>
                <w:sz w:val="24"/>
                <w:szCs w:val="24"/>
                <w:rtl/>
              </w:rPr>
            </w:pPr>
            <w:r w:rsidRPr="0006614C">
              <w:rPr>
                <w:rFonts w:cs="David"/>
                <w:b/>
                <w:bCs/>
                <w:i/>
                <w:sz w:val="24"/>
                <w:szCs w:val="24"/>
                <w:rtl/>
              </w:rPr>
              <w:t>נובמבר</w:t>
            </w:r>
          </w:p>
        </w:tc>
        <w:tc>
          <w:tcPr>
            <w:tcW w:w="1134" w:type="dxa"/>
            <w:shd w:val="clear" w:color="auto" w:fill="auto"/>
            <w:vAlign w:val="center"/>
          </w:tcPr>
          <w:p w:rsidR="00D763BF" w:rsidRPr="0006614C" w:rsidRDefault="00D763BF" w:rsidP="00D763BF">
            <w:pPr>
              <w:autoSpaceDE w:val="0"/>
              <w:autoSpaceDN w:val="0"/>
              <w:bidi/>
              <w:adjustRightInd w:val="0"/>
              <w:jc w:val="center"/>
              <w:rPr>
                <w:rFonts w:cs="David"/>
                <w:b/>
                <w:bCs/>
                <w:i/>
                <w:sz w:val="24"/>
                <w:szCs w:val="24"/>
                <w:rtl/>
              </w:rPr>
            </w:pPr>
            <w:r w:rsidRPr="0006614C">
              <w:rPr>
                <w:rFonts w:cs="David"/>
                <w:b/>
                <w:bCs/>
                <w:i/>
                <w:sz w:val="24"/>
                <w:szCs w:val="24"/>
                <w:rtl/>
              </w:rPr>
              <w:t>אוקטובר</w:t>
            </w:r>
          </w:p>
        </w:tc>
        <w:tc>
          <w:tcPr>
            <w:tcW w:w="993" w:type="dxa"/>
            <w:shd w:val="clear" w:color="auto" w:fill="auto"/>
            <w:vAlign w:val="center"/>
          </w:tcPr>
          <w:p w:rsidR="00D763BF" w:rsidRPr="0006614C" w:rsidRDefault="00D763BF" w:rsidP="00D763BF">
            <w:pPr>
              <w:autoSpaceDE w:val="0"/>
              <w:autoSpaceDN w:val="0"/>
              <w:bidi/>
              <w:adjustRightInd w:val="0"/>
              <w:jc w:val="center"/>
              <w:rPr>
                <w:rFonts w:cs="David"/>
                <w:b/>
                <w:bCs/>
                <w:i/>
                <w:sz w:val="24"/>
                <w:szCs w:val="24"/>
                <w:rtl/>
              </w:rPr>
            </w:pPr>
            <w:r w:rsidRPr="0006614C">
              <w:rPr>
                <w:rFonts w:cs="David"/>
                <w:b/>
                <w:bCs/>
                <w:i/>
                <w:sz w:val="24"/>
                <w:szCs w:val="24"/>
                <w:rtl/>
              </w:rPr>
              <w:t>ספטמבר</w:t>
            </w:r>
          </w:p>
        </w:tc>
        <w:tc>
          <w:tcPr>
            <w:tcW w:w="993" w:type="dxa"/>
            <w:shd w:val="clear" w:color="auto" w:fill="auto"/>
            <w:vAlign w:val="center"/>
          </w:tcPr>
          <w:p w:rsidR="00D763BF" w:rsidRPr="0006614C" w:rsidRDefault="00D763BF" w:rsidP="00D763BF">
            <w:pPr>
              <w:autoSpaceDE w:val="0"/>
              <w:autoSpaceDN w:val="0"/>
              <w:bidi/>
              <w:adjustRightInd w:val="0"/>
              <w:jc w:val="center"/>
              <w:rPr>
                <w:rFonts w:cs="David"/>
                <w:b/>
                <w:bCs/>
                <w:i/>
                <w:sz w:val="24"/>
                <w:szCs w:val="24"/>
                <w:rtl/>
              </w:rPr>
            </w:pPr>
            <w:r w:rsidRPr="0006614C">
              <w:rPr>
                <w:rFonts w:cs="David"/>
                <w:b/>
                <w:bCs/>
                <w:i/>
                <w:sz w:val="24"/>
                <w:szCs w:val="24"/>
                <w:rtl/>
              </w:rPr>
              <w:t>אוגוסט</w:t>
            </w:r>
          </w:p>
        </w:tc>
      </w:tr>
      <w:tr w:rsidR="00D763BF" w:rsidRPr="00A32AFE" w:rsidTr="0006614C">
        <w:trPr>
          <w:trHeight w:val="454"/>
        </w:trPr>
        <w:tc>
          <w:tcPr>
            <w:tcW w:w="4728" w:type="dxa"/>
            <w:tcBorders>
              <w:top w:val="single" w:sz="4" w:space="0" w:color="auto"/>
            </w:tcBorders>
            <w:shd w:val="clear" w:color="auto" w:fill="auto"/>
            <w:vAlign w:val="center"/>
          </w:tcPr>
          <w:p w:rsidR="00D763BF" w:rsidRPr="00487189" w:rsidRDefault="00D763BF" w:rsidP="00D763BF">
            <w:pPr>
              <w:autoSpaceDE w:val="0"/>
              <w:autoSpaceDN w:val="0"/>
              <w:bidi/>
              <w:adjustRightInd w:val="0"/>
              <w:rPr>
                <w:rFonts w:cs="David"/>
                <w:i/>
                <w:rtl/>
              </w:rPr>
            </w:pPr>
            <w:r w:rsidRPr="00487189">
              <w:rPr>
                <w:rFonts w:cs="David"/>
                <w:rtl/>
              </w:rPr>
              <w:t>מדד הייצור התעשייתי</w:t>
            </w:r>
            <w:r w:rsidRPr="00487189">
              <w:rPr>
                <w:rFonts w:cs="David"/>
                <w:i/>
                <w:rtl/>
              </w:rPr>
              <w:t>( ללא כריה וחציבה)</w:t>
            </w:r>
          </w:p>
        </w:tc>
        <w:tc>
          <w:tcPr>
            <w:tcW w:w="992" w:type="dxa"/>
            <w:shd w:val="clear" w:color="auto" w:fill="auto"/>
            <w:vAlign w:val="bottom"/>
          </w:tcPr>
          <w:p w:rsidR="00D763BF" w:rsidRDefault="00D763BF" w:rsidP="00D763BF">
            <w:pPr>
              <w:jc w:val="center"/>
              <w:rPr>
                <w:rFonts w:ascii="Arial" w:hAnsi="Arial" w:cs="Arial"/>
                <w:color w:val="000000"/>
                <w:sz w:val="22"/>
                <w:szCs w:val="22"/>
              </w:rPr>
            </w:pPr>
          </w:p>
        </w:tc>
        <w:tc>
          <w:tcPr>
            <w:tcW w:w="1134"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3.48</w:t>
            </w:r>
          </w:p>
        </w:tc>
        <w:tc>
          <w:tcPr>
            <w:tcW w:w="993"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0.89</w:t>
            </w:r>
          </w:p>
        </w:tc>
        <w:tc>
          <w:tcPr>
            <w:tcW w:w="993"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-2.45</w:t>
            </w:r>
          </w:p>
        </w:tc>
      </w:tr>
      <w:tr w:rsidR="00D763BF" w:rsidRPr="00A32AFE" w:rsidTr="00D763BF">
        <w:trPr>
          <w:trHeight w:val="454"/>
        </w:trPr>
        <w:tc>
          <w:tcPr>
            <w:tcW w:w="4728" w:type="dxa"/>
            <w:shd w:val="clear" w:color="auto" w:fill="auto"/>
            <w:vAlign w:val="center"/>
          </w:tcPr>
          <w:p w:rsidR="00D763BF" w:rsidRPr="00487189" w:rsidRDefault="00D763BF" w:rsidP="00D763BF">
            <w:pPr>
              <w:autoSpaceDE w:val="0"/>
              <w:autoSpaceDN w:val="0"/>
              <w:bidi/>
              <w:adjustRightInd w:val="0"/>
              <w:rPr>
                <w:rFonts w:cs="David"/>
                <w:i/>
                <w:rtl/>
              </w:rPr>
            </w:pPr>
            <w:r w:rsidRPr="00487189">
              <w:rPr>
                <w:rFonts w:cs="David"/>
                <w:rtl/>
              </w:rPr>
              <w:t>מדד הפדיון בשירותים</w:t>
            </w:r>
            <w:r w:rsidRPr="00487189">
              <w:rPr>
                <w:rFonts w:cs="David"/>
                <w:i/>
                <w:rtl/>
              </w:rPr>
              <w:t xml:space="preserve"> (ללא פיננסים, חינוך, </w:t>
            </w:r>
            <w:proofErr w:type="spellStart"/>
            <w:r w:rsidRPr="00487189">
              <w:rPr>
                <w:rFonts w:cs="David"/>
                <w:i/>
                <w:rtl/>
              </w:rPr>
              <w:t>ומינהל</w:t>
            </w:r>
            <w:proofErr w:type="spellEnd"/>
            <w:r w:rsidRPr="00487189">
              <w:rPr>
                <w:rFonts w:cs="David"/>
                <w:i/>
                <w:rtl/>
              </w:rPr>
              <w:t xml:space="preserve"> ציבורי)</w:t>
            </w:r>
          </w:p>
        </w:tc>
        <w:tc>
          <w:tcPr>
            <w:tcW w:w="992" w:type="dxa"/>
            <w:shd w:val="clear" w:color="auto" w:fill="auto"/>
            <w:vAlign w:val="bottom"/>
          </w:tcPr>
          <w:p w:rsidR="00D763BF" w:rsidRDefault="00D763BF" w:rsidP="00D763BF">
            <w:pPr>
              <w:jc w:val="center"/>
              <w:rPr>
                <w:rFonts w:ascii="Arial" w:hAnsi="Arial" w:cs="Arial"/>
                <w:color w:val="000000"/>
                <w:sz w:val="22"/>
                <w:szCs w:val="22"/>
              </w:rPr>
            </w:pPr>
          </w:p>
        </w:tc>
        <w:tc>
          <w:tcPr>
            <w:tcW w:w="1134"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0.40</w:t>
            </w:r>
          </w:p>
        </w:tc>
        <w:tc>
          <w:tcPr>
            <w:tcW w:w="993"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1.42</w:t>
            </w:r>
          </w:p>
        </w:tc>
        <w:tc>
          <w:tcPr>
            <w:tcW w:w="993"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-0.35</w:t>
            </w:r>
          </w:p>
        </w:tc>
      </w:tr>
      <w:tr w:rsidR="00D763BF" w:rsidRPr="00A32AFE" w:rsidTr="00D763BF">
        <w:trPr>
          <w:trHeight w:val="454"/>
        </w:trPr>
        <w:tc>
          <w:tcPr>
            <w:tcW w:w="4728" w:type="dxa"/>
            <w:shd w:val="clear" w:color="auto" w:fill="auto"/>
            <w:vAlign w:val="center"/>
          </w:tcPr>
          <w:p w:rsidR="00D763BF" w:rsidRPr="00487189" w:rsidRDefault="00D763BF" w:rsidP="00D763BF">
            <w:pPr>
              <w:autoSpaceDE w:val="0"/>
              <w:autoSpaceDN w:val="0"/>
              <w:bidi/>
              <w:adjustRightInd w:val="0"/>
              <w:rPr>
                <w:rFonts w:cs="David"/>
                <w:i/>
                <w:rtl/>
              </w:rPr>
            </w:pPr>
            <w:r w:rsidRPr="00487189">
              <w:rPr>
                <w:rFonts w:cs="David"/>
                <w:rtl/>
              </w:rPr>
              <w:t>מדד הפדיון במסחר</w:t>
            </w:r>
          </w:p>
        </w:tc>
        <w:tc>
          <w:tcPr>
            <w:tcW w:w="992" w:type="dxa"/>
            <w:shd w:val="clear" w:color="auto" w:fill="auto"/>
            <w:vAlign w:val="bottom"/>
          </w:tcPr>
          <w:p w:rsidR="00D763BF" w:rsidRDefault="00D763BF" w:rsidP="00D763BF">
            <w:pPr>
              <w:jc w:val="center"/>
              <w:rPr>
                <w:rFonts w:ascii="Arial" w:hAnsi="Arial" w:cs="Arial"/>
                <w:color w:val="000000"/>
                <w:sz w:val="22"/>
                <w:szCs w:val="22"/>
              </w:rPr>
            </w:pPr>
          </w:p>
        </w:tc>
        <w:tc>
          <w:tcPr>
            <w:tcW w:w="1134"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0.88</w:t>
            </w:r>
          </w:p>
        </w:tc>
        <w:tc>
          <w:tcPr>
            <w:tcW w:w="993"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-0.21</w:t>
            </w:r>
          </w:p>
        </w:tc>
        <w:tc>
          <w:tcPr>
            <w:tcW w:w="993"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0.47</w:t>
            </w:r>
          </w:p>
        </w:tc>
      </w:tr>
      <w:tr w:rsidR="00D763BF" w:rsidRPr="00A32AFE" w:rsidTr="00D763BF">
        <w:trPr>
          <w:trHeight w:val="454"/>
        </w:trPr>
        <w:tc>
          <w:tcPr>
            <w:tcW w:w="4728" w:type="dxa"/>
            <w:shd w:val="clear" w:color="auto" w:fill="auto"/>
            <w:vAlign w:val="center"/>
          </w:tcPr>
          <w:p w:rsidR="00D763BF" w:rsidRPr="00487189" w:rsidRDefault="00D763BF" w:rsidP="00D763BF">
            <w:pPr>
              <w:autoSpaceDE w:val="0"/>
              <w:autoSpaceDN w:val="0"/>
              <w:bidi/>
              <w:adjustRightInd w:val="0"/>
              <w:rPr>
                <w:rFonts w:cs="David"/>
                <w:i/>
                <w:rtl/>
              </w:rPr>
            </w:pPr>
            <w:r w:rsidRPr="00487189">
              <w:rPr>
                <w:rFonts w:cs="David"/>
                <w:rtl/>
              </w:rPr>
              <w:t>יבוא מוצרי הצריכה</w:t>
            </w:r>
            <w:r>
              <w:rPr>
                <w:rFonts w:cs="David"/>
                <w:vertAlign w:val="superscript"/>
                <w:rtl/>
              </w:rPr>
              <w:t>3</w:t>
            </w:r>
          </w:p>
        </w:tc>
        <w:tc>
          <w:tcPr>
            <w:tcW w:w="992"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4.59</w:t>
            </w:r>
          </w:p>
        </w:tc>
        <w:tc>
          <w:tcPr>
            <w:tcW w:w="1134"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-7.52</w:t>
            </w:r>
          </w:p>
        </w:tc>
        <w:tc>
          <w:tcPr>
            <w:tcW w:w="993"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4.32</w:t>
            </w:r>
          </w:p>
        </w:tc>
        <w:tc>
          <w:tcPr>
            <w:tcW w:w="993"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-1.10</w:t>
            </w:r>
          </w:p>
        </w:tc>
      </w:tr>
      <w:tr w:rsidR="00D763BF" w:rsidRPr="00A32AFE" w:rsidTr="00D763BF">
        <w:trPr>
          <w:trHeight w:val="454"/>
        </w:trPr>
        <w:tc>
          <w:tcPr>
            <w:tcW w:w="4728" w:type="dxa"/>
            <w:shd w:val="clear" w:color="auto" w:fill="auto"/>
            <w:vAlign w:val="center"/>
          </w:tcPr>
          <w:p w:rsidR="00D763BF" w:rsidRPr="00487189" w:rsidRDefault="00D763BF" w:rsidP="00D763BF">
            <w:pPr>
              <w:autoSpaceDE w:val="0"/>
              <w:autoSpaceDN w:val="0"/>
              <w:bidi/>
              <w:adjustRightInd w:val="0"/>
              <w:rPr>
                <w:rFonts w:cs="David"/>
                <w:i/>
                <w:rtl/>
              </w:rPr>
            </w:pPr>
            <w:r w:rsidRPr="00487189">
              <w:rPr>
                <w:rFonts w:cs="David"/>
                <w:rtl/>
              </w:rPr>
              <w:t xml:space="preserve">יבוא התשומות לייצור (ללא </w:t>
            </w:r>
            <w:proofErr w:type="spellStart"/>
            <w:r w:rsidRPr="00487189">
              <w:rPr>
                <w:rFonts w:cs="David"/>
                <w:rtl/>
              </w:rPr>
              <w:t>דלקים</w:t>
            </w:r>
            <w:proofErr w:type="spellEnd"/>
            <w:r w:rsidRPr="00487189">
              <w:rPr>
                <w:rFonts w:cs="David"/>
                <w:rtl/>
              </w:rPr>
              <w:t>)</w:t>
            </w:r>
            <w:r w:rsidRPr="00487189">
              <w:rPr>
                <w:rFonts w:cs="David"/>
                <w:vertAlign w:val="superscript"/>
                <w:rtl/>
              </w:rPr>
              <w:t xml:space="preserve"> </w:t>
            </w:r>
            <w:r>
              <w:rPr>
                <w:rFonts w:cs="David"/>
                <w:vertAlign w:val="superscript"/>
                <w:rtl/>
              </w:rPr>
              <w:t>3</w:t>
            </w:r>
          </w:p>
        </w:tc>
        <w:tc>
          <w:tcPr>
            <w:tcW w:w="992"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0.05</w:t>
            </w:r>
          </w:p>
        </w:tc>
        <w:tc>
          <w:tcPr>
            <w:tcW w:w="1134"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2.19</w:t>
            </w:r>
          </w:p>
        </w:tc>
        <w:tc>
          <w:tcPr>
            <w:tcW w:w="993"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4.64</w:t>
            </w:r>
          </w:p>
        </w:tc>
        <w:tc>
          <w:tcPr>
            <w:tcW w:w="993"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-6.33</w:t>
            </w:r>
          </w:p>
        </w:tc>
      </w:tr>
      <w:tr w:rsidR="00D763BF" w:rsidRPr="00A32AFE" w:rsidTr="00D763BF">
        <w:trPr>
          <w:trHeight w:val="454"/>
        </w:trPr>
        <w:tc>
          <w:tcPr>
            <w:tcW w:w="4728" w:type="dxa"/>
            <w:shd w:val="clear" w:color="auto" w:fill="auto"/>
            <w:vAlign w:val="center"/>
          </w:tcPr>
          <w:p w:rsidR="00D763BF" w:rsidRPr="00487189" w:rsidRDefault="00D763BF" w:rsidP="00D763BF">
            <w:pPr>
              <w:autoSpaceDE w:val="0"/>
              <w:autoSpaceDN w:val="0"/>
              <w:bidi/>
              <w:adjustRightInd w:val="0"/>
              <w:rPr>
                <w:rFonts w:cs="David"/>
                <w:i/>
                <w:rtl/>
              </w:rPr>
            </w:pPr>
            <w:r w:rsidRPr="00487189">
              <w:rPr>
                <w:rFonts w:cs="David"/>
                <w:rtl/>
              </w:rPr>
              <w:t>יצוא הסחורות</w:t>
            </w:r>
            <w:r w:rsidRPr="00487189">
              <w:rPr>
                <w:rFonts w:cs="David"/>
                <w:i/>
                <w:rtl/>
              </w:rPr>
              <w:t xml:space="preserve"> (ללא חקלאות)</w:t>
            </w:r>
            <w:r w:rsidRPr="00487189">
              <w:rPr>
                <w:rFonts w:cs="David"/>
                <w:vertAlign w:val="superscript"/>
                <w:rtl/>
              </w:rPr>
              <w:t xml:space="preserve"> </w:t>
            </w:r>
            <w:r>
              <w:rPr>
                <w:rFonts w:cs="David"/>
                <w:vertAlign w:val="superscript"/>
                <w:rtl/>
              </w:rPr>
              <w:t>3</w:t>
            </w:r>
          </w:p>
        </w:tc>
        <w:tc>
          <w:tcPr>
            <w:tcW w:w="992"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-1.68</w:t>
            </w:r>
          </w:p>
        </w:tc>
        <w:tc>
          <w:tcPr>
            <w:tcW w:w="1134"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7.54</w:t>
            </w:r>
          </w:p>
        </w:tc>
        <w:tc>
          <w:tcPr>
            <w:tcW w:w="993"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7.24</w:t>
            </w:r>
          </w:p>
        </w:tc>
        <w:tc>
          <w:tcPr>
            <w:tcW w:w="993"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0.49</w:t>
            </w:r>
          </w:p>
        </w:tc>
      </w:tr>
      <w:tr w:rsidR="00D763BF" w:rsidRPr="00A32AFE" w:rsidTr="00D763BF">
        <w:trPr>
          <w:trHeight w:val="454"/>
        </w:trPr>
        <w:tc>
          <w:tcPr>
            <w:tcW w:w="4728" w:type="dxa"/>
            <w:shd w:val="clear" w:color="auto" w:fill="auto"/>
            <w:vAlign w:val="center"/>
          </w:tcPr>
          <w:p w:rsidR="00D763BF" w:rsidRPr="00487189" w:rsidRDefault="00D763BF" w:rsidP="00D763BF">
            <w:pPr>
              <w:autoSpaceDE w:val="0"/>
              <w:autoSpaceDN w:val="0"/>
              <w:bidi/>
              <w:adjustRightInd w:val="0"/>
              <w:rPr>
                <w:rFonts w:cs="David"/>
                <w:i/>
                <w:rtl/>
              </w:rPr>
            </w:pPr>
            <w:r w:rsidRPr="00487189">
              <w:rPr>
                <w:rFonts w:cs="David"/>
                <w:rtl/>
              </w:rPr>
              <w:t>יצוא השירותים</w:t>
            </w:r>
            <w:r w:rsidRPr="00487189">
              <w:rPr>
                <w:rFonts w:cs="David"/>
                <w:i/>
                <w:rtl/>
              </w:rPr>
              <w:t xml:space="preserve"> (ללא תחבורה)</w:t>
            </w:r>
            <w:r w:rsidRPr="00487189">
              <w:rPr>
                <w:rFonts w:cs="David"/>
                <w:vertAlign w:val="superscript"/>
                <w:rtl/>
              </w:rPr>
              <w:t xml:space="preserve"> </w:t>
            </w:r>
            <w:r>
              <w:rPr>
                <w:rFonts w:cs="David"/>
                <w:vertAlign w:val="superscript"/>
                <w:rtl/>
              </w:rPr>
              <w:t>3</w:t>
            </w:r>
          </w:p>
        </w:tc>
        <w:tc>
          <w:tcPr>
            <w:tcW w:w="992"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2.42</w:t>
            </w:r>
          </w:p>
        </w:tc>
        <w:tc>
          <w:tcPr>
            <w:tcW w:w="1134"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-1.27</w:t>
            </w:r>
          </w:p>
        </w:tc>
        <w:tc>
          <w:tcPr>
            <w:tcW w:w="993"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0.14</w:t>
            </w:r>
          </w:p>
        </w:tc>
        <w:tc>
          <w:tcPr>
            <w:tcW w:w="993"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1.24</w:t>
            </w:r>
          </w:p>
        </w:tc>
      </w:tr>
      <w:tr w:rsidR="00D763BF" w:rsidRPr="00A32AFE" w:rsidTr="00D763BF">
        <w:trPr>
          <w:trHeight w:val="454"/>
        </w:trPr>
        <w:tc>
          <w:tcPr>
            <w:tcW w:w="4728" w:type="dxa"/>
            <w:shd w:val="clear" w:color="auto" w:fill="auto"/>
            <w:vAlign w:val="center"/>
          </w:tcPr>
          <w:p w:rsidR="00D763BF" w:rsidRPr="00487189" w:rsidRDefault="00D763BF" w:rsidP="00D763BF">
            <w:pPr>
              <w:autoSpaceDE w:val="0"/>
              <w:autoSpaceDN w:val="0"/>
              <w:bidi/>
              <w:adjustRightInd w:val="0"/>
              <w:rPr>
                <w:rFonts w:cs="David"/>
                <w:i/>
                <w:rtl/>
              </w:rPr>
            </w:pPr>
            <w:r w:rsidRPr="00487189">
              <w:rPr>
                <w:rFonts w:cs="David"/>
                <w:rtl/>
              </w:rPr>
              <w:t>משרות השכיר – במגזר הפרטי</w:t>
            </w:r>
          </w:p>
        </w:tc>
        <w:tc>
          <w:tcPr>
            <w:tcW w:w="992" w:type="dxa"/>
            <w:shd w:val="clear" w:color="auto" w:fill="auto"/>
            <w:vAlign w:val="bottom"/>
          </w:tcPr>
          <w:p w:rsidR="00D763BF" w:rsidRDefault="00D763BF" w:rsidP="00D763BF">
            <w:pPr>
              <w:jc w:val="center"/>
              <w:rPr>
                <w:rFonts w:ascii="Arial" w:hAnsi="Arial" w:cs="Arial"/>
                <w:color w:val="000000"/>
                <w:sz w:val="22"/>
                <w:szCs w:val="22"/>
              </w:rPr>
            </w:pPr>
          </w:p>
        </w:tc>
        <w:tc>
          <w:tcPr>
            <w:tcW w:w="1134" w:type="dxa"/>
            <w:shd w:val="clear" w:color="auto" w:fill="auto"/>
            <w:vAlign w:val="bottom"/>
          </w:tcPr>
          <w:p w:rsidR="00D763BF" w:rsidRDefault="00D763BF" w:rsidP="00D763BF">
            <w:pPr>
              <w:jc w:val="center"/>
              <w:rPr>
                <w:rFonts w:ascii="Arial" w:hAnsi="Arial" w:cs="Arial"/>
                <w:color w:val="000000"/>
                <w:sz w:val="22"/>
                <w:szCs w:val="22"/>
              </w:rPr>
            </w:pPr>
          </w:p>
        </w:tc>
        <w:tc>
          <w:tcPr>
            <w:tcW w:w="993"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-0.37</w:t>
            </w:r>
          </w:p>
        </w:tc>
        <w:tc>
          <w:tcPr>
            <w:tcW w:w="993"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-0.22</w:t>
            </w:r>
          </w:p>
        </w:tc>
      </w:tr>
      <w:tr w:rsidR="00D763BF" w:rsidRPr="00A32AFE" w:rsidTr="00D763BF">
        <w:trPr>
          <w:trHeight w:val="454"/>
        </w:trPr>
        <w:tc>
          <w:tcPr>
            <w:tcW w:w="4728" w:type="dxa"/>
            <w:shd w:val="clear" w:color="auto" w:fill="auto"/>
            <w:vAlign w:val="center"/>
          </w:tcPr>
          <w:p w:rsidR="00D763BF" w:rsidRPr="00487189" w:rsidRDefault="00D763BF" w:rsidP="00D763BF">
            <w:pPr>
              <w:autoSpaceDE w:val="0"/>
              <w:autoSpaceDN w:val="0"/>
              <w:bidi/>
              <w:adjustRightInd w:val="0"/>
              <w:rPr>
                <w:rFonts w:cs="David"/>
                <w:i/>
                <w:rtl/>
              </w:rPr>
            </w:pPr>
            <w:r w:rsidRPr="00487189">
              <w:rPr>
                <w:rFonts w:cs="David"/>
                <w:rtl/>
              </w:rPr>
              <w:t>שיעור המשרות הפנויות מסך המועסקים במגזר העסקי</w:t>
            </w:r>
            <w:r w:rsidRPr="00487189">
              <w:rPr>
                <w:rFonts w:cs="David"/>
                <w:vertAlign w:val="superscript"/>
                <w:rtl/>
              </w:rPr>
              <w:t>1</w:t>
            </w:r>
          </w:p>
        </w:tc>
        <w:tc>
          <w:tcPr>
            <w:tcW w:w="992"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2.59</w:t>
            </w:r>
          </w:p>
        </w:tc>
        <w:tc>
          <w:tcPr>
            <w:tcW w:w="1134"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2.63</w:t>
            </w:r>
          </w:p>
        </w:tc>
        <w:tc>
          <w:tcPr>
            <w:tcW w:w="993"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2.65</w:t>
            </w:r>
          </w:p>
        </w:tc>
        <w:tc>
          <w:tcPr>
            <w:tcW w:w="993"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2.73</w:t>
            </w:r>
          </w:p>
        </w:tc>
      </w:tr>
      <w:tr w:rsidR="00D763BF" w:rsidRPr="00A32AFE" w:rsidTr="00D763BF">
        <w:trPr>
          <w:trHeight w:val="454"/>
        </w:trPr>
        <w:tc>
          <w:tcPr>
            <w:tcW w:w="4728" w:type="dxa"/>
            <w:shd w:val="clear" w:color="auto" w:fill="auto"/>
            <w:vAlign w:val="center"/>
          </w:tcPr>
          <w:p w:rsidR="00D763BF" w:rsidRPr="00487189" w:rsidRDefault="00D763BF" w:rsidP="00D763BF">
            <w:pPr>
              <w:autoSpaceDE w:val="0"/>
              <w:autoSpaceDN w:val="0"/>
              <w:bidi/>
              <w:adjustRightInd w:val="0"/>
              <w:rPr>
                <w:rFonts w:cs="David"/>
                <w:rtl/>
              </w:rPr>
            </w:pPr>
            <w:r w:rsidRPr="00487189">
              <w:rPr>
                <w:rFonts w:cs="David"/>
                <w:rtl/>
              </w:rPr>
              <w:t>התחלות הבנייה</w:t>
            </w:r>
            <w:r w:rsidRPr="00487189">
              <w:rPr>
                <w:rFonts w:cs="David"/>
                <w:vertAlign w:val="superscript"/>
                <w:rtl/>
              </w:rPr>
              <w:t>2</w:t>
            </w:r>
          </w:p>
        </w:tc>
        <w:tc>
          <w:tcPr>
            <w:tcW w:w="992" w:type="dxa"/>
            <w:shd w:val="clear" w:color="auto" w:fill="auto"/>
            <w:vAlign w:val="bottom"/>
          </w:tcPr>
          <w:p w:rsidR="00D763BF" w:rsidRDefault="00D763BF" w:rsidP="00D763BF">
            <w:pPr>
              <w:jc w:val="center"/>
              <w:rPr>
                <w:rFonts w:ascii="Arial" w:hAnsi="Arial" w:cs="Arial"/>
                <w:color w:val="000000"/>
                <w:sz w:val="22"/>
                <w:szCs w:val="22"/>
              </w:rPr>
            </w:pPr>
          </w:p>
        </w:tc>
        <w:tc>
          <w:tcPr>
            <w:tcW w:w="1134" w:type="dxa"/>
            <w:shd w:val="clear" w:color="auto" w:fill="auto"/>
            <w:vAlign w:val="bottom"/>
          </w:tcPr>
          <w:p w:rsidR="00D763BF" w:rsidRDefault="00D763BF" w:rsidP="00D763BF">
            <w:pPr>
              <w:jc w:val="center"/>
              <w:rPr>
                <w:rFonts w:ascii="Arial" w:hAnsi="Arial" w:cs="Arial"/>
                <w:color w:val="000000"/>
                <w:sz w:val="22"/>
                <w:szCs w:val="22"/>
              </w:rPr>
            </w:pPr>
          </w:p>
        </w:tc>
        <w:tc>
          <w:tcPr>
            <w:tcW w:w="993"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-0.65</w:t>
            </w:r>
          </w:p>
        </w:tc>
        <w:tc>
          <w:tcPr>
            <w:tcW w:w="993" w:type="dxa"/>
            <w:shd w:val="clear" w:color="auto" w:fill="auto"/>
            <w:vAlign w:val="bottom"/>
          </w:tcPr>
          <w:p w:rsidR="00D763BF" w:rsidRDefault="00D763BF" w:rsidP="00D763BF">
            <w:pPr>
              <w:jc w:val="center"/>
              <w:rPr>
                <w:rFonts w:ascii="Arial" w:hAnsi="Arial" w:cs="Arial"/>
                <w:color w:val="000000"/>
                <w:sz w:val="22"/>
                <w:szCs w:val="22"/>
              </w:rPr>
            </w:pPr>
            <w:r>
              <w:rPr>
                <w:rFonts w:ascii="Arial" w:hAnsi="Arial" w:cs="Arial"/>
                <w:color w:val="000000"/>
                <w:sz w:val="22"/>
                <w:szCs w:val="22"/>
              </w:rPr>
              <w:t>-2.02</w:t>
            </w:r>
          </w:p>
        </w:tc>
      </w:tr>
    </w:tbl>
    <w:p w:rsidR="00D763BF" w:rsidRDefault="00D763BF" w:rsidP="00D763BF">
      <w:pPr>
        <w:numPr>
          <w:ilvl w:val="0"/>
          <w:numId w:val="1"/>
        </w:numPr>
        <w:autoSpaceDE w:val="0"/>
        <w:autoSpaceDN w:val="0"/>
        <w:bidi/>
        <w:adjustRightInd w:val="0"/>
        <w:rPr>
          <w:rFonts w:cs="David"/>
          <w:i/>
          <w:rtl/>
        </w:rPr>
      </w:pPr>
      <w:r>
        <w:rPr>
          <w:rFonts w:cs="David"/>
          <w:i/>
          <w:rtl/>
        </w:rPr>
        <w:t>שיעור המשרות הפניות נכלל במדד ברמתו, מנוכה עונתיות ומוחלק.</w:t>
      </w:r>
    </w:p>
    <w:p w:rsidR="00D763BF" w:rsidRDefault="00D763BF" w:rsidP="00D763BF">
      <w:pPr>
        <w:numPr>
          <w:ilvl w:val="0"/>
          <w:numId w:val="1"/>
        </w:numPr>
        <w:autoSpaceDE w:val="0"/>
        <w:autoSpaceDN w:val="0"/>
        <w:bidi/>
        <w:adjustRightInd w:val="0"/>
        <w:rPr>
          <w:rFonts w:cs="David"/>
          <w:i/>
        </w:rPr>
      </w:pPr>
      <w:r>
        <w:rPr>
          <w:rFonts w:cs="David"/>
          <w:i/>
          <w:rtl/>
        </w:rPr>
        <w:t>ממוצע נע לשישה חודשים.</w:t>
      </w:r>
    </w:p>
    <w:p w:rsidR="00D763BF" w:rsidRPr="00B62779" w:rsidRDefault="00D763BF" w:rsidP="00D763BF">
      <w:pPr>
        <w:numPr>
          <w:ilvl w:val="0"/>
          <w:numId w:val="1"/>
        </w:numPr>
        <w:autoSpaceDE w:val="0"/>
        <w:autoSpaceDN w:val="0"/>
        <w:bidi/>
        <w:adjustRightInd w:val="0"/>
        <w:rPr>
          <w:rFonts w:cs="David"/>
          <w:i/>
          <w:rtl/>
        </w:rPr>
      </w:pPr>
      <w:r w:rsidRPr="00B62779">
        <w:rPr>
          <w:rFonts w:cs="David"/>
          <w:i/>
          <w:rtl/>
        </w:rPr>
        <w:t>מדדי סחר החוץ הם כמותיים</w:t>
      </w:r>
      <w:r>
        <w:rPr>
          <w:rFonts w:cs="David"/>
          <w:i/>
          <w:rtl/>
        </w:rPr>
        <w:t xml:space="preserve"> (בשונה ממדדי סחר החוץ החודשיים של הלמ"ס)</w:t>
      </w:r>
      <w:r w:rsidRPr="00B62779">
        <w:rPr>
          <w:rFonts w:cs="David"/>
          <w:i/>
          <w:rtl/>
        </w:rPr>
        <w:t>.</w:t>
      </w:r>
    </w:p>
    <w:p w:rsidR="00C04A6B" w:rsidRPr="00D763BF" w:rsidRDefault="00D763BF" w:rsidP="0006614C">
      <w:pPr>
        <w:bidi/>
        <w:ind w:left="-199"/>
        <w:rPr>
          <w:rFonts w:cs="David"/>
          <w:sz w:val="24"/>
          <w:szCs w:val="24"/>
        </w:rPr>
      </w:pPr>
      <w:r w:rsidRPr="004124E0">
        <w:rPr>
          <w:rFonts w:cs="David" w:hint="cs"/>
          <w:rtl/>
        </w:rPr>
        <w:t>כתובתנו באתר:</w:t>
      </w:r>
      <w:r w:rsidRPr="001E6CA3">
        <w:rPr>
          <w:rFonts w:hint="cs"/>
          <w:rtl/>
        </w:rPr>
        <w:t xml:space="preserve"> </w:t>
      </w:r>
      <w:hyperlink r:id="rId10" w:history="1">
        <w:r w:rsidR="004124E0">
          <w:rPr>
            <w:rStyle w:val="Hyperlink"/>
          </w:rPr>
          <w:t>http://www.boi.org.il/he/Research/Pages/ind.aspx</w:t>
        </w:r>
      </w:hyperlink>
    </w:p>
    <w:sectPr w:rsidR="00C04A6B" w:rsidRPr="00D763BF" w:rsidSect="0006614C">
      <w:headerReference w:type="even" r:id="rId11"/>
      <w:headerReference w:type="default" r:id="rId12"/>
      <w:footerReference w:type="even" r:id="rId13"/>
      <w:footerReference w:type="default" r:id="rId14"/>
      <w:headerReference w:type="first" r:id="rId15"/>
      <w:footerReference w:type="first" r:id="rId16"/>
      <w:pgSz w:w="11906" w:h="16838"/>
      <w:pgMar w:top="907" w:right="1797" w:bottom="1134"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5E" w:rsidRDefault="000F5C5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1001085329"/>
      <w:docPartObj>
        <w:docPartGallery w:val="Page Numbers (Bottom of Page)"/>
        <w:docPartUnique/>
      </w:docPartObj>
    </w:sdtPr>
    <w:sdtEndPr>
      <w:rPr>
        <w:cs/>
      </w:rPr>
    </w:sdtEndPr>
    <w:sdtContent>
      <w:sdt>
        <w:sdtPr>
          <w:rPr>
            <w:rFonts w:cs="David"/>
            <w:rtl/>
          </w:rPr>
          <w:id w:val="98381352"/>
          <w:docPartObj>
            <w:docPartGallery w:val="Page Numbers (Top of Page)"/>
            <w:docPartUnique/>
          </w:docPartObj>
        </w:sdtPr>
        <w:sdtEndPr/>
        <w:sdtContent>
          <w:p w:rsidR="002438E2" w:rsidRPr="002438E2" w:rsidRDefault="008B5665" w:rsidP="00FD4DC2">
            <w:pPr>
              <w:pStyle w:val="a7"/>
              <w:tabs>
                <w:tab w:val="clear" w:pos="8306"/>
                <w:tab w:val="right" w:pos="8873"/>
              </w:tabs>
              <w:bidi/>
              <w:ind w:left="-625"/>
              <w:jc w:val="right"/>
              <w:rPr>
                <w:rFonts w:cs="David"/>
                <w:rtl/>
                <w:cs/>
              </w:rPr>
            </w:pPr>
            <w:r>
              <w:rPr>
                <w:rFonts w:cs="David" w:hint="cs"/>
                <w:rtl/>
              </w:rPr>
              <w:t xml:space="preserve">בנק ישראל </w:t>
            </w:r>
            <w:r w:rsidR="00D763BF">
              <w:rPr>
                <w:rFonts w:cs="David"/>
                <w:rtl/>
              </w:rPr>
              <w:t>–</w:t>
            </w:r>
            <w:r>
              <w:rPr>
                <w:rFonts w:cs="David" w:hint="cs"/>
                <w:rtl/>
              </w:rPr>
              <w:t xml:space="preserve"> </w:t>
            </w:r>
            <w:r w:rsidR="00D763BF">
              <w:rPr>
                <w:rFonts w:cs="David" w:hint="cs"/>
                <w:rtl/>
                <w:cs/>
                <w:lang w:val="he-IL"/>
              </w:rPr>
              <w:t>המדד המשולב לחודש נובמבר 2013</w:t>
            </w:r>
            <w:r w:rsidR="002438E2">
              <w:rPr>
                <w:rFonts w:cs="David" w:hint="cs"/>
                <w:rtl/>
                <w:cs/>
                <w:lang w:val="he-IL"/>
              </w:rPr>
              <w:tab/>
            </w:r>
            <w:r w:rsidR="002438E2">
              <w:rPr>
                <w:rFonts w:cs="David" w:hint="cs"/>
                <w:rtl/>
                <w:cs/>
                <w:lang w:val="he-IL"/>
              </w:rPr>
              <w:tab/>
            </w:r>
            <w:r w:rsidR="002438E2" w:rsidRPr="002438E2">
              <w:rPr>
                <w:rFonts w:cs="David"/>
                <w:rtl/>
                <w:cs/>
                <w:lang w:val="he-IL"/>
              </w:rPr>
              <w:t xml:space="preserve">עמוד </w:t>
            </w:r>
            <w:r w:rsidR="002438E2" w:rsidRPr="002438E2">
              <w:rPr>
                <w:rFonts w:cs="David"/>
                <w:b/>
                <w:bCs/>
              </w:rPr>
              <w:fldChar w:fldCharType="begin"/>
            </w:r>
            <w:r w:rsidR="002438E2" w:rsidRPr="002438E2">
              <w:rPr>
                <w:rFonts w:cs="David"/>
                <w:b/>
                <w:bCs/>
                <w:rtl/>
                <w:cs/>
              </w:rPr>
              <w:instrText>PAGE</w:instrText>
            </w:r>
            <w:r w:rsidR="002438E2" w:rsidRPr="002438E2">
              <w:rPr>
                <w:rFonts w:cs="David"/>
                <w:b/>
                <w:bCs/>
              </w:rPr>
              <w:fldChar w:fldCharType="separate"/>
            </w:r>
            <w:r w:rsidR="00117120">
              <w:rPr>
                <w:rFonts w:cs="David"/>
                <w:b/>
                <w:bCs/>
                <w:noProof/>
                <w:rtl/>
              </w:rPr>
              <w:t>1</w:t>
            </w:r>
            <w:r w:rsidR="002438E2" w:rsidRPr="002438E2">
              <w:rPr>
                <w:rFonts w:cs="David"/>
                <w:b/>
                <w:bCs/>
              </w:rPr>
              <w:fldChar w:fldCharType="end"/>
            </w:r>
            <w:r w:rsidR="002438E2" w:rsidRPr="002438E2">
              <w:rPr>
                <w:rFonts w:cs="David"/>
                <w:rtl/>
                <w:cs/>
                <w:lang w:val="he-IL"/>
              </w:rPr>
              <w:t xml:space="preserve"> מתוך </w:t>
            </w:r>
            <w:r w:rsidR="002438E2" w:rsidRPr="002438E2">
              <w:rPr>
                <w:rFonts w:cs="David"/>
                <w:b/>
                <w:bCs/>
              </w:rPr>
              <w:fldChar w:fldCharType="begin"/>
            </w:r>
            <w:r w:rsidR="002438E2" w:rsidRPr="002438E2">
              <w:rPr>
                <w:rFonts w:cs="David"/>
                <w:b/>
                <w:bCs/>
                <w:rtl/>
                <w:cs/>
              </w:rPr>
              <w:instrText>NUMPAGES</w:instrText>
            </w:r>
            <w:r w:rsidR="002438E2" w:rsidRPr="002438E2">
              <w:rPr>
                <w:rFonts w:cs="David"/>
                <w:b/>
                <w:bCs/>
              </w:rPr>
              <w:fldChar w:fldCharType="separate"/>
            </w:r>
            <w:r w:rsidR="00117120">
              <w:rPr>
                <w:rFonts w:cs="David"/>
                <w:b/>
                <w:bCs/>
                <w:noProof/>
                <w:rtl/>
              </w:rPr>
              <w:t>1</w:t>
            </w:r>
            <w:r w:rsidR="002438E2" w:rsidRPr="002438E2">
              <w:rPr>
                <w:rFonts w:cs="David"/>
                <w:b/>
                <w:bCs/>
              </w:rPr>
              <w:fldChar w:fldCharType="end"/>
            </w:r>
          </w:p>
        </w:sdtContent>
      </w:sdt>
    </w:sdtContent>
  </w:sdt>
  <w:p w:rsidR="00C04A6B" w:rsidRDefault="00C04A6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5E" w:rsidRDefault="000F5C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5E" w:rsidRDefault="000F5C5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5E" w:rsidRDefault="000F5C5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5E" w:rsidRDefault="000F5C5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6614C"/>
    <w:rsid w:val="000F5C5E"/>
    <w:rsid w:val="00115A82"/>
    <w:rsid w:val="00117120"/>
    <w:rsid w:val="00177686"/>
    <w:rsid w:val="00180E8A"/>
    <w:rsid w:val="001D7646"/>
    <w:rsid w:val="001E5A00"/>
    <w:rsid w:val="002438E2"/>
    <w:rsid w:val="002B3FB0"/>
    <w:rsid w:val="003537B9"/>
    <w:rsid w:val="003901E0"/>
    <w:rsid w:val="004124E0"/>
    <w:rsid w:val="00420F93"/>
    <w:rsid w:val="0044713E"/>
    <w:rsid w:val="004625EB"/>
    <w:rsid w:val="004A5826"/>
    <w:rsid w:val="004B5D8D"/>
    <w:rsid w:val="004F06E0"/>
    <w:rsid w:val="00502068"/>
    <w:rsid w:val="00614095"/>
    <w:rsid w:val="006A6781"/>
    <w:rsid w:val="006C01FB"/>
    <w:rsid w:val="00762D5A"/>
    <w:rsid w:val="007E18EE"/>
    <w:rsid w:val="00826810"/>
    <w:rsid w:val="00837763"/>
    <w:rsid w:val="00852D44"/>
    <w:rsid w:val="0086330B"/>
    <w:rsid w:val="00881EF7"/>
    <w:rsid w:val="008B55E9"/>
    <w:rsid w:val="008B5665"/>
    <w:rsid w:val="00961EFC"/>
    <w:rsid w:val="009818C2"/>
    <w:rsid w:val="009C16BD"/>
    <w:rsid w:val="00A57161"/>
    <w:rsid w:val="00AA51B0"/>
    <w:rsid w:val="00AA7ED7"/>
    <w:rsid w:val="00AB409F"/>
    <w:rsid w:val="00AD759C"/>
    <w:rsid w:val="00AE591E"/>
    <w:rsid w:val="00B058F3"/>
    <w:rsid w:val="00B2503D"/>
    <w:rsid w:val="00B84BD7"/>
    <w:rsid w:val="00BD5207"/>
    <w:rsid w:val="00BE235C"/>
    <w:rsid w:val="00BE49A2"/>
    <w:rsid w:val="00C04A6B"/>
    <w:rsid w:val="00C25C1C"/>
    <w:rsid w:val="00C45C9C"/>
    <w:rsid w:val="00C656C3"/>
    <w:rsid w:val="00C84B20"/>
    <w:rsid w:val="00CB1B2B"/>
    <w:rsid w:val="00D3721C"/>
    <w:rsid w:val="00D763BF"/>
    <w:rsid w:val="00D87DC1"/>
    <w:rsid w:val="00DD5923"/>
    <w:rsid w:val="00E85E11"/>
    <w:rsid w:val="00ED153D"/>
    <w:rsid w:val="00ED5B1D"/>
    <w:rsid w:val="00F75061"/>
    <w:rsid w:val="00F96916"/>
    <w:rsid w:val="00FD4DC2"/>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D763BF"/>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D763BF"/>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D763BF"/>
    <w:pPr>
      <w:bidi/>
      <w:spacing w:after="120" w:line="480" w:lineRule="auto"/>
      <w:ind w:left="-57" w:hanging="1"/>
      <w:jc w:val="both"/>
    </w:pPr>
    <w:rPr>
      <w:rFonts w:cs="David"/>
      <w:sz w:val="22"/>
      <w:szCs w:val="24"/>
    </w:rPr>
  </w:style>
  <w:style w:type="character" w:styleId="Hyperlink">
    <w:name w:val="Hyperlink"/>
    <w:rsid w:val="00D763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D763BF"/>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D763BF"/>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D763BF"/>
    <w:pPr>
      <w:bidi/>
      <w:spacing w:after="120" w:line="480" w:lineRule="auto"/>
      <w:ind w:left="-57" w:hanging="1"/>
      <w:jc w:val="both"/>
    </w:pPr>
    <w:rPr>
      <w:rFonts w:cs="David"/>
      <w:sz w:val="22"/>
      <w:szCs w:val="24"/>
    </w:rPr>
  </w:style>
  <w:style w:type="character" w:styleId="Hyperlink">
    <w:name w:val="Hyperlink"/>
    <w:rsid w:val="00D763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boi.org.il/he/Research/Pages/ind.aspx"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6F9ADF3-7F95-4F9D-9B63-235172CA1B87}"/>
</file>

<file path=customXml/itemProps2.xml><?xml version="1.0" encoding="utf-8"?>
<ds:datastoreItem xmlns:ds="http://schemas.openxmlformats.org/officeDocument/2006/customXml" ds:itemID="{6B9AFA96-5DA3-44EB-B8F6-1FB8DCE3BD2B}"/>
</file>

<file path=customXml/itemProps3.xml><?xml version="1.0" encoding="utf-8"?>
<ds:datastoreItem xmlns:ds="http://schemas.openxmlformats.org/officeDocument/2006/customXml" ds:itemID="{28F82BF4-AD45-4FA4-A928-8768C37F5D23}"/>
</file>

<file path=customXml/itemProps4.xml><?xml version="1.0" encoding="utf-8"?>
<ds:datastoreItem xmlns:ds="http://schemas.openxmlformats.org/officeDocument/2006/customXml" ds:itemID="{DA2E545E-4D74-44AF-AB9B-ADA929C371F8}"/>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1478</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2013-12-19T13:29:00Z</dcterms:created>
  <dcterms:modified xsi:type="dcterms:W3CDTF">2013-12-19T15:31:00Z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