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69" w:tblpY="1222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83BDE" w:rsidRPr="00DB1CBC" w:rsidTr="00763FAD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BDE" w:rsidRPr="00520BB4" w:rsidRDefault="00C83BDE" w:rsidP="00763FAD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C83BDE" w:rsidRDefault="00C83BDE" w:rsidP="00763FAD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83BDE" w:rsidRDefault="00C83BDE" w:rsidP="00763FAD">
            <w:pPr>
              <w:jc w:val="center"/>
            </w:pPr>
            <w:r w:rsidRPr="006858A0">
              <w:rPr>
                <w:rFonts w:cs="David"/>
                <w:noProof/>
              </w:rPr>
              <w:drawing>
                <wp:inline distT="0" distB="0" distL="0" distR="0" wp14:anchorId="0289A019" wp14:editId="74CF8CDC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BDE" w:rsidRDefault="00C83BDE" w:rsidP="00763FAD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ב' באייר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C83BDE" w:rsidRPr="00DF107C" w:rsidRDefault="00C83BDE" w:rsidP="00763FAD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26 באפריל  2020</w:t>
            </w:r>
          </w:p>
        </w:tc>
      </w:tr>
    </w:tbl>
    <w:p w:rsidR="00C83BDE" w:rsidRPr="00C83BDE" w:rsidRDefault="00B46A8C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3BDE">
        <w:rPr>
          <w:rFonts w:ascii="David" w:hAnsi="David" w:cs="David"/>
          <w:sz w:val="24"/>
          <w:szCs w:val="24"/>
          <w:rtl/>
        </w:rPr>
        <w:t>הודעה לעיתונות:</w:t>
      </w:r>
    </w:p>
    <w:p w:rsidR="00B46A8C" w:rsidRPr="00AE571B" w:rsidRDefault="00B46A8C" w:rsidP="00AE571B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E571B">
        <w:rPr>
          <w:rFonts w:ascii="David" w:hAnsi="David" w:cs="David"/>
          <w:b/>
          <w:bCs/>
          <w:sz w:val="28"/>
          <w:szCs w:val="28"/>
          <w:rtl/>
        </w:rPr>
        <w:t xml:space="preserve">המערכת הבנקאית במשבר הקורונה: מצגת </w:t>
      </w:r>
      <w:r w:rsidR="00C83BDE" w:rsidRPr="00AE571B">
        <w:rPr>
          <w:rFonts w:ascii="David" w:hAnsi="David" w:cs="David" w:hint="cs"/>
          <w:b/>
          <w:bCs/>
          <w:sz w:val="28"/>
          <w:szCs w:val="28"/>
          <w:rtl/>
        </w:rPr>
        <w:t xml:space="preserve">ונתוני </w:t>
      </w:r>
      <w:r w:rsidRPr="00AE571B">
        <w:rPr>
          <w:rFonts w:ascii="David" w:hAnsi="David" w:cs="David"/>
          <w:b/>
          <w:bCs/>
          <w:sz w:val="28"/>
          <w:szCs w:val="28"/>
          <w:rtl/>
        </w:rPr>
        <w:t>הפיקוח על הבנקים הבוקר בוועדת הכספים של הכנסת</w:t>
      </w:r>
    </w:p>
    <w:p w:rsidR="00B46A8C" w:rsidRPr="00C83BDE" w:rsidRDefault="00B46A8C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46A8C" w:rsidRPr="00C83BDE" w:rsidRDefault="00B46A8C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3BDE">
        <w:rPr>
          <w:rFonts w:ascii="David" w:hAnsi="David" w:cs="David"/>
          <w:sz w:val="24"/>
          <w:szCs w:val="24"/>
          <w:rtl/>
        </w:rPr>
        <w:t>הפיקוח על הבנקים הציג נתונים עדכניים אודות התפתחות האשראי הבנקאי מפרוץ המשבר:</w:t>
      </w:r>
    </w:p>
    <w:p w:rsidR="00AE571B" w:rsidRPr="00C83BDE" w:rsidRDefault="000C17B5" w:rsidP="000365D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מתחילת מרץ ו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עד ה-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19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.4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.20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365D8">
        <w:rPr>
          <w:rFonts w:ascii="David" w:hAnsi="David" w:cs="David" w:hint="cs"/>
          <w:b/>
          <w:bCs/>
          <w:sz w:val="24"/>
          <w:szCs w:val="24"/>
          <w:rtl/>
        </w:rPr>
        <w:t>דחתה המערכת הבנקאית</w:t>
      </w:r>
      <w:r w:rsidR="000365D8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C6A42" w:rsidRPr="00C83BDE">
        <w:rPr>
          <w:rFonts w:ascii="David" w:hAnsi="David" w:cs="David"/>
          <w:b/>
          <w:bCs/>
          <w:sz w:val="24"/>
          <w:szCs w:val="24"/>
          <w:rtl/>
        </w:rPr>
        <w:t>תשלומי הלוואות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365D8">
        <w:rPr>
          <w:rFonts w:ascii="David" w:hAnsi="David" w:cs="David" w:hint="cs"/>
          <w:b/>
          <w:bCs/>
          <w:sz w:val="24"/>
          <w:szCs w:val="24"/>
          <w:rtl/>
        </w:rPr>
        <w:t xml:space="preserve">של </w:t>
      </w:r>
      <w:r w:rsidR="000365D8" w:rsidRPr="00C83BDE">
        <w:rPr>
          <w:rFonts w:ascii="David" w:hAnsi="David" w:cs="David"/>
          <w:b/>
          <w:bCs/>
          <w:sz w:val="24"/>
          <w:szCs w:val="24"/>
          <w:rtl/>
        </w:rPr>
        <w:t>כ</w:t>
      </w:r>
      <w:r w:rsidR="00FC6A42" w:rsidRPr="00C83BDE">
        <w:rPr>
          <w:rFonts w:ascii="David" w:hAnsi="David" w:cs="David"/>
          <w:b/>
          <w:bCs/>
          <w:sz w:val="24"/>
          <w:szCs w:val="24"/>
          <w:rtl/>
        </w:rPr>
        <w:t xml:space="preserve">-360 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אלף הלוואות, בהיקף כספי של כ-4.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7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 xml:space="preserve"> מיליארדי ש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"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ח, בכל מגזרי הפעילות: עסקים (</w:t>
      </w:r>
      <w:r w:rsidR="00AD024F">
        <w:rPr>
          <w:rFonts w:ascii="David" w:hAnsi="David" w:cs="David" w:hint="cs"/>
          <w:b/>
          <w:bCs/>
          <w:sz w:val="24"/>
          <w:szCs w:val="24"/>
          <w:rtl/>
        </w:rPr>
        <w:t>בפרט</w:t>
      </w:r>
      <w:r w:rsidR="00AD024F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עסקים קטנים) ומשקי בית (משכנתאות</w:t>
      </w:r>
      <w:r w:rsidR="00AD024F">
        <w:rPr>
          <w:rFonts w:ascii="David" w:hAnsi="David" w:cs="David" w:hint="cs"/>
          <w:b/>
          <w:bCs/>
          <w:sz w:val="24"/>
          <w:szCs w:val="24"/>
          <w:rtl/>
        </w:rPr>
        <w:t xml:space="preserve"> ואשראי צרכני אחרי</w:t>
      </w:r>
      <w:r w:rsidR="00B46A8C" w:rsidRPr="00C83BDE">
        <w:rPr>
          <w:rFonts w:ascii="David" w:hAnsi="David" w:cs="David"/>
          <w:b/>
          <w:bCs/>
          <w:sz w:val="24"/>
          <w:szCs w:val="24"/>
          <w:rtl/>
        </w:rPr>
        <w:t>).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 xml:space="preserve"> מתוכם נדחו</w:t>
      </w:r>
      <w:r w:rsidR="000365D8">
        <w:rPr>
          <w:rFonts w:ascii="David" w:hAnsi="David" w:cs="David" w:hint="cs"/>
          <w:b/>
          <w:bCs/>
          <w:sz w:val="24"/>
          <w:szCs w:val="24"/>
          <w:rtl/>
        </w:rPr>
        <w:t xml:space="preserve"> תשלומים ל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כ-</w:t>
      </w:r>
      <w:r w:rsidR="00AD024F">
        <w:rPr>
          <w:rFonts w:ascii="David" w:hAnsi="David" w:cs="David" w:hint="cs"/>
          <w:b/>
          <w:bCs/>
          <w:sz w:val="24"/>
          <w:szCs w:val="24"/>
          <w:rtl/>
        </w:rPr>
        <w:t>85</w:t>
      </w:r>
      <w:r w:rsidR="00AD024F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אלף הלוואות לעסקים</w:t>
      </w:r>
      <w:r w:rsidR="000365D8">
        <w:rPr>
          <w:rFonts w:ascii="David" w:hAnsi="David" w:cs="David" w:hint="cs"/>
          <w:b/>
          <w:bCs/>
          <w:sz w:val="24"/>
          <w:szCs w:val="24"/>
          <w:rtl/>
        </w:rPr>
        <w:t xml:space="preserve"> קטנים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 xml:space="preserve"> ו</w:t>
      </w:r>
      <w:r w:rsidR="000365D8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-270 אלף הלוואת למשקי בית. (הנתונים המלאים במצגת המצורפת).</w:t>
      </w:r>
    </w:p>
    <w:p w:rsidR="00AE571B" w:rsidRPr="00C83BDE" w:rsidRDefault="00B46A8C" w:rsidP="00AE571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83BDE">
        <w:rPr>
          <w:rFonts w:ascii="David" w:hAnsi="David" w:cs="David"/>
          <w:b/>
          <w:bCs/>
          <w:sz w:val="24"/>
          <w:szCs w:val="24"/>
          <w:rtl/>
        </w:rPr>
        <w:t xml:space="preserve">מהנתונים </w:t>
      </w:r>
      <w:r w:rsidR="000C17B5">
        <w:rPr>
          <w:rFonts w:ascii="David" w:hAnsi="David" w:cs="David" w:hint="cs"/>
          <w:b/>
          <w:bCs/>
          <w:sz w:val="24"/>
          <w:szCs w:val="24"/>
          <w:rtl/>
        </w:rPr>
        <w:t xml:space="preserve">עד כה 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>עולה שככלל לא חלה עלייה בריביות הממוצעות על ההלוואות לעסקים קטנים ו</w:t>
      </w:r>
      <w:r w:rsidR="000C17B5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>משקי בית, למעט המשכנתאות הצמודות בהן הריבית עלתה בממוצע בכ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-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>0.6 נקודת אחוז. הפיקוח על הבנקים מעריך שגם בתחום זה הריבית תשוב ותרד בקרוב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 xml:space="preserve">על רקע צעדים בהם נקט בנק ישראל (הורדת 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>ריבית ב"י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 xml:space="preserve">, התערבות </w:t>
      </w:r>
      <w:r w:rsidR="00FE2CD2" w:rsidRPr="00C83BDE">
        <w:rPr>
          <w:rFonts w:ascii="David" w:hAnsi="David" w:cs="David"/>
          <w:b/>
          <w:bCs/>
          <w:sz w:val="24"/>
          <w:szCs w:val="24"/>
          <w:rtl/>
        </w:rPr>
        <w:t xml:space="preserve">ב"י 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 xml:space="preserve">בשוק האג"ח, והפחתת דרישות ההון על משכנתאות). </w:t>
      </w:r>
    </w:p>
    <w:p w:rsidR="00B46A8C" w:rsidRPr="00C83BDE" w:rsidRDefault="00FE2CD2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3BDE">
        <w:rPr>
          <w:rFonts w:ascii="David" w:hAnsi="David" w:cs="David"/>
          <w:sz w:val="24"/>
          <w:szCs w:val="24"/>
          <w:rtl/>
        </w:rPr>
        <w:t xml:space="preserve">כבר בתחילת המשבר </w:t>
      </w:r>
      <w:proofErr w:type="spellStart"/>
      <w:r w:rsidRPr="00C83BDE">
        <w:rPr>
          <w:rFonts w:ascii="David" w:hAnsi="David" w:cs="David"/>
          <w:sz w:val="24"/>
          <w:szCs w:val="24"/>
          <w:rtl/>
        </w:rPr>
        <w:t>איפשרה</w:t>
      </w:r>
      <w:proofErr w:type="spellEnd"/>
      <w:r w:rsidRPr="00C83BDE">
        <w:rPr>
          <w:rFonts w:ascii="David" w:hAnsi="David" w:cs="David"/>
          <w:sz w:val="24"/>
          <w:szCs w:val="24"/>
          <w:rtl/>
        </w:rPr>
        <w:t xml:space="preserve"> </w:t>
      </w:r>
      <w:r w:rsidR="00B46A8C" w:rsidRPr="00C83BDE">
        <w:rPr>
          <w:rFonts w:ascii="David" w:hAnsi="David" w:cs="David"/>
          <w:sz w:val="24"/>
          <w:szCs w:val="24"/>
          <w:rtl/>
        </w:rPr>
        <w:t>המערכת הבנקאית, בעידוד בנק ישראל, דחייה של תשלומי הלוואות</w:t>
      </w:r>
      <w:r w:rsidRPr="00C83BDE">
        <w:rPr>
          <w:rFonts w:ascii="David" w:hAnsi="David" w:cs="David"/>
          <w:sz w:val="24"/>
          <w:szCs w:val="24"/>
          <w:rtl/>
        </w:rPr>
        <w:t xml:space="preserve">, </w:t>
      </w:r>
      <w:r w:rsidR="00B46A8C" w:rsidRPr="00C83BDE">
        <w:rPr>
          <w:rFonts w:ascii="David" w:hAnsi="David" w:cs="David"/>
          <w:sz w:val="24"/>
          <w:szCs w:val="24"/>
          <w:rtl/>
        </w:rPr>
        <w:t xml:space="preserve"> והיא נענית לרוב המוחלט של הבקשות לדחיית תשלומי הלוואות. מספר קטן של בקשות דחייה לא נענו, ברובן של לווים שעוד לפני פרוץ המשבר לא עמדו בתנאי ההחזר. </w:t>
      </w:r>
    </w:p>
    <w:p w:rsidR="00B46A8C" w:rsidRPr="00C83BDE" w:rsidRDefault="00B01B50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3BDE">
        <w:rPr>
          <w:rFonts w:ascii="David" w:hAnsi="David" w:cs="David"/>
          <w:sz w:val="24"/>
          <w:szCs w:val="24"/>
          <w:rtl/>
        </w:rPr>
        <w:t xml:space="preserve">הנתונים מראים שאין צורך בהתערבות של המדינה </w:t>
      </w:r>
      <w:r w:rsidR="00B46A8C" w:rsidRPr="00C83BDE">
        <w:rPr>
          <w:rFonts w:ascii="David" w:hAnsi="David" w:cs="David"/>
          <w:sz w:val="24"/>
          <w:szCs w:val="24"/>
          <w:rtl/>
        </w:rPr>
        <w:t>במדיניות דחיית החזרי אשראי והעמדת אשראי ע״י המערכת הבנקאית</w:t>
      </w:r>
      <w:r w:rsidRPr="00C83BDE">
        <w:rPr>
          <w:rFonts w:ascii="David" w:hAnsi="David" w:cs="David"/>
          <w:sz w:val="24"/>
          <w:szCs w:val="24"/>
          <w:rtl/>
        </w:rPr>
        <w:t>. התערבות כזו תפגע ביכולת לנהל מדיניות זו בצורה מושכלת ובהתאם למאפייני הלווה וההלוואה, ועלולה לסכן את פ</w:t>
      </w:r>
      <w:r w:rsidR="00FC6A42" w:rsidRPr="00C83BDE">
        <w:rPr>
          <w:rFonts w:ascii="David" w:hAnsi="David" w:cs="David"/>
          <w:sz w:val="24"/>
          <w:szCs w:val="24"/>
          <w:rtl/>
        </w:rPr>
        <w:t>י</w:t>
      </w:r>
      <w:r w:rsidRPr="00C83BDE">
        <w:rPr>
          <w:rFonts w:ascii="David" w:hAnsi="David" w:cs="David"/>
          <w:sz w:val="24"/>
          <w:szCs w:val="24"/>
          <w:rtl/>
        </w:rPr>
        <w:t>קדונות הציבור שהם המקור להעמדת האשראי.</w:t>
      </w:r>
    </w:p>
    <w:p w:rsidR="000C17B5" w:rsidRPr="00C83BDE" w:rsidRDefault="000C17B5" w:rsidP="000C17B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83BDE">
        <w:rPr>
          <w:rFonts w:ascii="David" w:hAnsi="David" w:cs="David"/>
          <w:b/>
          <w:bCs/>
          <w:sz w:val="24"/>
          <w:szCs w:val="24"/>
          <w:rtl/>
        </w:rPr>
        <w:t>חשוב לזכור שני אבני יסוד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כלכליים</w:t>
      </w:r>
      <w:r w:rsidRPr="00C83BDE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0C17B5" w:rsidRPr="00AE571B" w:rsidRDefault="000C17B5" w:rsidP="000C17B5">
      <w:pPr>
        <w:pStyle w:val="aa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E571B">
        <w:rPr>
          <w:rFonts w:ascii="David" w:hAnsi="David" w:cs="David"/>
          <w:b/>
          <w:bCs/>
          <w:sz w:val="24"/>
          <w:szCs w:val="24"/>
          <w:rtl/>
        </w:rPr>
        <w:t>המקורות למתן אשראי על ידי הבנקים הם הפיקדונות, אלו הכספים שהציבור הרחב מפקיד בבנקים</w:t>
      </w:r>
    </w:p>
    <w:p w:rsidR="000C17B5" w:rsidRPr="00AE571B" w:rsidRDefault="000C17B5" w:rsidP="000365D8">
      <w:pPr>
        <w:pStyle w:val="aa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E571B">
        <w:rPr>
          <w:rFonts w:ascii="David" w:hAnsi="David" w:cs="David"/>
          <w:b/>
          <w:bCs/>
          <w:sz w:val="24"/>
          <w:szCs w:val="24"/>
          <w:rtl/>
        </w:rPr>
        <w:t xml:space="preserve">אשראי צריך להחזיר – אשראי בנקאי הוא לא מענק </w:t>
      </w:r>
    </w:p>
    <w:p w:rsidR="00B46A8C" w:rsidRPr="00C83BDE" w:rsidRDefault="00B46A8C" w:rsidP="00C83BD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3BDE">
        <w:rPr>
          <w:rFonts w:ascii="David" w:hAnsi="David" w:cs="David"/>
          <w:sz w:val="24"/>
          <w:szCs w:val="24"/>
          <w:rtl/>
        </w:rPr>
        <w:t xml:space="preserve">בנק ישראל נקט בצעדים רבים שאפשרו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את </w:t>
      </w:r>
      <w:r w:rsidR="00FE2CD2" w:rsidRPr="00C83BDE">
        <w:rPr>
          <w:rFonts w:ascii="David" w:hAnsi="David" w:cs="David"/>
          <w:sz w:val="24"/>
          <w:szCs w:val="24"/>
          <w:rtl/>
        </w:rPr>
        <w:t>דחיית</w:t>
      </w:r>
      <w:r w:rsidRPr="00C83BDE">
        <w:rPr>
          <w:rFonts w:ascii="David" w:hAnsi="David" w:cs="David"/>
          <w:sz w:val="24"/>
          <w:szCs w:val="24"/>
          <w:rtl/>
        </w:rPr>
        <w:t xml:space="preserve"> ההלוואות, </w:t>
      </w:r>
      <w:r w:rsidR="00B01B50" w:rsidRPr="00C83BDE">
        <w:rPr>
          <w:rFonts w:ascii="David" w:hAnsi="David" w:cs="David"/>
          <w:sz w:val="24"/>
          <w:szCs w:val="24"/>
          <w:rtl/>
        </w:rPr>
        <w:t>הגדלת היצע ה</w:t>
      </w:r>
      <w:r w:rsidRPr="00C83BDE">
        <w:rPr>
          <w:rFonts w:ascii="David" w:hAnsi="David" w:cs="David"/>
          <w:sz w:val="24"/>
          <w:szCs w:val="24"/>
          <w:rtl/>
        </w:rPr>
        <w:t xml:space="preserve">אשראי </w:t>
      </w:r>
      <w:r w:rsidR="00B01B50" w:rsidRPr="00C83BDE">
        <w:rPr>
          <w:rFonts w:ascii="David" w:hAnsi="David" w:cs="David"/>
          <w:sz w:val="24"/>
          <w:szCs w:val="24"/>
          <w:rtl/>
        </w:rPr>
        <w:t>למשק ומניעת העלייה בריבית על אף הגידול בסיכון</w:t>
      </w:r>
      <w:r w:rsidRPr="00C83BDE">
        <w:rPr>
          <w:rFonts w:ascii="David" w:hAnsi="David" w:cs="David"/>
          <w:sz w:val="24"/>
          <w:szCs w:val="24"/>
          <w:rtl/>
        </w:rPr>
        <w:t xml:space="preserve">: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הפיקוח על הבנקים הפחית את </w:t>
      </w:r>
      <w:r w:rsidRPr="00C83BDE">
        <w:rPr>
          <w:rFonts w:ascii="David" w:hAnsi="David" w:cs="David"/>
          <w:sz w:val="24"/>
          <w:szCs w:val="24"/>
          <w:rtl/>
        </w:rPr>
        <w:t xml:space="preserve">דרישות ההון, </w:t>
      </w:r>
      <w:r w:rsidR="00B01B50" w:rsidRPr="00C83BDE">
        <w:rPr>
          <w:rFonts w:ascii="David" w:hAnsi="David" w:cs="David"/>
          <w:sz w:val="24"/>
          <w:szCs w:val="24"/>
          <w:rtl/>
        </w:rPr>
        <w:t>וחידד את ה</w:t>
      </w:r>
      <w:r w:rsidRPr="00C83BDE">
        <w:rPr>
          <w:rFonts w:ascii="David" w:hAnsi="David" w:cs="David"/>
          <w:sz w:val="24"/>
          <w:szCs w:val="24"/>
          <w:rtl/>
        </w:rPr>
        <w:t xml:space="preserve">הנחיות חשבונאיות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באופן שמאפשר להימנע מסיווג של אשראי שניתנה בו דחיית תשלומים כאשראי בעייתי. </w:t>
      </w:r>
      <w:r w:rsidRPr="00C83BDE">
        <w:rPr>
          <w:rFonts w:ascii="David" w:hAnsi="David" w:cs="David"/>
          <w:sz w:val="24"/>
          <w:szCs w:val="24"/>
          <w:rtl/>
        </w:rPr>
        <w:t xml:space="preserve">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הפחתת הריבית על ידי בנק ישראל וההחלטה לרכוש </w:t>
      </w:r>
      <w:r w:rsidRPr="00C83BDE">
        <w:rPr>
          <w:rFonts w:ascii="David" w:hAnsi="David" w:cs="David"/>
          <w:sz w:val="24"/>
          <w:szCs w:val="24"/>
          <w:rtl/>
        </w:rPr>
        <w:t>אג</w:t>
      </w:r>
      <w:r w:rsidR="00B01B50" w:rsidRPr="00C83BDE">
        <w:rPr>
          <w:rFonts w:ascii="David" w:hAnsi="David" w:cs="David"/>
          <w:sz w:val="24"/>
          <w:szCs w:val="24"/>
          <w:rtl/>
        </w:rPr>
        <w:t>"</w:t>
      </w:r>
      <w:r w:rsidRPr="00C83BDE">
        <w:rPr>
          <w:rFonts w:ascii="David" w:hAnsi="David" w:cs="David"/>
          <w:sz w:val="24"/>
          <w:szCs w:val="24"/>
          <w:rtl/>
        </w:rPr>
        <w:t xml:space="preserve">ח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ממשלתיות בהיקף </w:t>
      </w:r>
      <w:r w:rsidR="00FC6A42" w:rsidRPr="00C83BDE">
        <w:rPr>
          <w:rFonts w:ascii="David" w:hAnsi="David" w:cs="David"/>
          <w:sz w:val="24"/>
          <w:szCs w:val="24"/>
          <w:rtl/>
        </w:rPr>
        <w:t xml:space="preserve">חסר תקדים 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של </w:t>
      </w:r>
      <w:r w:rsidRPr="00C83BDE">
        <w:rPr>
          <w:rFonts w:ascii="David" w:hAnsi="David" w:cs="David"/>
          <w:sz w:val="24"/>
          <w:szCs w:val="24"/>
          <w:rtl/>
        </w:rPr>
        <w:t xml:space="preserve">50 מיליארדי </w:t>
      </w:r>
      <w:r w:rsidR="00FC6A42" w:rsidRPr="00C83BDE">
        <w:rPr>
          <w:rFonts w:ascii="David" w:hAnsi="David" w:cs="David"/>
          <w:sz w:val="24"/>
          <w:szCs w:val="24"/>
          <w:rtl/>
        </w:rPr>
        <w:t>ש"ח</w:t>
      </w:r>
      <w:r w:rsidR="00B01B50" w:rsidRPr="00C83BDE">
        <w:rPr>
          <w:rFonts w:ascii="David" w:hAnsi="David" w:cs="David"/>
          <w:sz w:val="24"/>
          <w:szCs w:val="24"/>
          <w:rtl/>
        </w:rPr>
        <w:t xml:space="preserve"> הביאה לירידת הריביות לכל </w:t>
      </w:r>
      <w:r w:rsidR="00616AE7" w:rsidRPr="00C83BDE">
        <w:rPr>
          <w:rFonts w:ascii="David" w:hAnsi="David" w:cs="David"/>
          <w:sz w:val="24"/>
          <w:szCs w:val="24"/>
          <w:rtl/>
        </w:rPr>
        <w:t>הטווחים</w:t>
      </w:r>
      <w:r w:rsidRPr="00C83BDE">
        <w:rPr>
          <w:rFonts w:ascii="David" w:hAnsi="David" w:cs="David"/>
          <w:sz w:val="24"/>
          <w:szCs w:val="24"/>
          <w:rtl/>
        </w:rPr>
        <w:t xml:space="preserve">, </w:t>
      </w:r>
      <w:r w:rsidR="00616AE7" w:rsidRPr="00C83BDE">
        <w:rPr>
          <w:rFonts w:ascii="David" w:hAnsi="David" w:cs="David"/>
          <w:sz w:val="24"/>
          <w:szCs w:val="24"/>
          <w:rtl/>
        </w:rPr>
        <w:t>ובנק ישראל השיק תכנית של הלוואות לבנקים</w:t>
      </w:r>
      <w:r w:rsidRPr="00C83BDE">
        <w:rPr>
          <w:rFonts w:ascii="David" w:hAnsi="David" w:cs="David"/>
          <w:sz w:val="24"/>
          <w:szCs w:val="24"/>
          <w:rtl/>
        </w:rPr>
        <w:t xml:space="preserve"> בסך 5 מיליארדי </w:t>
      </w:r>
      <w:r w:rsidR="00616AE7" w:rsidRPr="00C83BDE">
        <w:rPr>
          <w:rFonts w:ascii="David" w:hAnsi="David" w:cs="David"/>
          <w:sz w:val="24"/>
          <w:szCs w:val="24"/>
          <w:rtl/>
        </w:rPr>
        <w:t>₪, מותנה במתן אשראי</w:t>
      </w:r>
      <w:r w:rsidRPr="00C83BDE">
        <w:rPr>
          <w:rFonts w:ascii="David" w:hAnsi="David" w:cs="David"/>
          <w:sz w:val="24"/>
          <w:szCs w:val="24"/>
          <w:rtl/>
        </w:rPr>
        <w:t xml:space="preserve"> לעסקים קטנים </w:t>
      </w:r>
      <w:r w:rsidR="00616AE7" w:rsidRPr="00C83BDE">
        <w:rPr>
          <w:rFonts w:ascii="David" w:hAnsi="David" w:cs="David"/>
          <w:sz w:val="24"/>
          <w:szCs w:val="24"/>
          <w:rtl/>
        </w:rPr>
        <w:t xml:space="preserve"> וזעירים.</w:t>
      </w:r>
    </w:p>
    <w:p w:rsidR="00B46A8C" w:rsidRPr="00AE571B" w:rsidRDefault="00B46A8C" w:rsidP="00AE571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E571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הסיוע של הממשלה לעסקים במשק, בכלל ובמסגרת הערבויות להלוואות, הוא הנדבך המרכזי </w:t>
      </w:r>
      <w:r w:rsidR="00B9692A" w:rsidRPr="00AE571B">
        <w:rPr>
          <w:rFonts w:ascii="David" w:hAnsi="David" w:cs="David"/>
          <w:b/>
          <w:bCs/>
          <w:sz w:val="24"/>
          <w:szCs w:val="24"/>
          <w:rtl/>
        </w:rPr>
        <w:t>במתן המענה הכלכלי ל</w:t>
      </w:r>
      <w:r w:rsidRPr="00AE571B">
        <w:rPr>
          <w:rFonts w:ascii="David" w:hAnsi="David" w:cs="David"/>
          <w:b/>
          <w:bCs/>
          <w:sz w:val="24"/>
          <w:szCs w:val="24"/>
          <w:rtl/>
        </w:rPr>
        <w:t xml:space="preserve">משבר. מדיניות </w:t>
      </w:r>
      <w:r w:rsidR="00FE2CD2" w:rsidRPr="00AE571B">
        <w:rPr>
          <w:rFonts w:ascii="David" w:hAnsi="David" w:cs="David"/>
          <w:b/>
          <w:bCs/>
          <w:sz w:val="24"/>
          <w:szCs w:val="24"/>
          <w:rtl/>
        </w:rPr>
        <w:t>בנק ישראל</w:t>
      </w:r>
      <w:r w:rsidRPr="00AE571B">
        <w:rPr>
          <w:rFonts w:ascii="David" w:hAnsi="David" w:cs="David"/>
          <w:b/>
          <w:bCs/>
          <w:sz w:val="24"/>
          <w:szCs w:val="24"/>
          <w:rtl/>
        </w:rPr>
        <w:t xml:space="preserve"> משלימה מדיניות זו.</w:t>
      </w:r>
    </w:p>
    <w:p w:rsidR="00BF0F7C" w:rsidRPr="00C83BDE" w:rsidRDefault="00B46A8C" w:rsidP="00C83BDE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83BDE">
        <w:rPr>
          <w:rFonts w:ascii="David" w:hAnsi="David" w:cs="David"/>
          <w:sz w:val="24"/>
          <w:szCs w:val="24"/>
          <w:rtl/>
        </w:rPr>
        <w:t xml:space="preserve">את המצגת אמורה הייתה להציג בפני הוועדה המפקחת על הבנקים, ד״ר חדוה בר, אך בשל מות אביה נבצר ממנה </w:t>
      </w:r>
      <w:r w:rsidR="00B9692A" w:rsidRPr="00C83BDE">
        <w:rPr>
          <w:rFonts w:ascii="David" w:hAnsi="David" w:cs="David"/>
          <w:sz w:val="24"/>
          <w:szCs w:val="24"/>
          <w:rtl/>
        </w:rPr>
        <w:t>מלהשתתף בדיון</w:t>
      </w:r>
      <w:r w:rsidRPr="00C83BDE">
        <w:rPr>
          <w:rFonts w:ascii="David" w:hAnsi="David" w:cs="David"/>
          <w:sz w:val="24"/>
          <w:szCs w:val="24"/>
          <w:rtl/>
        </w:rPr>
        <w:t>. בשל כך הציג אותה ואת הנתונים סגן המפקחת, מר דני חחיאשווילי.</w:t>
      </w:r>
    </w:p>
    <w:sectPr w:rsidR="00BF0F7C" w:rsidRPr="00C83BDE" w:rsidSect="00955B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EB0"/>
    <w:multiLevelType w:val="hybridMultilevel"/>
    <w:tmpl w:val="27C88E94"/>
    <w:lvl w:ilvl="0" w:tplc="02B673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0C08"/>
    <w:multiLevelType w:val="hybridMultilevel"/>
    <w:tmpl w:val="8B54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8C"/>
    <w:rsid w:val="00033838"/>
    <w:rsid w:val="000365D8"/>
    <w:rsid w:val="000C17B5"/>
    <w:rsid w:val="00616AE7"/>
    <w:rsid w:val="00955BFD"/>
    <w:rsid w:val="00A25F38"/>
    <w:rsid w:val="00AD024F"/>
    <w:rsid w:val="00AE571B"/>
    <w:rsid w:val="00B01B50"/>
    <w:rsid w:val="00B46A8C"/>
    <w:rsid w:val="00B9692A"/>
    <w:rsid w:val="00BF0F7C"/>
    <w:rsid w:val="00C83BDE"/>
    <w:rsid w:val="00FC6A42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FB6A-B4BB-4C50-8D8F-49FEC45E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46A8C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69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92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969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92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9692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E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Soffer</dc:creator>
  <cp:keywords/>
  <dc:description/>
  <cp:lastModifiedBy>boiuser</cp:lastModifiedBy>
  <cp:revision>2</cp:revision>
  <dcterms:created xsi:type="dcterms:W3CDTF">2020-04-26T05:10:00Z</dcterms:created>
  <dcterms:modified xsi:type="dcterms:W3CDTF">2020-04-26T05:10:00Z</dcterms:modified>
</cp:coreProperties>
</file>